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BCE26" w14:textId="77777777" w:rsidR="00811BAA" w:rsidRPr="006C38A4" w:rsidRDefault="00811BAA" w:rsidP="00811BAA">
      <w:pPr>
        <w:pStyle w:val="Title"/>
      </w:pPr>
    </w:p>
    <w:p w14:paraId="365323C6" w14:textId="77777777" w:rsidR="00811BAA" w:rsidRPr="006C38A4" w:rsidRDefault="00811BAA" w:rsidP="00811BAA">
      <w:pPr>
        <w:pStyle w:val="Title"/>
      </w:pPr>
    </w:p>
    <w:p w14:paraId="6BDD413D" w14:textId="77777777" w:rsidR="00811BAA" w:rsidRPr="006C38A4" w:rsidRDefault="00811BAA" w:rsidP="00811BAA">
      <w:pPr>
        <w:pStyle w:val="Title"/>
      </w:pPr>
    </w:p>
    <w:p w14:paraId="706454B7" w14:textId="77777777" w:rsidR="00052DD4" w:rsidRDefault="00052DD4" w:rsidP="001865F4">
      <w:pPr>
        <w:pStyle w:val="Title"/>
      </w:pPr>
    </w:p>
    <w:p w14:paraId="73C27140" w14:textId="77777777" w:rsidR="00052DD4" w:rsidRDefault="00052DD4" w:rsidP="001865F4">
      <w:pPr>
        <w:pStyle w:val="Title"/>
      </w:pPr>
    </w:p>
    <w:p w14:paraId="6B8E17DB" w14:textId="77777777" w:rsidR="009E3974" w:rsidRDefault="009E3974" w:rsidP="00EA4900">
      <w:pPr>
        <w:pStyle w:val="Date"/>
      </w:pPr>
    </w:p>
    <w:p w14:paraId="3491144D" w14:textId="4569166C" w:rsidR="009E3974" w:rsidRPr="00A60B01" w:rsidRDefault="009E3974" w:rsidP="00EA4900">
      <w:pPr>
        <w:pStyle w:val="Date"/>
      </w:pPr>
      <w:r w:rsidRPr="00A60B01">
        <w:t xml:space="preserve">Date: </w:t>
      </w:r>
      <w:sdt>
        <w:sdtPr>
          <w:alias w:val="Publish Date"/>
          <w:tag w:val=""/>
          <w:id w:val="1886678244"/>
          <w:placeholder>
            <w:docPart w:val="902BF4D1D20B40669EC4E42DF416FC61"/>
          </w:placeholder>
          <w:dataBinding w:prefixMappings="xmlns:ns0='http://schemas.microsoft.com/office/2006/coverPageProps' " w:xpath="/ns0:CoverPageProperties[1]/ns0:PublishDate[1]" w:storeItemID="{55AF091B-3C7A-41E3-B477-F2FDAA23CFDA}"/>
          <w:date w:fullDate="2024-05-05T00:00:00Z">
            <w:dateFormat w:val="MMMM yyyy"/>
            <w:lid w:val="en-AU"/>
            <w:storeMappedDataAs w:val="dateTime"/>
            <w:calendar w:val="gregorian"/>
          </w:date>
        </w:sdtPr>
        <w:sdtEndPr/>
        <w:sdtContent>
          <w:r>
            <w:t>May 2024</w:t>
          </w:r>
        </w:sdtContent>
      </w:sdt>
    </w:p>
    <w:p w14:paraId="3CC49262" w14:textId="065B03F9" w:rsidR="009E3974" w:rsidRPr="00A16F8B" w:rsidRDefault="004A6D66" w:rsidP="00EA4900">
      <w:pPr>
        <w:pStyle w:val="Title"/>
      </w:pPr>
      <w:sdt>
        <w:sdtPr>
          <w:alias w:val="Title"/>
          <w:tag w:val=""/>
          <w:id w:val="-1480682923"/>
          <w:placeholder>
            <w:docPart w:val="8D2EF0E6AD1D46448AE2A8A3759AE9C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96C78">
            <w:t>Our Watch Submission to the Australian Human Rights Commission consultation into current and emerging threats to trans and gender diverse human rights</w:t>
          </w:r>
        </w:sdtContent>
      </w:sdt>
    </w:p>
    <w:sdt>
      <w:sdtPr>
        <w:id w:val="340128115"/>
        <w:lock w:val="contentLocked"/>
        <w:placeholder>
          <w:docPart w:val="61FCA97ACDCC48C486402BBBCA60088A"/>
        </w:placeholder>
        <w15:appearance w15:val="hidden"/>
      </w:sdtPr>
      <w:sdtEndPr/>
      <w:sdtContent>
        <w:p w14:paraId="5C308D38" w14:textId="77777777" w:rsidR="009E3974" w:rsidRDefault="009E3974" w:rsidP="00EA4900">
          <w:pPr>
            <w:pStyle w:val="CoverKeyline"/>
          </w:pPr>
          <w:r w:rsidRPr="002405EC">
            <w:rPr>
              <w:noProof/>
            </w:rPr>
            <w:drawing>
              <wp:inline distT="0" distB="0" distL="0" distR="0" wp14:anchorId="0A4D68AD" wp14:editId="56B563FA">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t xml:space="preserve">  </w:t>
          </w:r>
        </w:p>
      </w:sdtContent>
    </w:sdt>
    <w:p w14:paraId="4DA69275" w14:textId="57C65909" w:rsidR="009E3974" w:rsidRPr="003A353D" w:rsidRDefault="009E3974" w:rsidP="00EA4900">
      <w:pPr>
        <w:pStyle w:val="Subtitle2"/>
      </w:pPr>
      <w:r w:rsidRPr="003A353D">
        <w:t>Prepared by Our Watch</w:t>
      </w:r>
    </w:p>
    <w:p w14:paraId="53D23C07" w14:textId="77777777" w:rsidR="009E3974" w:rsidRDefault="009E3974">
      <w:pPr>
        <w:spacing w:after="160" w:line="259" w:lineRule="auto"/>
        <w:rPr>
          <w:rFonts w:cs="Segoe UI"/>
          <w:b/>
          <w:bCs/>
          <w:sz w:val="40"/>
          <w:szCs w:val="40"/>
          <w:lang w:eastAsia="en-AU"/>
        </w:rPr>
      </w:pPr>
      <w:r>
        <w:rPr>
          <w:rFonts w:cs="Segoe UI"/>
          <w:b/>
          <w:bCs/>
          <w:sz w:val="40"/>
          <w:szCs w:val="40"/>
          <w:lang w:eastAsia="en-AU"/>
        </w:rPr>
        <w:br w:type="page"/>
      </w:r>
    </w:p>
    <w:p w14:paraId="36FF87E5" w14:textId="7BBB199B" w:rsidR="00AD7CE1" w:rsidRPr="006C38A4" w:rsidRDefault="001865F4" w:rsidP="006552DB">
      <w:pPr>
        <w:pStyle w:val="Heading1"/>
        <w:rPr>
          <w:rFonts w:ascii="Segoe UI" w:hAnsi="Segoe UI"/>
          <w:sz w:val="18"/>
          <w:szCs w:val="18"/>
          <w:lang w:eastAsia="en-AU"/>
        </w:rPr>
      </w:pPr>
      <w:r w:rsidRPr="006C38A4">
        <w:rPr>
          <w:lang w:eastAsia="en-AU"/>
        </w:rPr>
        <w:lastRenderedPageBreak/>
        <w:t>A</w:t>
      </w:r>
      <w:r w:rsidR="00AD7CE1" w:rsidRPr="006C38A4">
        <w:rPr>
          <w:lang w:eastAsia="en-AU"/>
        </w:rPr>
        <w:t>cknowledgement of Country </w:t>
      </w:r>
    </w:p>
    <w:p w14:paraId="27A8F15D" w14:textId="240F1CE8" w:rsidR="009731DF" w:rsidRPr="00EE6C4E" w:rsidRDefault="00AD7CE1" w:rsidP="00EE6C4E">
      <w:pPr>
        <w:rPr>
          <w:lang w:eastAsia="en-AU"/>
        </w:rPr>
      </w:pPr>
      <w:r w:rsidRPr="006C38A4">
        <w:rPr>
          <w:lang w:eastAsia="en-AU"/>
        </w:rPr>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6C38A4">
        <w:rPr>
          <w:lang w:eastAsia="en-AU"/>
        </w:rPr>
        <w:t>have to</w:t>
      </w:r>
      <w:proofErr w:type="gramEnd"/>
      <w:r w:rsidRPr="006C38A4">
        <w:rPr>
          <w:lang w:eastAsia="en-AU"/>
        </w:rPr>
        <w:t xml:space="preserve"> land, culture, knowledge and language for over 65,000 years. </w:t>
      </w:r>
    </w:p>
    <w:p w14:paraId="532AAE4B" w14:textId="40504392" w:rsidR="009731DF" w:rsidRPr="00EE6C4E" w:rsidRDefault="00AD7CE1" w:rsidP="00EE6C4E">
      <w:pPr>
        <w:rPr>
          <w:lang w:eastAsia="en-AU"/>
        </w:rPr>
      </w:pPr>
      <w:r w:rsidRPr="006C38A4">
        <w:rPr>
          <w:lang w:eastAsia="en-AU"/>
        </w:rPr>
        <w:t xml:space="preserve">As a non-Aboriginal organisation, Our Watch understands that violence against Aboriginal and Torres Strait Islander women and children is not an ‘Aboriginal and Torres Strait Islander problem.’ As highlighted in Our Watch’s national resource </w:t>
      </w:r>
      <w:hyperlink r:id="rId14" w:history="1">
        <w:r w:rsidRPr="002D05E9">
          <w:rPr>
            <w:rStyle w:val="Hyperlink"/>
            <w:i/>
            <w:iCs/>
            <w:lang w:eastAsia="en-AU"/>
          </w:rPr>
          <w:t>Changing the picture</w:t>
        </w:r>
      </w:hyperlink>
      <w:r w:rsidRPr="006C38A4">
        <w:rPr>
          <w:lang w:eastAsia="en-AU"/>
        </w:rPr>
        <w:t>, there is an intersection between racism, sexism and violence against Aboriginal and Torres Strait Islander women. </w:t>
      </w:r>
    </w:p>
    <w:p w14:paraId="0A275A37" w14:textId="77777777" w:rsidR="00AD7CE1" w:rsidRPr="006C38A4" w:rsidRDefault="00AD7CE1" w:rsidP="00EE6C4E">
      <w:pPr>
        <w:rPr>
          <w:rFonts w:ascii="Segoe UI" w:hAnsi="Segoe UI"/>
          <w:sz w:val="18"/>
          <w:szCs w:val="18"/>
          <w:lang w:eastAsia="en-AU"/>
        </w:rPr>
      </w:pPr>
      <w:r w:rsidRPr="006C38A4">
        <w:rPr>
          <w:lang w:eastAsia="en-AU"/>
        </w:rPr>
        <w:t>Our Watch has an ongoing commitment to the prevention of violence against Aboriginal and Torres Strait Islander women and children, who continue to experience violence at significantly higher rates than non-Aboriginal women. We acknowledge all Aboriginal and Torres Strait Islander people who continue to lead the work of sharing knowledge with non-Aboriginal people and relentlessly advocate for an equitable, violence-free future in Australia. </w:t>
      </w:r>
    </w:p>
    <w:p w14:paraId="22BCAA20" w14:textId="77777777" w:rsidR="00AD7CE1" w:rsidRPr="006C38A4" w:rsidRDefault="00AD7CE1" w:rsidP="00EE6C4E">
      <w:pPr>
        <w:rPr>
          <w:rFonts w:ascii="Segoe UI" w:hAnsi="Segoe UI"/>
          <w:sz w:val="18"/>
          <w:szCs w:val="18"/>
          <w:lang w:eastAsia="en-AU"/>
        </w:rPr>
      </w:pPr>
      <w:r w:rsidRPr="006C38A4">
        <w:rPr>
          <w:lang w:eastAsia="en-AU"/>
        </w:rPr>
        <w:t> </w:t>
      </w:r>
    </w:p>
    <w:p w14:paraId="3AD765AB" w14:textId="77777777" w:rsidR="00AD7CE1" w:rsidRPr="006C38A4" w:rsidRDefault="00AD7CE1" w:rsidP="00AD7CE1">
      <w:pPr>
        <w:spacing w:after="0"/>
        <w:textAlignment w:val="baseline"/>
        <w:rPr>
          <w:rFonts w:ascii="Segoe UI" w:hAnsi="Segoe UI" w:cs="Segoe UI"/>
          <w:sz w:val="18"/>
          <w:szCs w:val="18"/>
          <w:lang w:eastAsia="en-AU"/>
        </w:rPr>
      </w:pPr>
      <w:r w:rsidRPr="006C38A4">
        <w:rPr>
          <w:rFonts w:cs="Segoe UI"/>
          <w:color w:val="002453"/>
          <w:szCs w:val="24"/>
          <w:lang w:eastAsia="en-AU"/>
        </w:rPr>
        <w:t> </w:t>
      </w:r>
    </w:p>
    <w:p w14:paraId="74641501" w14:textId="77777777" w:rsidR="00AD7CE1" w:rsidRPr="006C38A4" w:rsidRDefault="00AD7CE1" w:rsidP="00AD7CE1">
      <w:pPr>
        <w:spacing w:after="0"/>
        <w:textAlignment w:val="baseline"/>
        <w:rPr>
          <w:rFonts w:ascii="Segoe UI" w:hAnsi="Segoe UI" w:cs="Segoe UI"/>
          <w:sz w:val="18"/>
          <w:szCs w:val="18"/>
          <w:lang w:eastAsia="en-AU"/>
        </w:rPr>
      </w:pPr>
      <w:r w:rsidRPr="006C38A4">
        <w:rPr>
          <w:rFonts w:cs="Segoe UI"/>
          <w:color w:val="002453"/>
          <w:szCs w:val="24"/>
          <w:lang w:eastAsia="en-AU"/>
        </w:rPr>
        <w:t> </w:t>
      </w:r>
    </w:p>
    <w:p w14:paraId="3E86B6EF" w14:textId="77777777" w:rsidR="00AD7CE1" w:rsidRPr="006C38A4" w:rsidRDefault="00AD7CE1" w:rsidP="006552DB">
      <w:pPr>
        <w:pStyle w:val="Heading1"/>
        <w:rPr>
          <w:rFonts w:ascii="Segoe UI" w:hAnsi="Segoe UI"/>
          <w:sz w:val="18"/>
          <w:szCs w:val="18"/>
          <w:lang w:eastAsia="en-AU"/>
        </w:rPr>
      </w:pPr>
      <w:r w:rsidRPr="006C38A4">
        <w:rPr>
          <w:lang w:eastAsia="en-AU"/>
        </w:rPr>
        <w:t>About Our Watch  </w:t>
      </w:r>
    </w:p>
    <w:p w14:paraId="0860D87A" w14:textId="1E5118A7" w:rsidR="009731DF" w:rsidRPr="00EE6C4E" w:rsidRDefault="004A6D66" w:rsidP="00EE6C4E">
      <w:pPr>
        <w:rPr>
          <w:lang w:eastAsia="en-AU"/>
        </w:rPr>
      </w:pPr>
      <w:hyperlink r:id="rId15" w:tgtFrame="_blank" w:history="1">
        <w:r w:rsidR="00AD7CE1" w:rsidRPr="006C38A4">
          <w:rPr>
            <w:u w:val="single"/>
            <w:shd w:val="clear" w:color="auto" w:fill="E1E3E6"/>
            <w:lang w:eastAsia="en-AU"/>
          </w:rPr>
          <w:t>Our Watch</w:t>
        </w:r>
      </w:hyperlink>
      <w:r w:rsidR="00AD7CE1" w:rsidRPr="006C38A4">
        <w:rPr>
          <w:lang w:eastAsia="en-AU"/>
        </w:rPr>
        <w:t xml:space="preserve"> is </w:t>
      </w:r>
      <w:r w:rsidR="00CD14B8">
        <w:rPr>
          <w:lang w:eastAsia="en-AU"/>
        </w:rPr>
        <w:t>the</w:t>
      </w:r>
      <w:r w:rsidR="00AD7CE1" w:rsidRPr="006C38A4">
        <w:rPr>
          <w:lang w:eastAsia="en-AU"/>
        </w:rPr>
        <w:t xml:space="preserve"> national leader in the primary prevention of violence against women and their children in Australia. We are an independent, not for profit organisation established in 2013. All Australian governments are members of Our Watch.  </w:t>
      </w:r>
    </w:p>
    <w:p w14:paraId="081F56DE" w14:textId="316E7660" w:rsidR="00AD7CE1" w:rsidRPr="006C38A4" w:rsidRDefault="00AD7CE1" w:rsidP="00EE6C4E">
      <w:pPr>
        <w:rPr>
          <w:lang w:eastAsia="en-AU"/>
        </w:rPr>
      </w:pPr>
      <w:r w:rsidRPr="006C38A4">
        <w:rPr>
          <w:lang w:eastAsia="en-AU"/>
        </w:rPr>
        <w:t xml:space="preserve">Our vision is an Australia where women and their children live free from all forms of violence. We aim to drive nation-wide change in the culture, behaviours, </w:t>
      </w:r>
      <w:proofErr w:type="gramStart"/>
      <w:r w:rsidRPr="006C38A4">
        <w:rPr>
          <w:lang w:eastAsia="en-AU"/>
        </w:rPr>
        <w:t>attitudes</w:t>
      </w:r>
      <w:r w:rsidR="00CD14B8">
        <w:rPr>
          <w:lang w:eastAsia="en-AU"/>
        </w:rPr>
        <w:t>,</w:t>
      </w:r>
      <w:r w:rsidRPr="006C38A4">
        <w:rPr>
          <w:lang w:eastAsia="en-AU"/>
        </w:rPr>
        <w:t xml:space="preserve">  social</w:t>
      </w:r>
      <w:proofErr w:type="gramEnd"/>
      <w:r w:rsidRPr="006C38A4">
        <w:rPr>
          <w:lang w:eastAsia="en-AU"/>
        </w:rPr>
        <w:t xml:space="preserve"> structures</w:t>
      </w:r>
      <w:r w:rsidR="00CD14B8">
        <w:rPr>
          <w:lang w:eastAsia="en-AU"/>
        </w:rPr>
        <w:t xml:space="preserve"> and systems</w:t>
      </w:r>
      <w:r w:rsidRPr="006C38A4">
        <w:rPr>
          <w:lang w:eastAsia="en-AU"/>
        </w:rPr>
        <w:t xml:space="preserve"> that drive violence against women. Guided by our ground-breaking national frameworks, </w:t>
      </w:r>
      <w:hyperlink r:id="rId16" w:history="1">
        <w:r w:rsidRPr="00C931A4">
          <w:rPr>
            <w:rStyle w:val="Hyperlink"/>
            <w:i/>
            <w:iCs/>
            <w:lang w:eastAsia="en-AU"/>
          </w:rPr>
          <w:t xml:space="preserve">Change the story </w:t>
        </w:r>
        <w:r w:rsidRPr="00C931A4">
          <w:rPr>
            <w:rStyle w:val="Hyperlink"/>
            <w:lang w:eastAsia="en-AU"/>
          </w:rPr>
          <w:t>(2</w:t>
        </w:r>
        <w:r w:rsidRPr="00C931A4">
          <w:rPr>
            <w:rStyle w:val="Hyperlink"/>
            <w:sz w:val="19"/>
            <w:szCs w:val="19"/>
            <w:vertAlign w:val="superscript"/>
            <w:lang w:eastAsia="en-AU"/>
          </w:rPr>
          <w:t>nd</w:t>
        </w:r>
        <w:r w:rsidRPr="00C931A4">
          <w:rPr>
            <w:rStyle w:val="Hyperlink"/>
            <w:lang w:eastAsia="en-AU"/>
          </w:rPr>
          <w:t xml:space="preserve"> ed 2021)</w:t>
        </w:r>
      </w:hyperlink>
      <w:r w:rsidRPr="00C931A4">
        <w:rPr>
          <w:lang w:eastAsia="en-AU"/>
        </w:rPr>
        <w:t xml:space="preserve">, </w:t>
      </w:r>
      <w:hyperlink r:id="rId17" w:history="1">
        <w:r w:rsidRPr="0002674E">
          <w:rPr>
            <w:rStyle w:val="Hyperlink"/>
            <w:i/>
            <w:iCs/>
            <w:lang w:eastAsia="en-AU"/>
          </w:rPr>
          <w:t>Changing the picture</w:t>
        </w:r>
        <w:r w:rsidRPr="0002674E">
          <w:rPr>
            <w:rStyle w:val="Hyperlink"/>
            <w:lang w:eastAsia="en-AU"/>
          </w:rPr>
          <w:t xml:space="preserve"> (2018)</w:t>
        </w:r>
      </w:hyperlink>
      <w:r w:rsidRPr="00C931A4">
        <w:rPr>
          <w:lang w:eastAsia="en-AU"/>
        </w:rPr>
        <w:t xml:space="preserve"> and </w:t>
      </w:r>
      <w:hyperlink r:id="rId18" w:history="1">
        <w:r w:rsidRPr="00690E28">
          <w:rPr>
            <w:rStyle w:val="Hyperlink"/>
            <w:i/>
            <w:iCs/>
            <w:lang w:eastAsia="en-AU"/>
          </w:rPr>
          <w:t>Changing the landscape</w:t>
        </w:r>
        <w:r w:rsidRPr="00690E28">
          <w:rPr>
            <w:rStyle w:val="Hyperlink"/>
            <w:lang w:eastAsia="en-AU"/>
          </w:rPr>
          <w:t xml:space="preserve"> (2022)</w:t>
        </w:r>
      </w:hyperlink>
      <w:r w:rsidRPr="00C931A4">
        <w:rPr>
          <w:lang w:eastAsia="en-AU"/>
        </w:rPr>
        <w:t>,</w:t>
      </w:r>
      <w:r w:rsidR="009A0D2F" w:rsidRPr="00C931A4" w:rsidDel="009A0D2F">
        <w:rPr>
          <w:rFonts w:ascii="Poppins" w:hAnsi="Poppins" w:cs="Poppins"/>
          <w:b/>
          <w:sz w:val="19"/>
          <w:szCs w:val="19"/>
          <w:vertAlign w:val="superscript"/>
          <w:lang w:eastAsia="en-AU"/>
        </w:rPr>
        <w:t xml:space="preserve"> </w:t>
      </w:r>
      <w:r w:rsidRPr="006C38A4">
        <w:rPr>
          <w:lang w:eastAsia="en-AU"/>
        </w:rPr>
        <w:t>we work at all levels of our society to address the deeply entrenched, underlying drivers of violence against women. We work with governments, practitioners, and the community, at all levels of Australian society, to address these drivers of violence in all settings where people live, learn, work, and socialise.</w:t>
      </w:r>
      <w:r w:rsidRPr="006C38A4">
        <w:rPr>
          <w:rFonts w:ascii="Times New Roman" w:hAnsi="Times New Roman"/>
          <w:lang w:eastAsia="en-AU"/>
        </w:rPr>
        <w:t> </w:t>
      </w:r>
      <w:r w:rsidRPr="006C38A4">
        <w:rPr>
          <w:lang w:eastAsia="en-AU"/>
        </w:rPr>
        <w:t> </w:t>
      </w:r>
    </w:p>
    <w:p w14:paraId="6365F70B" w14:textId="77777777" w:rsidR="001D0CF7" w:rsidRPr="006C38A4" w:rsidRDefault="001D0CF7" w:rsidP="00AD7CE1">
      <w:pPr>
        <w:spacing w:after="0"/>
        <w:textAlignment w:val="baseline"/>
        <w:rPr>
          <w:rFonts w:cs="Segoe UI"/>
          <w:color w:val="002453"/>
          <w:szCs w:val="24"/>
          <w:lang w:eastAsia="en-AU"/>
        </w:rPr>
      </w:pPr>
    </w:p>
    <w:p w14:paraId="660AEE0C" w14:textId="77777777" w:rsidR="005926FA" w:rsidRPr="006C38A4" w:rsidRDefault="005926FA">
      <w:pPr>
        <w:spacing w:after="160" w:line="259" w:lineRule="auto"/>
        <w:rPr>
          <w:rFonts w:eastAsiaTheme="majorEastAsia" w:cstheme="minorHAnsi"/>
          <w:b/>
          <w:sz w:val="40"/>
          <w:szCs w:val="32"/>
          <w:lang w:eastAsia="en-AU"/>
        </w:rPr>
      </w:pPr>
      <w:r w:rsidRPr="006C38A4">
        <w:rPr>
          <w:lang w:eastAsia="en-AU"/>
        </w:rPr>
        <w:br w:type="page"/>
      </w:r>
    </w:p>
    <w:p w14:paraId="3671FED7" w14:textId="1F0B8256" w:rsidR="001D0CF7" w:rsidRPr="006C38A4" w:rsidRDefault="00FA52AD" w:rsidP="001D0CF7">
      <w:pPr>
        <w:pStyle w:val="Heading1"/>
        <w:rPr>
          <w:lang w:eastAsia="en-AU"/>
        </w:rPr>
      </w:pPr>
      <w:r w:rsidRPr="006C38A4">
        <w:rPr>
          <w:lang w:eastAsia="en-AU"/>
        </w:rPr>
        <w:lastRenderedPageBreak/>
        <w:t>Executive Summary</w:t>
      </w:r>
    </w:p>
    <w:p w14:paraId="5D5CAFF9" w14:textId="77777777" w:rsidR="00CD14B8" w:rsidRDefault="004806B5" w:rsidP="00005E3B">
      <w:pPr>
        <w:rPr>
          <w:lang w:eastAsia="en-AU"/>
        </w:rPr>
      </w:pPr>
      <w:r w:rsidRPr="006C38A4">
        <w:rPr>
          <w:lang w:eastAsia="en-AU"/>
        </w:rPr>
        <w:t xml:space="preserve">Our Watch welcomes </w:t>
      </w:r>
      <w:r w:rsidR="00EE6C4E">
        <w:rPr>
          <w:lang w:eastAsia="en-AU"/>
        </w:rPr>
        <w:t xml:space="preserve">the focus of </w:t>
      </w:r>
      <w:r w:rsidR="001A5882">
        <w:rPr>
          <w:lang w:eastAsia="en-AU"/>
        </w:rPr>
        <w:t xml:space="preserve">the Australian Human Rights Commission’s (AHRC) </w:t>
      </w:r>
      <w:r w:rsidR="00F94345" w:rsidRPr="006C38A4">
        <w:rPr>
          <w:lang w:eastAsia="en-AU"/>
        </w:rPr>
        <w:t>consultation</w:t>
      </w:r>
      <w:r w:rsidRPr="006C38A4">
        <w:rPr>
          <w:lang w:eastAsia="en-AU"/>
        </w:rPr>
        <w:t xml:space="preserve"> on the</w:t>
      </w:r>
      <w:r w:rsidR="00457EC8">
        <w:rPr>
          <w:lang w:eastAsia="en-AU"/>
        </w:rPr>
        <w:t xml:space="preserve"> current and emerging</w:t>
      </w:r>
      <w:r w:rsidRPr="006C38A4">
        <w:rPr>
          <w:lang w:eastAsia="en-AU"/>
        </w:rPr>
        <w:t xml:space="preserve"> threats </w:t>
      </w:r>
      <w:r w:rsidR="005718F0">
        <w:rPr>
          <w:lang w:eastAsia="en-AU"/>
        </w:rPr>
        <w:t>to</w:t>
      </w:r>
      <w:r w:rsidR="005718F0" w:rsidRPr="006C38A4">
        <w:rPr>
          <w:lang w:eastAsia="en-AU"/>
        </w:rPr>
        <w:t xml:space="preserve"> </w:t>
      </w:r>
      <w:r w:rsidRPr="006C38A4">
        <w:rPr>
          <w:lang w:eastAsia="en-AU"/>
        </w:rPr>
        <w:t>trans and gender diverse</w:t>
      </w:r>
      <w:r w:rsidR="00457EC8">
        <w:rPr>
          <w:lang w:eastAsia="en-AU"/>
        </w:rPr>
        <w:t xml:space="preserve"> human rights. </w:t>
      </w:r>
    </w:p>
    <w:p w14:paraId="734B1CEE" w14:textId="4C79AF95" w:rsidR="00D73C45" w:rsidRDefault="00A53D34" w:rsidP="00566D40">
      <w:pPr>
        <w:rPr>
          <w:rStyle w:val="ui-provider"/>
        </w:rPr>
      </w:pPr>
      <w:r w:rsidRPr="30CF76C0">
        <w:rPr>
          <w:rStyle w:val="ui-provider"/>
        </w:rPr>
        <w:t>Our Watch supports the work and expertise of specialis</w:t>
      </w:r>
      <w:r w:rsidR="001C1508" w:rsidRPr="30CF76C0">
        <w:rPr>
          <w:rStyle w:val="ui-provider"/>
        </w:rPr>
        <w:t>t</w:t>
      </w:r>
      <w:r w:rsidR="00EC7B47" w:rsidRPr="30CF76C0">
        <w:rPr>
          <w:lang w:eastAsia="en-AU"/>
        </w:rPr>
        <w:t xml:space="preserve"> </w:t>
      </w:r>
      <w:r w:rsidR="00C83E7B" w:rsidRPr="30CF76C0">
        <w:rPr>
          <w:lang w:eastAsia="en-AU"/>
        </w:rPr>
        <w:t>l</w:t>
      </w:r>
      <w:r w:rsidR="00EC7B47" w:rsidRPr="30CF76C0">
        <w:rPr>
          <w:lang w:eastAsia="en-AU"/>
        </w:rPr>
        <w:t xml:space="preserve">esbian, </w:t>
      </w:r>
      <w:r w:rsidR="00C83E7B" w:rsidRPr="30CF76C0">
        <w:rPr>
          <w:lang w:eastAsia="en-AU"/>
        </w:rPr>
        <w:t>g</w:t>
      </w:r>
      <w:r w:rsidR="00EC7B47" w:rsidRPr="30CF76C0">
        <w:rPr>
          <w:lang w:eastAsia="en-AU"/>
        </w:rPr>
        <w:t xml:space="preserve">ay, </w:t>
      </w:r>
      <w:r w:rsidR="00C83E7B" w:rsidRPr="30CF76C0">
        <w:rPr>
          <w:lang w:eastAsia="en-AU"/>
        </w:rPr>
        <w:t>b</w:t>
      </w:r>
      <w:r w:rsidR="00EC7B47" w:rsidRPr="30CF76C0">
        <w:rPr>
          <w:lang w:eastAsia="en-AU"/>
        </w:rPr>
        <w:t xml:space="preserve">isexual, </w:t>
      </w:r>
      <w:r w:rsidR="00C83E7B" w:rsidRPr="30CF76C0">
        <w:rPr>
          <w:lang w:eastAsia="en-AU"/>
        </w:rPr>
        <w:t>t</w:t>
      </w:r>
      <w:r w:rsidR="00EC7B47" w:rsidRPr="30CF76C0">
        <w:rPr>
          <w:lang w:eastAsia="en-AU"/>
        </w:rPr>
        <w:t>rans</w:t>
      </w:r>
      <w:r w:rsidR="009354B3" w:rsidRPr="30CF76C0">
        <w:rPr>
          <w:lang w:eastAsia="en-AU"/>
        </w:rPr>
        <w:t>gender</w:t>
      </w:r>
      <w:r w:rsidR="00EC7B47" w:rsidRPr="30CF76C0">
        <w:rPr>
          <w:lang w:eastAsia="en-AU"/>
        </w:rPr>
        <w:t xml:space="preserve">, </w:t>
      </w:r>
      <w:r w:rsidR="006A3494" w:rsidRPr="30CF76C0">
        <w:rPr>
          <w:lang w:eastAsia="en-AU"/>
        </w:rPr>
        <w:t>i</w:t>
      </w:r>
      <w:r w:rsidR="00EC7B47" w:rsidRPr="30CF76C0">
        <w:rPr>
          <w:lang w:eastAsia="en-AU"/>
        </w:rPr>
        <w:t xml:space="preserve">ntersex, </w:t>
      </w:r>
      <w:r w:rsidR="006A3494" w:rsidRPr="30CF76C0">
        <w:rPr>
          <w:lang w:eastAsia="en-AU"/>
        </w:rPr>
        <w:t>q</w:t>
      </w:r>
      <w:r w:rsidR="00EC7B47" w:rsidRPr="30CF76C0">
        <w:rPr>
          <w:lang w:eastAsia="en-AU"/>
        </w:rPr>
        <w:t xml:space="preserve">ueer, and </w:t>
      </w:r>
      <w:r w:rsidR="006A3494" w:rsidRPr="30CF76C0">
        <w:rPr>
          <w:lang w:eastAsia="en-AU"/>
        </w:rPr>
        <w:t>a</w:t>
      </w:r>
      <w:r w:rsidR="00EC7B47" w:rsidRPr="30CF76C0">
        <w:rPr>
          <w:lang w:eastAsia="en-AU"/>
        </w:rPr>
        <w:t>sexual (LGBTIQA+)</w:t>
      </w:r>
      <w:r w:rsidRPr="30CF76C0">
        <w:rPr>
          <w:rStyle w:val="ui-provider"/>
        </w:rPr>
        <w:t xml:space="preserve"> organisations in leading </w:t>
      </w:r>
      <w:r w:rsidR="00E9724B" w:rsidRPr="30CF76C0">
        <w:rPr>
          <w:rStyle w:val="ui-provider"/>
        </w:rPr>
        <w:t>the prevention of violence against trans and gender diverse people</w:t>
      </w:r>
      <w:r w:rsidRPr="30CF76C0">
        <w:rPr>
          <w:rStyle w:val="ui-provider"/>
        </w:rPr>
        <w:t xml:space="preserve">. </w:t>
      </w:r>
      <w:r w:rsidR="007C6082" w:rsidRPr="30CF76C0">
        <w:rPr>
          <w:rStyle w:val="ui-provider"/>
        </w:rPr>
        <w:t xml:space="preserve">We offer this submission as a non-LGBTIQA+ specialist organisation </w:t>
      </w:r>
      <w:r w:rsidR="00652F4E" w:rsidRPr="30CF76C0">
        <w:rPr>
          <w:rStyle w:val="ui-provider"/>
        </w:rPr>
        <w:t xml:space="preserve">with acknowledgment that </w:t>
      </w:r>
      <w:r w:rsidR="00943072" w:rsidRPr="30CF76C0">
        <w:rPr>
          <w:rStyle w:val="ui-provider"/>
        </w:rPr>
        <w:t xml:space="preserve">upholding the rights of trans and </w:t>
      </w:r>
      <w:r w:rsidR="00213DA1" w:rsidRPr="30CF76C0">
        <w:rPr>
          <w:rStyle w:val="ui-provider"/>
        </w:rPr>
        <w:t xml:space="preserve">gender diverse people </w:t>
      </w:r>
      <w:r w:rsidR="00182639" w:rsidRPr="30CF76C0">
        <w:rPr>
          <w:rStyle w:val="ui-provider"/>
        </w:rPr>
        <w:t>to live free from violence</w:t>
      </w:r>
      <w:r w:rsidR="00213DA1" w:rsidRPr="30CF76C0">
        <w:rPr>
          <w:rStyle w:val="ui-provider"/>
        </w:rPr>
        <w:t xml:space="preserve"> </w:t>
      </w:r>
      <w:r w:rsidR="00182639" w:rsidRPr="30CF76C0">
        <w:rPr>
          <w:rStyle w:val="ui-provider"/>
        </w:rPr>
        <w:t xml:space="preserve">is </w:t>
      </w:r>
      <w:r w:rsidR="00943072" w:rsidRPr="30CF76C0">
        <w:rPr>
          <w:rStyle w:val="ui-provider"/>
        </w:rPr>
        <w:t>align</w:t>
      </w:r>
      <w:r w:rsidR="00182639" w:rsidRPr="30CF76C0">
        <w:rPr>
          <w:rStyle w:val="ui-provider"/>
        </w:rPr>
        <w:t xml:space="preserve">ed </w:t>
      </w:r>
      <w:r w:rsidR="005B02E7" w:rsidRPr="30CF76C0">
        <w:rPr>
          <w:rStyle w:val="ui-provider"/>
        </w:rPr>
        <w:t xml:space="preserve">with </w:t>
      </w:r>
      <w:r w:rsidR="00182639" w:rsidRPr="30CF76C0">
        <w:rPr>
          <w:rStyle w:val="ui-provider"/>
        </w:rPr>
        <w:t>and interrelated</w:t>
      </w:r>
      <w:r w:rsidR="00943072" w:rsidRPr="30CF76C0">
        <w:rPr>
          <w:rStyle w:val="ui-provider"/>
        </w:rPr>
        <w:t xml:space="preserve"> </w:t>
      </w:r>
      <w:r w:rsidR="005B02E7" w:rsidRPr="30CF76C0">
        <w:rPr>
          <w:rStyle w:val="ui-provider"/>
        </w:rPr>
        <w:t>to</w:t>
      </w:r>
      <w:r w:rsidR="00943072" w:rsidRPr="30CF76C0">
        <w:rPr>
          <w:rStyle w:val="ui-provider"/>
        </w:rPr>
        <w:t xml:space="preserve"> our </w:t>
      </w:r>
      <w:r w:rsidR="00182639" w:rsidRPr="30CF76C0">
        <w:rPr>
          <w:rStyle w:val="ui-provider"/>
        </w:rPr>
        <w:t xml:space="preserve">organisational </w:t>
      </w:r>
      <w:r w:rsidR="00943072" w:rsidRPr="30CF76C0">
        <w:rPr>
          <w:rStyle w:val="ui-provider"/>
        </w:rPr>
        <w:t>remit to</w:t>
      </w:r>
      <w:r w:rsidR="00652F4E" w:rsidRPr="30CF76C0">
        <w:rPr>
          <w:rStyle w:val="ui-provider"/>
        </w:rPr>
        <w:t xml:space="preserve"> advanc</w:t>
      </w:r>
      <w:r w:rsidR="00943072" w:rsidRPr="30CF76C0">
        <w:rPr>
          <w:rStyle w:val="ui-provider"/>
        </w:rPr>
        <w:t>e</w:t>
      </w:r>
      <w:r w:rsidR="00652F4E" w:rsidRPr="30CF76C0">
        <w:rPr>
          <w:rStyle w:val="ui-provider"/>
        </w:rPr>
        <w:t xml:space="preserve"> gender equality and prevent violence against women</w:t>
      </w:r>
      <w:r w:rsidR="005B02E7" w:rsidRPr="30CF76C0">
        <w:rPr>
          <w:rStyle w:val="ui-provider"/>
        </w:rPr>
        <w:t>.</w:t>
      </w:r>
      <w:r w:rsidR="00793811" w:rsidRPr="30CF76C0">
        <w:rPr>
          <w:rStyle w:val="ui-provider"/>
        </w:rPr>
        <w:t xml:space="preserve"> </w:t>
      </w:r>
    </w:p>
    <w:p w14:paraId="492304B1" w14:textId="007E00A8" w:rsidR="006E1FB6" w:rsidRDefault="00CD14B8" w:rsidP="00566D40">
      <w:r>
        <w:rPr>
          <w:rStyle w:val="ui-provider"/>
        </w:rPr>
        <w:t xml:space="preserve">Our Watch undertakes a range of work relevant to LGBTIQA+ rights, including a new project in partnership with Rainbow Health Australia to develop a national framework for the prevention of violence against LGBTIQA+ people and communities. </w:t>
      </w:r>
      <w:r w:rsidR="008012DA">
        <w:rPr>
          <w:lang w:eastAsia="en-AU"/>
        </w:rPr>
        <w:t xml:space="preserve">Evidence </w:t>
      </w:r>
      <w:r w:rsidR="00F17B9E">
        <w:rPr>
          <w:lang w:eastAsia="en-AU"/>
        </w:rPr>
        <w:t>indicates</w:t>
      </w:r>
      <w:r w:rsidR="00F17B9E" w:rsidRPr="006C38A4">
        <w:rPr>
          <w:lang w:eastAsia="en-AU"/>
        </w:rPr>
        <w:t xml:space="preserve"> </w:t>
      </w:r>
      <w:r w:rsidR="008012DA" w:rsidRPr="006C38A4">
        <w:rPr>
          <w:lang w:eastAsia="en-AU"/>
        </w:rPr>
        <w:t>that there is</w:t>
      </w:r>
      <w:r w:rsidR="008012DA" w:rsidRPr="006C38A4">
        <w:rPr>
          <w:shd w:val="clear" w:color="auto" w:fill="FFFFFF"/>
        </w:rPr>
        <w:t xml:space="preserve"> significant overlap between the drivers of violence against women and LGBTIQA+ communities</w:t>
      </w:r>
      <w:r w:rsidR="009E3911">
        <w:rPr>
          <w:shd w:val="clear" w:color="auto" w:fill="FFFFFF"/>
        </w:rPr>
        <w:t>,</w:t>
      </w:r>
      <w:r w:rsidR="008012DA" w:rsidRPr="006C38A4">
        <w:rPr>
          <w:shd w:val="clear" w:color="auto" w:fill="FFFFFF"/>
        </w:rPr>
        <w:t xml:space="preserve"> including rigid gender norms, heteronormativity and cisnormativity</w:t>
      </w:r>
      <w:r w:rsidR="00423539">
        <w:rPr>
          <w:shd w:val="clear" w:color="auto" w:fill="FFFFFF"/>
        </w:rPr>
        <w:t xml:space="preserve"> </w:t>
      </w:r>
      <w:r w:rsidR="00787A03">
        <w:rPr>
          <w:shd w:val="clear" w:color="auto" w:fill="FFFFFF"/>
        </w:rPr>
        <w:t>and the social context of gender and intersectin</w:t>
      </w:r>
      <w:r w:rsidR="00525E52">
        <w:rPr>
          <w:shd w:val="clear" w:color="auto" w:fill="FFFFFF"/>
        </w:rPr>
        <w:t>g</w:t>
      </w:r>
      <w:r w:rsidR="00787A03">
        <w:rPr>
          <w:shd w:val="clear" w:color="auto" w:fill="FFFFFF"/>
        </w:rPr>
        <w:t xml:space="preserve"> inequalities</w:t>
      </w:r>
      <w:r w:rsidR="008012DA" w:rsidRPr="006C38A4">
        <w:rPr>
          <w:shd w:val="clear" w:color="auto" w:fill="FFFFFF"/>
        </w:rPr>
        <w:t>.</w:t>
      </w:r>
      <w:r w:rsidR="00D12159">
        <w:rPr>
          <w:rFonts w:ascii="ZWAdobeF" w:hAnsi="ZWAdobeF" w:cs="ZWAdobeF"/>
          <w:color w:val="auto"/>
          <w:sz w:val="2"/>
          <w:szCs w:val="2"/>
          <w:shd w:val="clear" w:color="auto" w:fill="FFFFFF"/>
        </w:rPr>
        <w:t>0F</w:t>
      </w:r>
      <w:r w:rsidR="008012DA" w:rsidRPr="006C38A4">
        <w:rPr>
          <w:rStyle w:val="EndnoteReference"/>
          <w:shd w:val="clear" w:color="auto" w:fill="FFFFFF"/>
          <w:vertAlign w:val="superscript"/>
        </w:rPr>
        <w:endnoteReference w:id="2"/>
      </w:r>
      <w:r w:rsidR="008012DA" w:rsidRPr="006C38A4">
        <w:rPr>
          <w:shd w:val="clear" w:color="auto" w:fill="FFFFFF"/>
        </w:rPr>
        <w:t xml:space="preserve"> </w:t>
      </w:r>
      <w:r>
        <w:rPr>
          <w:shd w:val="clear" w:color="auto" w:fill="FFFFFF"/>
        </w:rPr>
        <w:t xml:space="preserve">As a result, </w:t>
      </w:r>
      <w:r w:rsidR="008012DA">
        <w:rPr>
          <w:shd w:val="clear" w:color="auto" w:fill="FFFFFF"/>
        </w:rPr>
        <w:t>w</w:t>
      </w:r>
      <w:r w:rsidR="008012DA" w:rsidRPr="006C38A4">
        <w:rPr>
          <w:shd w:val="clear" w:color="auto" w:fill="FFFFFF"/>
        </w:rPr>
        <w:t xml:space="preserve">ork towards preventing violence against women mutually reinforces work to prevent violence against </w:t>
      </w:r>
      <w:r w:rsidR="00812429">
        <w:rPr>
          <w:shd w:val="clear" w:color="auto" w:fill="FFFFFF"/>
        </w:rPr>
        <w:t xml:space="preserve">LGBTIQA+ people, including </w:t>
      </w:r>
      <w:r w:rsidR="008012DA" w:rsidRPr="006C38A4">
        <w:rPr>
          <w:shd w:val="clear" w:color="auto" w:fill="FFFFFF"/>
        </w:rPr>
        <w:t>trans and gender diverse people.</w:t>
      </w:r>
      <w:r w:rsidR="008012DA">
        <w:rPr>
          <w:shd w:val="clear" w:color="auto" w:fill="FFFFFF"/>
        </w:rPr>
        <w:t xml:space="preserve"> </w:t>
      </w:r>
      <w:r>
        <w:t>As part of</w:t>
      </w:r>
      <w:r w:rsidRPr="006C38A4">
        <w:t xml:space="preserve"> </w:t>
      </w:r>
      <w:r w:rsidR="00EA4900" w:rsidRPr="006C38A4">
        <w:t>all</w:t>
      </w:r>
      <w:r w:rsidR="00196D9F">
        <w:t xml:space="preserve"> work to promote gender equality and prevent violence, </w:t>
      </w:r>
      <w:r w:rsidR="00EA4900">
        <w:t xml:space="preserve">there are important opportunities to </w:t>
      </w:r>
      <w:r w:rsidR="00EA4900" w:rsidRPr="006C38A4">
        <w:t>draw attention to, and take action to address heteronormativity, cisnormativity, homo-, bi- and transphobia</w:t>
      </w:r>
      <w:r w:rsidR="00EA7252">
        <w:t xml:space="preserve">, as well as </w:t>
      </w:r>
      <w:r w:rsidR="00EA4900" w:rsidRPr="006C38A4">
        <w:t>the intersections with racism, colonialism, ageism, ableism and class discrimination and oppression</w:t>
      </w:r>
      <w:r w:rsidR="00EA4900">
        <w:t>.</w:t>
      </w:r>
      <w:r w:rsidR="006E1FB6">
        <w:t xml:space="preserve"> </w:t>
      </w:r>
    </w:p>
    <w:p w14:paraId="48B6A9B2" w14:textId="33BC09A0" w:rsidR="003A657E" w:rsidRDefault="007D2725" w:rsidP="00566D40">
      <w:pPr>
        <w:rPr>
          <w:lang w:eastAsia="en-AU"/>
        </w:rPr>
      </w:pPr>
      <w:r>
        <w:rPr>
          <w:lang w:eastAsia="en-AU"/>
        </w:rPr>
        <w:t xml:space="preserve">The </w:t>
      </w:r>
      <w:r w:rsidR="001A5882">
        <w:rPr>
          <w:lang w:eastAsia="en-AU"/>
        </w:rPr>
        <w:t xml:space="preserve">AHRC’s </w:t>
      </w:r>
      <w:r w:rsidR="00CD14B8">
        <w:rPr>
          <w:lang w:eastAsia="en-AU"/>
        </w:rPr>
        <w:t xml:space="preserve">work has the potential to contribute to </w:t>
      </w:r>
      <w:r w:rsidR="00A53D34" w:rsidRPr="006C38A4">
        <w:rPr>
          <w:lang w:eastAsia="en-AU"/>
        </w:rPr>
        <w:t xml:space="preserve">building the </w:t>
      </w:r>
      <w:r w:rsidR="00CF2171">
        <w:rPr>
          <w:lang w:eastAsia="en-AU"/>
        </w:rPr>
        <w:t xml:space="preserve">national </w:t>
      </w:r>
      <w:r w:rsidR="00A53D34" w:rsidRPr="006C38A4">
        <w:rPr>
          <w:lang w:eastAsia="en-AU"/>
        </w:rPr>
        <w:t xml:space="preserve">evidence base </w:t>
      </w:r>
      <w:r w:rsidR="004055C1">
        <w:rPr>
          <w:lang w:eastAsia="en-AU"/>
        </w:rPr>
        <w:t xml:space="preserve">to inform a </w:t>
      </w:r>
      <w:r w:rsidR="00783641">
        <w:rPr>
          <w:lang w:eastAsia="en-AU"/>
        </w:rPr>
        <w:t xml:space="preserve">comprehensive and </w:t>
      </w:r>
      <w:r w:rsidR="004055C1">
        <w:rPr>
          <w:lang w:eastAsia="en-AU"/>
        </w:rPr>
        <w:t xml:space="preserve">nuanced understanding of the prevalence, </w:t>
      </w:r>
      <w:proofErr w:type="gramStart"/>
      <w:r w:rsidR="004055C1">
        <w:rPr>
          <w:lang w:eastAsia="en-AU"/>
        </w:rPr>
        <w:t>forms</w:t>
      </w:r>
      <w:proofErr w:type="gramEnd"/>
      <w:r w:rsidR="00A53D34" w:rsidRPr="006C38A4">
        <w:rPr>
          <w:lang w:eastAsia="en-AU"/>
        </w:rPr>
        <w:t xml:space="preserve"> </w:t>
      </w:r>
      <w:r w:rsidR="00783641">
        <w:rPr>
          <w:lang w:eastAsia="en-AU"/>
        </w:rPr>
        <w:t xml:space="preserve">and drivers </w:t>
      </w:r>
      <w:r w:rsidR="004055C1">
        <w:rPr>
          <w:lang w:eastAsia="en-AU"/>
        </w:rPr>
        <w:t xml:space="preserve">of violence against </w:t>
      </w:r>
      <w:r w:rsidR="00783641">
        <w:rPr>
          <w:lang w:eastAsia="en-AU"/>
        </w:rPr>
        <w:t>trans and gender diverse people</w:t>
      </w:r>
      <w:r w:rsidR="00A53D34" w:rsidRPr="006C38A4">
        <w:rPr>
          <w:lang w:eastAsia="en-AU"/>
        </w:rPr>
        <w:t xml:space="preserve">, including how </w:t>
      </w:r>
      <w:r w:rsidR="00CA3927">
        <w:rPr>
          <w:lang w:eastAsia="en-AU"/>
        </w:rPr>
        <w:t xml:space="preserve">to </w:t>
      </w:r>
      <w:r w:rsidR="002D4D43">
        <w:rPr>
          <w:lang w:eastAsia="en-AU"/>
        </w:rPr>
        <w:t xml:space="preserve">prevent and address </w:t>
      </w:r>
      <w:r w:rsidR="00F85D0C">
        <w:rPr>
          <w:lang w:eastAsia="en-AU"/>
        </w:rPr>
        <w:t>such violence.</w:t>
      </w:r>
      <w:r w:rsidR="00C172CA">
        <w:rPr>
          <w:lang w:eastAsia="en-AU"/>
        </w:rPr>
        <w:t xml:space="preserve"> </w:t>
      </w:r>
      <w:r w:rsidR="00153FE1">
        <w:rPr>
          <w:lang w:eastAsia="en-AU"/>
        </w:rPr>
        <w:t xml:space="preserve"> </w:t>
      </w:r>
    </w:p>
    <w:p w14:paraId="70494565" w14:textId="7817053C" w:rsidR="00CD14B8" w:rsidRDefault="005B02E7" w:rsidP="003A657E">
      <w:pPr>
        <w:rPr>
          <w:rStyle w:val="ui-provider"/>
        </w:rPr>
      </w:pPr>
      <w:r>
        <w:rPr>
          <w:rStyle w:val="ui-provider"/>
        </w:rPr>
        <w:t>W</w:t>
      </w:r>
      <w:r w:rsidR="00260DB7">
        <w:rPr>
          <w:rStyle w:val="ui-provider"/>
        </w:rPr>
        <w:t xml:space="preserve">e welcome the </w:t>
      </w:r>
      <w:r w:rsidR="00060D12">
        <w:rPr>
          <w:rStyle w:val="ui-provider"/>
        </w:rPr>
        <w:t xml:space="preserve">AHRC’s </w:t>
      </w:r>
      <w:r w:rsidR="00260DB7">
        <w:rPr>
          <w:rStyle w:val="ui-provider"/>
        </w:rPr>
        <w:t xml:space="preserve">focus on </w:t>
      </w:r>
      <w:r w:rsidR="0027449B">
        <w:rPr>
          <w:rStyle w:val="ui-provider"/>
        </w:rPr>
        <w:t xml:space="preserve">anti-trans </w:t>
      </w:r>
      <w:r w:rsidR="00060D12">
        <w:rPr>
          <w:rStyle w:val="ui-provider"/>
        </w:rPr>
        <w:t>mobilisation</w:t>
      </w:r>
      <w:r w:rsidR="001D6BA6">
        <w:rPr>
          <w:rStyle w:val="ui-provider"/>
        </w:rPr>
        <w:t xml:space="preserve">, </w:t>
      </w:r>
      <w:proofErr w:type="gramStart"/>
      <w:r w:rsidR="001D6BA6">
        <w:rPr>
          <w:rStyle w:val="ui-provider"/>
        </w:rPr>
        <w:t>dis</w:t>
      </w:r>
      <w:r w:rsidR="006F300E">
        <w:rPr>
          <w:rStyle w:val="ui-provider"/>
        </w:rPr>
        <w:t>information</w:t>
      </w:r>
      <w:proofErr w:type="gramEnd"/>
      <w:r w:rsidR="001D6BA6">
        <w:rPr>
          <w:rStyle w:val="ui-provider"/>
        </w:rPr>
        <w:t xml:space="preserve"> and misinformation.</w:t>
      </w:r>
      <w:r w:rsidR="00676033">
        <w:rPr>
          <w:rStyle w:val="ui-provider"/>
        </w:rPr>
        <w:t xml:space="preserve"> </w:t>
      </w:r>
      <w:r w:rsidR="00487C59" w:rsidRPr="009A42C7">
        <w:rPr>
          <w:rStyle w:val="ui-provider"/>
          <w:i/>
          <w:iCs/>
        </w:rPr>
        <w:t>Change the story</w:t>
      </w:r>
      <w:r w:rsidR="00487C59">
        <w:rPr>
          <w:rStyle w:val="ui-provider"/>
        </w:rPr>
        <w:t xml:space="preserve"> highlights how backlash and resistance to gender equality </w:t>
      </w:r>
      <w:r w:rsidR="00805B8B" w:rsidRPr="00805B8B">
        <w:rPr>
          <w:shd w:val="clear" w:color="auto" w:fill="FFFFFF"/>
        </w:rPr>
        <w:t xml:space="preserve">can create an environment which heightens the risk of </w:t>
      </w:r>
      <w:r w:rsidR="008503FC">
        <w:rPr>
          <w:shd w:val="clear" w:color="auto" w:fill="FFFFFF"/>
        </w:rPr>
        <w:t>gender</w:t>
      </w:r>
      <w:r w:rsidR="00FD798C">
        <w:rPr>
          <w:shd w:val="clear" w:color="auto" w:fill="FFFFFF"/>
        </w:rPr>
        <w:t>-</w:t>
      </w:r>
      <w:r w:rsidR="008503FC">
        <w:rPr>
          <w:shd w:val="clear" w:color="auto" w:fill="FFFFFF"/>
        </w:rPr>
        <w:t xml:space="preserve">based </w:t>
      </w:r>
      <w:r w:rsidR="00805B8B" w:rsidRPr="00805B8B">
        <w:rPr>
          <w:shd w:val="clear" w:color="auto" w:fill="FFFFFF"/>
        </w:rPr>
        <w:t>violence. </w:t>
      </w:r>
      <w:r w:rsidR="0068061C">
        <w:rPr>
          <w:rStyle w:val="ui-provider"/>
        </w:rPr>
        <w:t xml:space="preserve">Our Watch </w:t>
      </w:r>
      <w:r w:rsidR="00566D40" w:rsidRPr="00250ADD">
        <w:rPr>
          <w:rStyle w:val="ui-provider"/>
        </w:rPr>
        <w:t>acknowledge</w:t>
      </w:r>
      <w:r w:rsidR="0068061C">
        <w:rPr>
          <w:rStyle w:val="ui-provider"/>
        </w:rPr>
        <w:t>s</w:t>
      </w:r>
      <w:r w:rsidR="00566D40">
        <w:rPr>
          <w:rStyle w:val="ui-provider"/>
        </w:rPr>
        <w:t xml:space="preserve"> </w:t>
      </w:r>
      <w:r w:rsidR="00250ADD">
        <w:rPr>
          <w:rStyle w:val="ui-provider"/>
        </w:rPr>
        <w:t>escalating backlash and resistance</w:t>
      </w:r>
      <w:r w:rsidR="0068061C">
        <w:rPr>
          <w:rStyle w:val="ui-provider"/>
        </w:rPr>
        <w:t xml:space="preserve"> </w:t>
      </w:r>
      <w:r w:rsidR="00A75B8E">
        <w:rPr>
          <w:rStyle w:val="ui-provider"/>
        </w:rPr>
        <w:t xml:space="preserve">specifically </w:t>
      </w:r>
      <w:r w:rsidR="0068061C">
        <w:rPr>
          <w:rStyle w:val="ui-provider"/>
        </w:rPr>
        <w:t>towards</w:t>
      </w:r>
      <w:r w:rsidR="00566D40">
        <w:rPr>
          <w:rStyle w:val="ui-provider"/>
        </w:rPr>
        <w:t xml:space="preserve"> </w:t>
      </w:r>
      <w:r w:rsidR="00703157">
        <w:rPr>
          <w:rStyle w:val="ui-provider"/>
        </w:rPr>
        <w:t>trans and gender diverse people</w:t>
      </w:r>
      <w:r w:rsidR="0068061C">
        <w:rPr>
          <w:rStyle w:val="ui-provider"/>
        </w:rPr>
        <w:t>’s human rights</w:t>
      </w:r>
      <w:r w:rsidR="00D61661">
        <w:rPr>
          <w:rStyle w:val="ui-provider"/>
        </w:rPr>
        <w:t xml:space="preserve"> and broader LGBTIQA+ </w:t>
      </w:r>
      <w:r w:rsidR="004A4FD3">
        <w:rPr>
          <w:rStyle w:val="ui-provider"/>
        </w:rPr>
        <w:t>human rights</w:t>
      </w:r>
      <w:r w:rsidR="008503FC">
        <w:rPr>
          <w:rStyle w:val="ui-provider"/>
        </w:rPr>
        <w:t xml:space="preserve">. </w:t>
      </w:r>
      <w:r w:rsidR="006A5206">
        <w:rPr>
          <w:rStyle w:val="ui-provider"/>
        </w:rPr>
        <w:t xml:space="preserve">We </w:t>
      </w:r>
      <w:r w:rsidR="003D3107">
        <w:rPr>
          <w:rStyle w:val="ui-provider"/>
        </w:rPr>
        <w:t>view</w:t>
      </w:r>
      <w:r w:rsidR="006A5206">
        <w:rPr>
          <w:rStyle w:val="ui-provider"/>
        </w:rPr>
        <w:t xml:space="preserve"> </w:t>
      </w:r>
      <w:r w:rsidR="00610E36">
        <w:rPr>
          <w:rStyle w:val="ui-provider"/>
        </w:rPr>
        <w:t>thi</w:t>
      </w:r>
      <w:r w:rsidR="00C50C5D">
        <w:rPr>
          <w:rStyle w:val="ui-provider"/>
        </w:rPr>
        <w:t>s</w:t>
      </w:r>
      <w:r w:rsidR="00566D40">
        <w:rPr>
          <w:rStyle w:val="ui-provider"/>
        </w:rPr>
        <w:t xml:space="preserve"> </w:t>
      </w:r>
      <w:r w:rsidR="00610E36">
        <w:rPr>
          <w:rStyle w:val="ui-provider"/>
        </w:rPr>
        <w:t>as</w:t>
      </w:r>
      <w:r w:rsidR="00566D40">
        <w:rPr>
          <w:rStyle w:val="ui-provider"/>
        </w:rPr>
        <w:t xml:space="preserve"> </w:t>
      </w:r>
      <w:r w:rsidR="00566D40" w:rsidRPr="006C38A4">
        <w:rPr>
          <w:rStyle w:val="ui-provider"/>
        </w:rPr>
        <w:t xml:space="preserve">part of </w:t>
      </w:r>
      <w:r w:rsidR="00D6522D">
        <w:rPr>
          <w:rStyle w:val="ui-provider"/>
        </w:rPr>
        <w:t>the</w:t>
      </w:r>
      <w:r w:rsidR="00566D40" w:rsidRPr="006C38A4">
        <w:rPr>
          <w:rStyle w:val="ui-provider"/>
        </w:rPr>
        <w:t xml:space="preserve"> backlash and resistance to </w:t>
      </w:r>
      <w:r w:rsidR="0021196E">
        <w:rPr>
          <w:rStyle w:val="ui-provider"/>
        </w:rPr>
        <w:t>gender equality</w:t>
      </w:r>
      <w:r w:rsidR="0081591C">
        <w:rPr>
          <w:rStyle w:val="ui-provider"/>
        </w:rPr>
        <w:t xml:space="preserve"> efforts more broadly</w:t>
      </w:r>
      <w:r w:rsidR="0021196E">
        <w:rPr>
          <w:rStyle w:val="ui-provider"/>
        </w:rPr>
        <w:t xml:space="preserve">. </w:t>
      </w:r>
    </w:p>
    <w:p w14:paraId="0DB23A1C" w14:textId="00462DDE" w:rsidR="00BE6532" w:rsidRDefault="006D6BD2" w:rsidP="00A733A8">
      <w:pPr>
        <w:rPr>
          <w:rStyle w:val="ui-provider"/>
        </w:rPr>
      </w:pPr>
      <w:r>
        <w:rPr>
          <w:rStyle w:val="ui-provider"/>
        </w:rPr>
        <w:t>In</w:t>
      </w:r>
      <w:r w:rsidR="00A53D34" w:rsidRPr="006C38A4">
        <w:rPr>
          <w:rStyle w:val="ui-provider"/>
        </w:rPr>
        <w:t xml:space="preserve"> this submission we offer insights drawn from Our Watch’s existing evidence base</w:t>
      </w:r>
      <w:r w:rsidR="00A53D34">
        <w:rPr>
          <w:rStyle w:val="ui-provider"/>
        </w:rPr>
        <w:t xml:space="preserve"> to highlight</w:t>
      </w:r>
      <w:r w:rsidR="00BE6532">
        <w:rPr>
          <w:rStyle w:val="ui-provider"/>
        </w:rPr>
        <w:t>:</w:t>
      </w:r>
    </w:p>
    <w:p w14:paraId="60CCE3AB" w14:textId="4D7CA2B8" w:rsidR="004C756B" w:rsidRDefault="004C756B" w:rsidP="004C756B">
      <w:pPr>
        <w:pStyle w:val="Bulletedlist"/>
        <w:rPr>
          <w:rStyle w:val="ui-provider"/>
        </w:rPr>
      </w:pPr>
      <w:r>
        <w:rPr>
          <w:rStyle w:val="ui-provider"/>
        </w:rPr>
        <w:t>The available national evidence on violence against trans and gender diverse people, including gender-based violence</w:t>
      </w:r>
      <w:r w:rsidR="000258D7">
        <w:rPr>
          <w:rStyle w:val="ui-provider"/>
        </w:rPr>
        <w:t>, and the importance of continuing to build this evidence base</w:t>
      </w:r>
      <w:r>
        <w:rPr>
          <w:rStyle w:val="ui-provider"/>
        </w:rPr>
        <w:t>.</w:t>
      </w:r>
    </w:p>
    <w:p w14:paraId="231F8A7D" w14:textId="6CD06AB4" w:rsidR="006F3BB1" w:rsidRPr="006F3BB1" w:rsidRDefault="006F3BB1" w:rsidP="0052175E">
      <w:pPr>
        <w:pStyle w:val="Bulletedlist"/>
        <w:rPr>
          <w:rStyle w:val="ui-provider"/>
          <w:color w:val="002060"/>
        </w:rPr>
      </w:pPr>
      <w:r>
        <w:rPr>
          <w:rStyle w:val="ui-provider"/>
        </w:rPr>
        <w:t xml:space="preserve">Australia’s approach to primary prevention of violence against women outlined in </w:t>
      </w:r>
      <w:r w:rsidRPr="00BE6532">
        <w:rPr>
          <w:rStyle w:val="ui-provider"/>
          <w:i/>
          <w:iCs/>
        </w:rPr>
        <w:t>Change the story</w:t>
      </w:r>
      <w:r w:rsidR="00BC316B">
        <w:rPr>
          <w:rStyle w:val="ui-provider"/>
        </w:rPr>
        <w:t>, and the</w:t>
      </w:r>
      <w:r w:rsidRPr="00BC6764">
        <w:rPr>
          <w:rFonts w:eastAsiaTheme="minorHAnsi"/>
          <w:color w:val="002060"/>
        </w:rPr>
        <w:t xml:space="preserve"> need</w:t>
      </w:r>
      <w:r w:rsidR="00BC316B">
        <w:rPr>
          <w:rFonts w:eastAsiaTheme="minorHAnsi"/>
          <w:color w:val="002060"/>
        </w:rPr>
        <w:t xml:space="preserve"> </w:t>
      </w:r>
      <w:r w:rsidR="00E10529">
        <w:rPr>
          <w:rFonts w:eastAsiaTheme="minorHAnsi"/>
          <w:color w:val="002060"/>
        </w:rPr>
        <w:t>to</w:t>
      </w:r>
      <w:r w:rsidRPr="00BC6764">
        <w:rPr>
          <w:rFonts w:eastAsiaTheme="minorHAnsi"/>
          <w:color w:val="002060"/>
        </w:rPr>
        <w:t xml:space="preserve"> better understand the overlapping drivers </w:t>
      </w:r>
      <w:r w:rsidR="00BC316B">
        <w:rPr>
          <w:rFonts w:eastAsiaTheme="minorHAnsi"/>
          <w:color w:val="002060"/>
        </w:rPr>
        <w:t xml:space="preserve">of violence against LGBTIQA+ people and communities </w:t>
      </w:r>
      <w:r w:rsidRPr="00BC6764">
        <w:rPr>
          <w:rFonts w:eastAsiaTheme="minorHAnsi"/>
          <w:color w:val="002060"/>
        </w:rPr>
        <w:t>and how to prevent such violence.</w:t>
      </w:r>
    </w:p>
    <w:p w14:paraId="5CC75861" w14:textId="140318B5" w:rsidR="00A53D34" w:rsidRPr="001C7A05" w:rsidRDefault="001C7A05" w:rsidP="0052175E">
      <w:pPr>
        <w:pStyle w:val="Bulletedlist"/>
        <w:rPr>
          <w:rStyle w:val="ui-provider"/>
        </w:rPr>
      </w:pPr>
      <w:r>
        <w:rPr>
          <w:rStyle w:val="ui-provider"/>
        </w:rPr>
        <w:t>T</w:t>
      </w:r>
      <w:r w:rsidR="00A53D34">
        <w:rPr>
          <w:rStyle w:val="ui-provider"/>
        </w:rPr>
        <w:t>he potential impacts of backlash and resistance</w:t>
      </w:r>
      <w:r w:rsidR="00BC316B">
        <w:rPr>
          <w:rStyle w:val="ui-provider"/>
        </w:rPr>
        <w:t xml:space="preserve"> on trans and gender diverse people’s human rights</w:t>
      </w:r>
      <w:r>
        <w:rPr>
          <w:rStyle w:val="ui-provider"/>
        </w:rPr>
        <w:t>.</w:t>
      </w:r>
    </w:p>
    <w:p w14:paraId="32964611" w14:textId="4D32F247" w:rsidR="00F17B9E" w:rsidRDefault="00272081" w:rsidP="008D6C1F">
      <w:pPr>
        <w:rPr>
          <w:lang w:eastAsia="en-AU"/>
        </w:rPr>
      </w:pPr>
      <w:r>
        <w:rPr>
          <w:lang w:eastAsia="en-AU"/>
        </w:rPr>
        <w:lastRenderedPageBreak/>
        <w:t>W</w:t>
      </w:r>
      <w:r w:rsidR="00694CAE">
        <w:rPr>
          <w:lang w:eastAsia="en-AU"/>
        </w:rPr>
        <w:t>e look forward to</w:t>
      </w:r>
      <w:r w:rsidR="00F17B9E">
        <w:rPr>
          <w:lang w:eastAsia="en-AU"/>
        </w:rPr>
        <w:t xml:space="preserve"> continuing to work with the AHRC and drawing on the AHRC’s work to </w:t>
      </w:r>
      <w:r w:rsidR="00694CAE">
        <w:rPr>
          <w:lang w:eastAsia="en-AU"/>
        </w:rPr>
        <w:t xml:space="preserve">inform Our Watch’s ongoing work to promote gender equality and prevent gender-based violence. </w:t>
      </w:r>
    </w:p>
    <w:p w14:paraId="6F18FC2E" w14:textId="4B589494" w:rsidR="008D6C1F" w:rsidRDefault="00F17B9E" w:rsidP="008D6C1F">
      <w:pPr>
        <w:rPr>
          <w:rStyle w:val="ui-provider"/>
          <w:rFonts w:cstheme="minorHAnsi"/>
          <w:bCs/>
        </w:rPr>
      </w:pPr>
      <w:r>
        <w:rPr>
          <w:lang w:eastAsia="en-AU"/>
        </w:rPr>
        <w:t>To discuss or f</w:t>
      </w:r>
      <w:r w:rsidR="008D6C1F">
        <w:rPr>
          <w:rStyle w:val="ui-provider"/>
          <w:rFonts w:cstheme="minorHAnsi"/>
          <w:bCs/>
        </w:rPr>
        <w:t>or further information regarding this submission,</w:t>
      </w:r>
      <w:r w:rsidR="008D6C1F" w:rsidRPr="00EE6C4E">
        <w:rPr>
          <w:rStyle w:val="ui-provider"/>
          <w:rFonts w:cstheme="minorHAnsi"/>
          <w:bCs/>
        </w:rPr>
        <w:t xml:space="preserve"> </w:t>
      </w:r>
      <w:r w:rsidR="008D6C1F">
        <w:rPr>
          <w:rStyle w:val="ui-provider"/>
          <w:rFonts w:cstheme="minorHAnsi"/>
          <w:bCs/>
        </w:rPr>
        <w:t>p</w:t>
      </w:r>
      <w:r w:rsidR="008D6C1F" w:rsidRPr="00EE6C4E">
        <w:rPr>
          <w:rStyle w:val="ui-provider"/>
          <w:rFonts w:cstheme="minorHAnsi"/>
          <w:bCs/>
        </w:rPr>
        <w:t xml:space="preserve">lease contact Director of Government Relations, Policy and Evidence, Amanda Alford at </w:t>
      </w:r>
      <w:hyperlink r:id="rId19" w:history="1">
        <w:r w:rsidR="008D6C1F" w:rsidRPr="00967F33">
          <w:rPr>
            <w:rStyle w:val="Hyperlink"/>
            <w:rFonts w:cstheme="minorHAnsi"/>
            <w:bCs/>
          </w:rPr>
          <w:t>amanda.alford@ourwatch.org.au</w:t>
        </w:r>
      </w:hyperlink>
      <w:r w:rsidR="008D6C1F" w:rsidRPr="00EE6C4E">
        <w:rPr>
          <w:rStyle w:val="ui-provider"/>
          <w:rFonts w:cstheme="minorHAnsi"/>
          <w:bCs/>
        </w:rPr>
        <w:t>.</w:t>
      </w:r>
    </w:p>
    <w:p w14:paraId="18659A25" w14:textId="77777777" w:rsidR="00BC2ED7" w:rsidRDefault="00BC2ED7" w:rsidP="00C302F2">
      <w:pPr>
        <w:rPr>
          <w:lang w:eastAsia="en-AU"/>
        </w:rPr>
      </w:pPr>
    </w:p>
    <w:p w14:paraId="31877958" w14:textId="60DD5988" w:rsidR="00EE5AC9" w:rsidRDefault="00B175F2" w:rsidP="002A79D9">
      <w:pPr>
        <w:pStyle w:val="Heading1"/>
        <w:rPr>
          <w:lang w:eastAsia="en-AU"/>
        </w:rPr>
      </w:pPr>
      <w:r>
        <w:rPr>
          <w:lang w:eastAsia="en-AU"/>
        </w:rPr>
        <w:br w:type="page"/>
      </w:r>
      <w:r w:rsidR="00D83F30">
        <w:rPr>
          <w:lang w:eastAsia="en-AU"/>
        </w:rPr>
        <w:lastRenderedPageBreak/>
        <w:t>Introduction</w:t>
      </w:r>
    </w:p>
    <w:p w14:paraId="73B4C10E" w14:textId="77777777" w:rsidR="00CD14B8" w:rsidRDefault="00EE5AC9" w:rsidP="00EE5AC9">
      <w:pPr>
        <w:rPr>
          <w:lang w:eastAsia="en-AU"/>
        </w:rPr>
      </w:pPr>
      <w:r w:rsidRPr="006C38A4">
        <w:rPr>
          <w:lang w:eastAsia="en-AU"/>
        </w:rPr>
        <w:t xml:space="preserve">Our Watch welcomes </w:t>
      </w:r>
      <w:r>
        <w:rPr>
          <w:lang w:eastAsia="en-AU"/>
        </w:rPr>
        <w:t xml:space="preserve">the focus of the Australian Human Rights Commission’s (AHRC) </w:t>
      </w:r>
      <w:r w:rsidRPr="006C38A4">
        <w:rPr>
          <w:lang w:eastAsia="en-AU"/>
        </w:rPr>
        <w:t>consultation on the</w:t>
      </w:r>
      <w:r>
        <w:rPr>
          <w:lang w:eastAsia="en-AU"/>
        </w:rPr>
        <w:t xml:space="preserve"> current and emerging</w:t>
      </w:r>
      <w:r w:rsidRPr="006C38A4">
        <w:rPr>
          <w:lang w:eastAsia="en-AU"/>
        </w:rPr>
        <w:t xml:space="preserve"> threats </w:t>
      </w:r>
      <w:r>
        <w:rPr>
          <w:lang w:eastAsia="en-AU"/>
        </w:rPr>
        <w:t>to</w:t>
      </w:r>
      <w:r w:rsidRPr="006C38A4">
        <w:rPr>
          <w:lang w:eastAsia="en-AU"/>
        </w:rPr>
        <w:t xml:space="preserve"> trans and gender diverse</w:t>
      </w:r>
      <w:r>
        <w:rPr>
          <w:lang w:eastAsia="en-AU"/>
        </w:rPr>
        <w:t xml:space="preserve"> human rights. </w:t>
      </w:r>
    </w:p>
    <w:p w14:paraId="11770D29" w14:textId="7CEBDE2E" w:rsidR="00EE5AC9" w:rsidRPr="006C38A4" w:rsidRDefault="00EE5AC9" w:rsidP="00EE5AC9">
      <w:pPr>
        <w:rPr>
          <w:lang w:eastAsia="en-AU"/>
        </w:rPr>
      </w:pPr>
      <w:r>
        <w:rPr>
          <w:rStyle w:val="ui-provider"/>
        </w:rPr>
        <w:t>Research</w:t>
      </w:r>
      <w:r w:rsidRPr="006C38A4">
        <w:rPr>
          <w:rStyle w:val="ui-provider"/>
        </w:rPr>
        <w:t xml:space="preserve"> shows that trans and gender diverse communities experience interpersonal violence at very high rates, as well as broader </w:t>
      </w:r>
      <w:r w:rsidR="00447322">
        <w:rPr>
          <w:rStyle w:val="ui-provider"/>
        </w:rPr>
        <w:t xml:space="preserve">abuse, </w:t>
      </w:r>
      <w:r w:rsidRPr="006C38A4">
        <w:rPr>
          <w:rStyle w:val="ui-provider"/>
        </w:rPr>
        <w:t>stigma</w:t>
      </w:r>
      <w:r>
        <w:rPr>
          <w:rStyle w:val="ui-provider"/>
        </w:rPr>
        <w:t xml:space="preserve">, </w:t>
      </w:r>
      <w:proofErr w:type="gramStart"/>
      <w:r>
        <w:rPr>
          <w:rStyle w:val="ui-provider"/>
        </w:rPr>
        <w:t>prejudice</w:t>
      </w:r>
      <w:proofErr w:type="gramEnd"/>
      <w:r w:rsidRPr="006C38A4">
        <w:rPr>
          <w:rStyle w:val="ui-provider"/>
        </w:rPr>
        <w:t xml:space="preserve"> and discrimination.</w:t>
      </w:r>
      <w:r w:rsidR="00D12159">
        <w:rPr>
          <w:rStyle w:val="ui-provider"/>
          <w:rFonts w:ascii="ZWAdobeF" w:hAnsi="ZWAdobeF" w:cs="ZWAdobeF"/>
          <w:color w:val="auto"/>
          <w:sz w:val="2"/>
          <w:szCs w:val="2"/>
        </w:rPr>
        <w:t>1F</w:t>
      </w:r>
      <w:r w:rsidRPr="00E91561">
        <w:rPr>
          <w:rStyle w:val="EndnoteReference"/>
          <w:vertAlign w:val="superscript"/>
        </w:rPr>
        <w:endnoteReference w:id="3"/>
      </w:r>
      <w:r w:rsidRPr="00E91561">
        <w:rPr>
          <w:rStyle w:val="ui-provider"/>
          <w:vertAlign w:val="superscript"/>
        </w:rPr>
        <w:t xml:space="preserve"> </w:t>
      </w:r>
      <w:r>
        <w:rPr>
          <w:lang w:eastAsia="en-AU"/>
        </w:rPr>
        <w:t>The consultation’s focus on trans and gender diverse people’s experiences provides an important and timely opportunity to</w:t>
      </w:r>
      <w:r w:rsidRPr="006C38A4">
        <w:rPr>
          <w:lang w:eastAsia="en-AU"/>
        </w:rPr>
        <w:t xml:space="preserve"> build the evidence </w:t>
      </w:r>
      <w:r>
        <w:rPr>
          <w:lang w:eastAsia="en-AU"/>
        </w:rPr>
        <w:t xml:space="preserve">to </w:t>
      </w:r>
      <w:r w:rsidRPr="006C38A4">
        <w:rPr>
          <w:lang w:eastAsia="en-AU"/>
        </w:rPr>
        <w:t xml:space="preserve">support effective ways to prevent and respond to gender-based </w:t>
      </w:r>
      <w:r>
        <w:rPr>
          <w:lang w:eastAsia="en-AU"/>
        </w:rPr>
        <w:t xml:space="preserve">discrimination and </w:t>
      </w:r>
      <w:r w:rsidRPr="006C38A4">
        <w:rPr>
          <w:lang w:eastAsia="en-AU"/>
        </w:rPr>
        <w:t xml:space="preserve">violence against trans and gender diverse people. </w:t>
      </w:r>
    </w:p>
    <w:p w14:paraId="1F409232" w14:textId="77777777" w:rsidR="00EE5AC9" w:rsidRDefault="00EE5AC9" w:rsidP="00EE5AC9">
      <w:pPr>
        <w:rPr>
          <w:rStyle w:val="ui-provider"/>
        </w:rPr>
      </w:pPr>
      <w:r w:rsidRPr="006C38A4">
        <w:rPr>
          <w:rStyle w:val="ui-provider"/>
        </w:rPr>
        <w:t xml:space="preserve">Our Watch supports the work of </w:t>
      </w:r>
      <w:r>
        <w:rPr>
          <w:rStyle w:val="ui-provider"/>
        </w:rPr>
        <w:t xml:space="preserve">our </w:t>
      </w:r>
      <w:r w:rsidRPr="006C38A4">
        <w:rPr>
          <w:rStyle w:val="ui-provider"/>
        </w:rPr>
        <w:t>stakeholders and the expertise of specialis</w:t>
      </w:r>
      <w:r>
        <w:rPr>
          <w:rStyle w:val="ui-provider"/>
        </w:rPr>
        <w:t>t</w:t>
      </w:r>
      <w:r w:rsidRPr="00EC7B47">
        <w:rPr>
          <w:lang w:eastAsia="en-AU"/>
        </w:rPr>
        <w:t xml:space="preserve"> </w:t>
      </w:r>
      <w:r>
        <w:rPr>
          <w:lang w:eastAsia="en-AU"/>
        </w:rPr>
        <w:t>l</w:t>
      </w:r>
      <w:r w:rsidRPr="006C38A4">
        <w:rPr>
          <w:lang w:eastAsia="en-AU"/>
        </w:rPr>
        <w:t xml:space="preserve">esbian, </w:t>
      </w:r>
      <w:r>
        <w:rPr>
          <w:lang w:eastAsia="en-AU"/>
        </w:rPr>
        <w:t>g</w:t>
      </w:r>
      <w:r w:rsidRPr="006C38A4">
        <w:rPr>
          <w:lang w:eastAsia="en-AU"/>
        </w:rPr>
        <w:t xml:space="preserve">ay, </w:t>
      </w:r>
      <w:r>
        <w:rPr>
          <w:lang w:eastAsia="en-AU"/>
        </w:rPr>
        <w:t>b</w:t>
      </w:r>
      <w:r w:rsidRPr="006C38A4">
        <w:rPr>
          <w:lang w:eastAsia="en-AU"/>
        </w:rPr>
        <w:t xml:space="preserve">isexual, </w:t>
      </w:r>
      <w:r>
        <w:rPr>
          <w:lang w:eastAsia="en-AU"/>
        </w:rPr>
        <w:t>t</w:t>
      </w:r>
      <w:r w:rsidRPr="006C38A4">
        <w:rPr>
          <w:lang w:eastAsia="en-AU"/>
        </w:rPr>
        <w:t>rans</w:t>
      </w:r>
      <w:r>
        <w:rPr>
          <w:lang w:eastAsia="en-AU"/>
        </w:rPr>
        <w:t>gender</w:t>
      </w:r>
      <w:r w:rsidRPr="006C38A4">
        <w:rPr>
          <w:lang w:eastAsia="en-AU"/>
        </w:rPr>
        <w:t xml:space="preserve">, </w:t>
      </w:r>
      <w:r>
        <w:rPr>
          <w:lang w:eastAsia="en-AU"/>
        </w:rPr>
        <w:t>i</w:t>
      </w:r>
      <w:r w:rsidRPr="006C38A4">
        <w:rPr>
          <w:lang w:eastAsia="en-AU"/>
        </w:rPr>
        <w:t xml:space="preserve">ntersex, </w:t>
      </w:r>
      <w:r>
        <w:rPr>
          <w:lang w:eastAsia="en-AU"/>
        </w:rPr>
        <w:t>q</w:t>
      </w:r>
      <w:r w:rsidRPr="006C38A4">
        <w:rPr>
          <w:lang w:eastAsia="en-AU"/>
        </w:rPr>
        <w:t xml:space="preserve">ueer, and </w:t>
      </w:r>
      <w:r>
        <w:rPr>
          <w:lang w:eastAsia="en-AU"/>
        </w:rPr>
        <w:t>a</w:t>
      </w:r>
      <w:r w:rsidRPr="006C38A4">
        <w:rPr>
          <w:lang w:eastAsia="en-AU"/>
        </w:rPr>
        <w:t>sexual (LGBTIQA+)</w:t>
      </w:r>
      <w:r w:rsidRPr="006C38A4">
        <w:rPr>
          <w:rStyle w:val="ui-provider"/>
        </w:rPr>
        <w:t xml:space="preserve"> organisations in leading </w:t>
      </w:r>
      <w:r>
        <w:rPr>
          <w:rStyle w:val="ui-provider"/>
        </w:rPr>
        <w:t>the prevention of violence against trans and gender diverse people</w:t>
      </w:r>
      <w:r w:rsidRPr="006C38A4">
        <w:rPr>
          <w:rStyle w:val="ui-provider"/>
        </w:rPr>
        <w:t xml:space="preserve">. </w:t>
      </w:r>
      <w:r>
        <w:rPr>
          <w:rStyle w:val="ui-provider"/>
        </w:rPr>
        <w:t>As a non-LGBTIQA-specialist organisation, we</w:t>
      </w:r>
      <w:r w:rsidRPr="006C38A4">
        <w:rPr>
          <w:rStyle w:val="ui-provider"/>
        </w:rPr>
        <w:t xml:space="preserve"> </w:t>
      </w:r>
      <w:r>
        <w:rPr>
          <w:rStyle w:val="ui-provider"/>
        </w:rPr>
        <w:t xml:space="preserve">recognise </w:t>
      </w:r>
      <w:r w:rsidRPr="006C38A4">
        <w:rPr>
          <w:rStyle w:val="ui-provider"/>
        </w:rPr>
        <w:t>the importance of this work being led by trans and gender diverse people, commun</w:t>
      </w:r>
      <w:r>
        <w:rPr>
          <w:rStyle w:val="ui-provider"/>
        </w:rPr>
        <w:t>i</w:t>
      </w:r>
      <w:r w:rsidRPr="006C38A4">
        <w:rPr>
          <w:rStyle w:val="ui-provider"/>
        </w:rPr>
        <w:t>ties and specialist organisations, and their lived experiences</w:t>
      </w:r>
      <w:r>
        <w:rPr>
          <w:rStyle w:val="ui-provider"/>
        </w:rPr>
        <w:t xml:space="preserve">. We acknowledge our LGBTIQA+ stakeholders and partners and their </w:t>
      </w:r>
      <w:r w:rsidRPr="006C38A4">
        <w:rPr>
          <w:rStyle w:val="ui-provider"/>
        </w:rPr>
        <w:t xml:space="preserve">decades of </w:t>
      </w:r>
      <w:r>
        <w:rPr>
          <w:rStyle w:val="ui-provider"/>
        </w:rPr>
        <w:t>work to</w:t>
      </w:r>
      <w:r w:rsidRPr="006C38A4">
        <w:rPr>
          <w:rStyle w:val="ui-provider"/>
        </w:rPr>
        <w:t xml:space="preserve"> highlight trans and gender diverse people’s </w:t>
      </w:r>
      <w:r>
        <w:rPr>
          <w:rStyle w:val="ui-provider"/>
        </w:rPr>
        <w:t xml:space="preserve">experiences of </w:t>
      </w:r>
      <w:r w:rsidRPr="006C38A4">
        <w:rPr>
          <w:rStyle w:val="ui-provider"/>
        </w:rPr>
        <w:t>discrimination</w:t>
      </w:r>
      <w:r>
        <w:rPr>
          <w:rStyle w:val="ui-provider"/>
        </w:rPr>
        <w:t xml:space="preserve"> and violence. </w:t>
      </w:r>
    </w:p>
    <w:p w14:paraId="0B3559C4" w14:textId="7FB790E8" w:rsidR="00EE5AC9" w:rsidRDefault="00EE5AC9" w:rsidP="00EE5AC9">
      <w:pPr>
        <w:rPr>
          <w:vertAlign w:val="superscript"/>
          <w:lang w:eastAsia="en-AU"/>
        </w:rPr>
      </w:pPr>
      <w:r w:rsidRPr="006C38A4">
        <w:rPr>
          <w:lang w:eastAsia="en-AU"/>
        </w:rPr>
        <w:t xml:space="preserve">The </w:t>
      </w:r>
      <w:hyperlink r:id="rId20" w:history="1">
        <w:r w:rsidRPr="006C38A4">
          <w:rPr>
            <w:rStyle w:val="Hyperlink"/>
            <w:lang w:eastAsia="en-AU"/>
          </w:rPr>
          <w:t>Second National Plan to End Violence against Women and Children 2022-2032</w:t>
        </w:r>
      </w:hyperlink>
      <w:r>
        <w:rPr>
          <w:rStyle w:val="Hyperlink"/>
          <w:lang w:eastAsia="en-AU"/>
        </w:rPr>
        <w:t xml:space="preserve"> (National Plan) </w:t>
      </w:r>
      <w:r w:rsidRPr="006C38A4">
        <w:rPr>
          <w:lang w:eastAsia="en-AU"/>
        </w:rPr>
        <w:t xml:space="preserve">recognises that LGBTIQA+ people experience </w:t>
      </w:r>
      <w:r>
        <w:rPr>
          <w:lang w:eastAsia="en-AU"/>
        </w:rPr>
        <w:t>gender-based violence, including high</w:t>
      </w:r>
      <w:r w:rsidRPr="006C38A4">
        <w:rPr>
          <w:lang w:eastAsia="en-AU"/>
        </w:rPr>
        <w:t xml:space="preserve"> rates of domestic, family and sexual violence</w:t>
      </w:r>
      <w:r>
        <w:rPr>
          <w:lang w:eastAsia="en-AU"/>
        </w:rPr>
        <w:t xml:space="preserve"> (pp. 45-46)</w:t>
      </w:r>
      <w:r w:rsidRPr="006C38A4">
        <w:rPr>
          <w:lang w:eastAsia="en-AU"/>
        </w:rPr>
        <w:t xml:space="preserve">. The standalone </w:t>
      </w:r>
      <w:hyperlink r:id="rId21" w:history="1">
        <w:r w:rsidRPr="00C01D9B">
          <w:rPr>
            <w:rStyle w:val="Hyperlink"/>
            <w:lang w:eastAsia="en-AU"/>
          </w:rPr>
          <w:t>Aboriginal and Torres Strait Islander Action Plan 2023-2025</w:t>
        </w:r>
      </w:hyperlink>
      <w:r>
        <w:rPr>
          <w:lang w:eastAsia="en-AU"/>
        </w:rPr>
        <w:t xml:space="preserve"> </w:t>
      </w:r>
      <w:r w:rsidRPr="006C38A4">
        <w:rPr>
          <w:lang w:eastAsia="en-AU"/>
        </w:rPr>
        <w:t>identifies Aboriginal and Torres Strait Isl</w:t>
      </w:r>
      <w:r>
        <w:rPr>
          <w:lang w:eastAsia="en-AU"/>
        </w:rPr>
        <w:t>a</w:t>
      </w:r>
      <w:r w:rsidRPr="006C38A4">
        <w:rPr>
          <w:lang w:eastAsia="en-AU"/>
        </w:rPr>
        <w:t xml:space="preserve">nder LGBTIQA+ communities, including Sistergirls and Brotherboys, as </w:t>
      </w:r>
      <w:r>
        <w:rPr>
          <w:lang w:eastAsia="en-AU"/>
        </w:rPr>
        <w:t xml:space="preserve">a </w:t>
      </w:r>
      <w:r w:rsidRPr="006C38A4">
        <w:rPr>
          <w:lang w:eastAsia="en-AU"/>
        </w:rPr>
        <w:t xml:space="preserve">priority group </w:t>
      </w:r>
      <w:r>
        <w:rPr>
          <w:lang w:eastAsia="en-AU"/>
        </w:rPr>
        <w:t>for violence prevention and response initiatives</w:t>
      </w:r>
      <w:r w:rsidRPr="006C38A4">
        <w:rPr>
          <w:lang w:eastAsia="en-AU"/>
        </w:rPr>
        <w:t xml:space="preserve"> due to the intersections of homophobia, </w:t>
      </w:r>
      <w:r>
        <w:rPr>
          <w:lang w:eastAsia="en-AU"/>
        </w:rPr>
        <w:t xml:space="preserve">transphobia, </w:t>
      </w:r>
      <w:r w:rsidRPr="006C38A4">
        <w:rPr>
          <w:lang w:eastAsia="en-AU"/>
        </w:rPr>
        <w:t xml:space="preserve">racism, </w:t>
      </w:r>
      <w:r>
        <w:rPr>
          <w:lang w:eastAsia="en-AU"/>
        </w:rPr>
        <w:t>and</w:t>
      </w:r>
      <w:r w:rsidRPr="006C38A4">
        <w:rPr>
          <w:lang w:eastAsia="en-AU"/>
        </w:rPr>
        <w:t xml:space="preserve"> discriminatory systems and structures.</w:t>
      </w:r>
      <w:r w:rsidR="00D12159">
        <w:rPr>
          <w:rFonts w:ascii="ZWAdobeF" w:hAnsi="ZWAdobeF" w:cs="ZWAdobeF"/>
          <w:color w:val="auto"/>
          <w:sz w:val="2"/>
          <w:szCs w:val="2"/>
          <w:lang w:eastAsia="en-AU"/>
        </w:rPr>
        <w:t>2F</w:t>
      </w:r>
      <w:r w:rsidRPr="002E1EE6">
        <w:rPr>
          <w:rStyle w:val="EndnoteReference"/>
          <w:vertAlign w:val="superscript"/>
        </w:rPr>
        <w:endnoteReference w:id="4"/>
      </w:r>
      <w:r>
        <w:rPr>
          <w:lang w:eastAsia="en-AU"/>
        </w:rPr>
        <w:t xml:space="preserve"> Both Plans highlight the need for safe, inclusive and affirming services for all LGBTIQA+ people who have experienced violence. </w:t>
      </w:r>
    </w:p>
    <w:p w14:paraId="6171F207" w14:textId="3DE0D190" w:rsidR="007B25D8" w:rsidRDefault="00CD14B8" w:rsidP="00A06148">
      <w:pPr>
        <w:pStyle w:val="ListParagraph"/>
        <w:ind w:left="0"/>
        <w:contextualSpacing w:val="0"/>
        <w:rPr>
          <w:lang w:eastAsia="en-AU"/>
        </w:rPr>
      </w:pPr>
      <w:r>
        <w:rPr>
          <w:rStyle w:val="ui-provider"/>
        </w:rPr>
        <w:t xml:space="preserve">The focus of </w:t>
      </w:r>
      <w:r w:rsidR="00EE5AC9" w:rsidRPr="006C38A4">
        <w:rPr>
          <w:rStyle w:val="ui-provider"/>
        </w:rPr>
        <w:t xml:space="preserve">Our Watch’s </w:t>
      </w:r>
      <w:r>
        <w:rPr>
          <w:rStyle w:val="ui-provider"/>
        </w:rPr>
        <w:t>work is on</w:t>
      </w:r>
      <w:r w:rsidR="00EE5AC9" w:rsidRPr="006C38A4">
        <w:rPr>
          <w:rStyle w:val="ui-provider"/>
        </w:rPr>
        <w:t xml:space="preserve"> prevent</w:t>
      </w:r>
      <w:r>
        <w:rPr>
          <w:rStyle w:val="ui-provider"/>
        </w:rPr>
        <w:t>ing</w:t>
      </w:r>
      <w:r w:rsidR="00EE5AC9" w:rsidRPr="006C38A4">
        <w:rPr>
          <w:rStyle w:val="ui-provider"/>
        </w:rPr>
        <w:t xml:space="preserve"> violence against women, which includes transgender and cisgender women</w:t>
      </w:r>
      <w:r w:rsidR="00EE5AC9">
        <w:rPr>
          <w:rStyle w:val="ui-provider"/>
        </w:rPr>
        <w:t xml:space="preserve">. We take an intersectional approach to this work, with our key frameworks identifying the overlaps between gender inequality and other forms of discrimination including racism, ableism, cisnormativity, and heteronormativity. With funding received from the Commonwealth Government under the Second National Plan, Our Watch has recently </w:t>
      </w:r>
      <w:r w:rsidR="00447322">
        <w:rPr>
          <w:rStyle w:val="ui-provider"/>
        </w:rPr>
        <w:t>partnered</w:t>
      </w:r>
      <w:r w:rsidR="00EE5AC9">
        <w:rPr>
          <w:rStyle w:val="ui-provider"/>
        </w:rPr>
        <w:t xml:space="preserve"> with Rainbow Health Australia </w:t>
      </w:r>
      <w:r w:rsidR="00EE5AC9" w:rsidRPr="006C38A4">
        <w:rPr>
          <w:rStyle w:val="ui-provider"/>
        </w:rPr>
        <w:t xml:space="preserve">to </w:t>
      </w:r>
      <w:r w:rsidR="00EE5AC9">
        <w:rPr>
          <w:rStyle w:val="ui-provider"/>
        </w:rPr>
        <w:t>develop</w:t>
      </w:r>
      <w:r w:rsidR="00EE5AC9" w:rsidRPr="006C38A4">
        <w:rPr>
          <w:rStyle w:val="ui-provider"/>
        </w:rPr>
        <w:t xml:space="preserve"> a national framework to prevent violence against LGBTIQA+ people and communities</w:t>
      </w:r>
      <w:r w:rsidR="00EE5AC9">
        <w:rPr>
          <w:rStyle w:val="ui-provider"/>
        </w:rPr>
        <w:t xml:space="preserve"> over the next three years. </w:t>
      </w:r>
    </w:p>
    <w:p w14:paraId="7F662DB4" w14:textId="7A041236" w:rsidR="007F06B7" w:rsidRDefault="007F06B7" w:rsidP="004C756B">
      <w:pPr>
        <w:pStyle w:val="Heading1"/>
        <w:rPr>
          <w:lang w:eastAsia="en-AU"/>
        </w:rPr>
      </w:pPr>
      <w:r>
        <w:rPr>
          <w:lang w:eastAsia="en-AU"/>
        </w:rPr>
        <w:t>Violence</w:t>
      </w:r>
      <w:r w:rsidR="00A53D34" w:rsidRPr="006C38A4">
        <w:rPr>
          <w:lang w:eastAsia="en-AU"/>
        </w:rPr>
        <w:t xml:space="preserve"> against trans and gender diverse people</w:t>
      </w:r>
    </w:p>
    <w:p w14:paraId="332B6C95" w14:textId="4CD403E2" w:rsidR="00D16676" w:rsidRDefault="007F06B7" w:rsidP="00D16676">
      <w:pPr>
        <w:rPr>
          <w:color w:val="002060"/>
        </w:rPr>
      </w:pPr>
      <w:r w:rsidRPr="00996174">
        <w:rPr>
          <w:color w:val="002060"/>
        </w:rPr>
        <w:t>Gender inequality is a key driver of violence against trans and gender diverse people. This includes rigid attitudes, behaviours</w:t>
      </w:r>
      <w:r w:rsidR="008A04E1">
        <w:rPr>
          <w:color w:val="002060"/>
        </w:rPr>
        <w:t>,</w:t>
      </w:r>
      <w:r w:rsidRPr="00996174">
        <w:rPr>
          <w:color w:val="002060"/>
        </w:rPr>
        <w:t xml:space="preserve"> and views about gender and a belief that people must conform to heterosexuality and their sex assigned at birth (heteronormativity and cisnormativity).</w:t>
      </w:r>
      <w:r w:rsidR="00D12159">
        <w:rPr>
          <w:rFonts w:ascii="ZWAdobeF" w:hAnsi="ZWAdobeF" w:cs="ZWAdobeF"/>
          <w:color w:val="auto"/>
          <w:sz w:val="2"/>
          <w:szCs w:val="2"/>
        </w:rPr>
        <w:t>3F</w:t>
      </w:r>
      <w:r w:rsidR="005B50FF" w:rsidRPr="00E91561">
        <w:rPr>
          <w:rStyle w:val="EndnoteReference"/>
          <w:color w:val="002060"/>
          <w:vertAlign w:val="superscript"/>
        </w:rPr>
        <w:endnoteReference w:id="5"/>
      </w:r>
      <w:r w:rsidRPr="00996174">
        <w:rPr>
          <w:color w:val="002060"/>
        </w:rPr>
        <w:t xml:space="preserve"> There is crossover in the drivers of violence against women and trans and gender diverse people, and other LGBTIQA+ people. There are also similar patterns of perpetration, with research showing that </w:t>
      </w:r>
      <w:proofErr w:type="gramStart"/>
      <w:r w:rsidRPr="00996174">
        <w:rPr>
          <w:color w:val="002060"/>
        </w:rPr>
        <w:t>the majority of</w:t>
      </w:r>
      <w:proofErr w:type="gramEnd"/>
      <w:r w:rsidRPr="00996174">
        <w:rPr>
          <w:color w:val="002060"/>
        </w:rPr>
        <w:t xml:space="preserve"> violence experienced by LGBTIQA+ people is perpetrated by cisgender men</w:t>
      </w:r>
      <w:r w:rsidR="00C24C33" w:rsidRPr="00996174">
        <w:rPr>
          <w:color w:val="002060"/>
        </w:rPr>
        <w:t>.</w:t>
      </w:r>
      <w:r w:rsidR="00D12159">
        <w:rPr>
          <w:rFonts w:ascii="ZWAdobeF" w:hAnsi="ZWAdobeF" w:cs="ZWAdobeF"/>
          <w:color w:val="auto"/>
          <w:sz w:val="2"/>
          <w:szCs w:val="2"/>
        </w:rPr>
        <w:t>4F</w:t>
      </w:r>
      <w:r w:rsidR="00C24C33" w:rsidRPr="00E91561">
        <w:rPr>
          <w:rStyle w:val="EndnoteReference"/>
          <w:color w:val="002060"/>
          <w:vertAlign w:val="superscript"/>
        </w:rPr>
        <w:endnoteReference w:id="6"/>
      </w:r>
      <w:r w:rsidRPr="00996174">
        <w:rPr>
          <w:color w:val="002060"/>
        </w:rPr>
        <w:t xml:space="preserve"> </w:t>
      </w:r>
    </w:p>
    <w:p w14:paraId="6E17A54F" w14:textId="7CA5CF50" w:rsidR="007F06B7" w:rsidRPr="005F1CF3" w:rsidRDefault="00A55F23" w:rsidP="007F06B7">
      <w:pPr>
        <w:rPr>
          <w:rFonts w:eastAsiaTheme="minorHAnsi"/>
        </w:rPr>
      </w:pPr>
      <w:r>
        <w:lastRenderedPageBreak/>
        <w:t>While there</w:t>
      </w:r>
      <w:r w:rsidR="00681489">
        <w:t xml:space="preserve"> are opportunities to </w:t>
      </w:r>
      <w:r w:rsidR="002128EB">
        <w:t xml:space="preserve">grow </w:t>
      </w:r>
      <w:r w:rsidR="00681489">
        <w:t>the evidence base</w:t>
      </w:r>
      <w:r>
        <w:t xml:space="preserve"> (discussed below)</w:t>
      </w:r>
      <w:r w:rsidR="00681489">
        <w:t>, there is a</w:t>
      </w:r>
      <w:r w:rsidR="00192F50">
        <w:t>n existing</w:t>
      </w:r>
      <w:r w:rsidR="007F06B7" w:rsidRPr="00C56D39">
        <w:t xml:space="preserve"> body of population level research </w:t>
      </w:r>
      <w:r w:rsidR="009A42C7">
        <w:t xml:space="preserve">which </w:t>
      </w:r>
      <w:r w:rsidR="007F06B7" w:rsidRPr="00C56D39">
        <w:t>demonstrates that LGBTIQA+ people face high levels of discrimination, violence, and abuse in private and public spaces.</w:t>
      </w:r>
      <w:r w:rsidR="00D12159">
        <w:rPr>
          <w:rFonts w:ascii="ZWAdobeF" w:hAnsi="ZWAdobeF" w:cs="ZWAdobeF"/>
          <w:color w:val="auto"/>
          <w:sz w:val="2"/>
          <w:szCs w:val="2"/>
        </w:rPr>
        <w:t>5F</w:t>
      </w:r>
      <w:r w:rsidR="007F06B7" w:rsidRPr="00EE20E9">
        <w:rPr>
          <w:vertAlign w:val="superscript"/>
        </w:rPr>
        <w:endnoteReference w:id="7"/>
      </w:r>
      <w:r w:rsidR="007F06B7" w:rsidRPr="00EE20E9">
        <w:rPr>
          <w:vertAlign w:val="superscript"/>
        </w:rPr>
        <w:t xml:space="preserve"> </w:t>
      </w:r>
      <w:r w:rsidR="005F1CF3">
        <w:rPr>
          <w:rFonts w:eastAsiaTheme="minorHAnsi"/>
        </w:rPr>
        <w:t>National s</w:t>
      </w:r>
      <w:r w:rsidR="005F1CF3" w:rsidRPr="00C56D39">
        <w:rPr>
          <w:rFonts w:eastAsiaTheme="minorHAnsi"/>
        </w:rPr>
        <w:t xml:space="preserve">urveys such as </w:t>
      </w:r>
      <w:hyperlink r:id="rId22" w:history="1">
        <w:r w:rsidR="005F1CF3" w:rsidRPr="00634FDF">
          <w:rPr>
            <w:rStyle w:val="Hyperlink"/>
            <w:rFonts w:eastAsiaTheme="majorEastAsia"/>
            <w:i/>
            <w:iCs/>
          </w:rPr>
          <w:t>Private Lives 3</w:t>
        </w:r>
      </w:hyperlink>
      <w:r w:rsidR="005F1CF3" w:rsidRPr="00634FDF">
        <w:rPr>
          <w:rFonts w:eastAsiaTheme="majorEastAsia"/>
        </w:rPr>
        <w:t xml:space="preserve"> </w:t>
      </w:r>
      <w:r w:rsidR="005F1CF3" w:rsidRPr="00C56D39">
        <w:rPr>
          <w:rFonts w:eastAsiaTheme="minorHAnsi"/>
        </w:rPr>
        <w:t xml:space="preserve">and </w:t>
      </w:r>
      <w:hyperlink r:id="rId23" w:history="1">
        <w:r w:rsidR="005F1CF3" w:rsidRPr="00C52D11">
          <w:rPr>
            <w:rStyle w:val="Hyperlink"/>
            <w:rFonts w:eastAsiaTheme="minorHAnsi"/>
            <w:i/>
            <w:iCs/>
          </w:rPr>
          <w:t>Writing Themselves In 4</w:t>
        </w:r>
      </w:hyperlink>
      <w:r w:rsidR="005F1CF3" w:rsidRPr="00C56D39">
        <w:rPr>
          <w:rFonts w:eastAsiaTheme="minorHAnsi"/>
        </w:rPr>
        <w:t xml:space="preserve"> </w:t>
      </w:r>
      <w:r w:rsidR="00447322">
        <w:rPr>
          <w:rFonts w:eastAsiaTheme="minorHAnsi"/>
        </w:rPr>
        <w:t>(</w:t>
      </w:r>
      <w:r w:rsidR="005F1CF3" w:rsidRPr="00C56D39">
        <w:rPr>
          <w:rFonts w:eastAsiaTheme="minorHAnsi"/>
        </w:rPr>
        <w:t>focused on LGBTQA+ adults and young people respectively</w:t>
      </w:r>
      <w:r w:rsidR="00447322">
        <w:rPr>
          <w:rFonts w:eastAsiaTheme="minorHAnsi"/>
        </w:rPr>
        <w:t>)</w:t>
      </w:r>
      <w:r w:rsidR="005F1CF3" w:rsidRPr="00C56D39">
        <w:rPr>
          <w:rFonts w:eastAsiaTheme="minorHAnsi"/>
        </w:rPr>
        <w:t xml:space="preserve"> </w:t>
      </w:r>
      <w:r w:rsidR="005F1CF3">
        <w:rPr>
          <w:rFonts w:eastAsiaTheme="minorHAnsi"/>
        </w:rPr>
        <w:t xml:space="preserve">have </w:t>
      </w:r>
      <w:r w:rsidR="005F1CF3" w:rsidRPr="00C56D39">
        <w:rPr>
          <w:rFonts w:eastAsiaTheme="minorHAnsi"/>
        </w:rPr>
        <w:t>found that trans and gender diverse people report higher levels of harassment and abuse than cisgender people</w:t>
      </w:r>
      <w:r w:rsidR="005F1CF3">
        <w:rPr>
          <w:rFonts w:eastAsiaTheme="minorHAnsi"/>
        </w:rPr>
        <w:t>.</w:t>
      </w:r>
    </w:p>
    <w:p w14:paraId="1C2DC0F0" w14:textId="52DEC98D" w:rsidR="007F06B7" w:rsidRPr="00C56D39" w:rsidRDefault="005F1CF3" w:rsidP="007F06B7">
      <w:r>
        <w:t>A</w:t>
      </w:r>
      <w:r w:rsidR="007F06B7" w:rsidRPr="00C56D39">
        <w:t xml:space="preserve"> </w:t>
      </w:r>
      <w:hyperlink r:id="rId24" w:history="1">
        <w:r w:rsidR="007F06B7" w:rsidRPr="00C56D39">
          <w:rPr>
            <w:rStyle w:val="Hyperlink"/>
          </w:rPr>
          <w:t>2023 survey</w:t>
        </w:r>
      </w:hyperlink>
      <w:r w:rsidR="007F06B7" w:rsidRPr="00C56D39">
        <w:t xml:space="preserve"> conducted by the Trans Justice Project and Victorian Pride Lobby illustrated that anti-trans hate (abuse, harassment, vilification) is widespread</w:t>
      </w:r>
      <w:r>
        <w:t>, where, within the previous year</w:t>
      </w:r>
      <w:r w:rsidR="007F06B7" w:rsidRPr="00C56D39">
        <w:t>:</w:t>
      </w:r>
    </w:p>
    <w:p w14:paraId="224F66C5" w14:textId="093016C3" w:rsidR="007F06B7" w:rsidRPr="00C56D39" w:rsidRDefault="007F06B7" w:rsidP="00681489">
      <w:pPr>
        <w:pStyle w:val="Bulletedlist"/>
      </w:pPr>
      <w:r w:rsidRPr="00C56D39">
        <w:t>47.9% of trans participants experienc</w:t>
      </w:r>
      <w:r w:rsidR="005F1CF3">
        <w:t xml:space="preserve">ed </w:t>
      </w:r>
      <w:r w:rsidRPr="00C56D39">
        <w:t>anti-trans hate (abuse, harassment, or violence)</w:t>
      </w:r>
    </w:p>
    <w:p w14:paraId="5B265427" w14:textId="57A7445C" w:rsidR="007F06B7" w:rsidRPr="00C56D39" w:rsidRDefault="007F06B7" w:rsidP="00681489">
      <w:pPr>
        <w:pStyle w:val="Bulletedlist"/>
      </w:pPr>
      <w:r w:rsidRPr="00C56D39">
        <w:t xml:space="preserve">1 in 6 trans people </w:t>
      </w:r>
      <w:r w:rsidR="005F1CF3">
        <w:t>experienc</w:t>
      </w:r>
      <w:r w:rsidR="001A18CC">
        <w:t>ed</w:t>
      </w:r>
      <w:r w:rsidRPr="00C56D39">
        <w:t xml:space="preserve"> anti-trans </w:t>
      </w:r>
      <w:proofErr w:type="gramStart"/>
      <w:r w:rsidRPr="00C56D39">
        <w:t>violence</w:t>
      </w:r>
      <w:proofErr w:type="gramEnd"/>
    </w:p>
    <w:p w14:paraId="68774C09" w14:textId="0EBA3733" w:rsidR="007F06B7" w:rsidRPr="00C56D39" w:rsidRDefault="007F06B7" w:rsidP="00681489">
      <w:pPr>
        <w:pStyle w:val="Bulletedlist"/>
      </w:pPr>
      <w:r w:rsidRPr="00C56D39">
        <w:t xml:space="preserve">94.55% of all participants </w:t>
      </w:r>
      <w:r w:rsidR="001A18CC">
        <w:t xml:space="preserve">witnessed </w:t>
      </w:r>
      <w:r w:rsidRPr="00C56D39">
        <w:t xml:space="preserve">online anti-trans </w:t>
      </w:r>
      <w:proofErr w:type="gramStart"/>
      <w:r w:rsidRPr="00C56D39">
        <w:t>hate</w:t>
      </w:r>
      <w:proofErr w:type="gramEnd"/>
    </w:p>
    <w:p w14:paraId="43ACD660" w14:textId="000F2495" w:rsidR="007F06B7" w:rsidRPr="00C56D39" w:rsidRDefault="007F06B7" w:rsidP="00681489">
      <w:pPr>
        <w:pStyle w:val="Bulletedlist"/>
      </w:pPr>
      <w:r w:rsidRPr="00C56D39">
        <w:t>49.20% of trans participants experienc</w:t>
      </w:r>
      <w:r w:rsidR="001A18CC">
        <w:t>ed</w:t>
      </w:r>
      <w:r w:rsidRPr="00C56D39">
        <w:t xml:space="preserve"> online anti-trans</w:t>
      </w:r>
      <w:r w:rsidR="004E7653">
        <w:t xml:space="preserve"> hate</w:t>
      </w:r>
      <w:r w:rsidRPr="00C56D39">
        <w:t>.</w:t>
      </w:r>
      <w:r w:rsidR="00D12159">
        <w:rPr>
          <w:rFonts w:ascii="ZWAdobeF" w:hAnsi="ZWAdobeF" w:cs="ZWAdobeF"/>
          <w:color w:val="auto"/>
          <w:sz w:val="2"/>
          <w:szCs w:val="2"/>
        </w:rPr>
        <w:t>6F</w:t>
      </w:r>
      <w:r w:rsidR="00CF4F5F" w:rsidRPr="00E91561">
        <w:rPr>
          <w:rStyle w:val="EndnoteReference"/>
          <w:vertAlign w:val="superscript"/>
        </w:rPr>
        <w:endnoteReference w:id="8"/>
      </w:r>
    </w:p>
    <w:p w14:paraId="67FCF540" w14:textId="5FFB06A0" w:rsidR="007F06B7" w:rsidRPr="00C56D39" w:rsidRDefault="007F06B7" w:rsidP="007F06B7">
      <w:r w:rsidRPr="00C56D39">
        <w:t xml:space="preserve">Violence </w:t>
      </w:r>
      <w:r w:rsidRPr="00110212">
        <w:rPr>
          <w:color w:val="002060"/>
        </w:rPr>
        <w:t>against trans and gender diverse people does not occur in a vacuum, but in the context of narrow social ideas about bodies, sex, and gender which privilege certain forms</w:t>
      </w:r>
      <w:r w:rsidR="0040411B">
        <w:rPr>
          <w:color w:val="002060"/>
        </w:rPr>
        <w:t xml:space="preserve">. </w:t>
      </w:r>
      <w:r w:rsidRPr="00110212">
        <w:rPr>
          <w:color w:val="002060"/>
        </w:rPr>
        <w:t>When attitudes in society devalue or dehumanise trans and gender diverse people (and other LGBTIQA+ people) perpetrators may feel they can perpetrate violence against them without risk of punishment.</w:t>
      </w:r>
      <w:r w:rsidR="00D12159">
        <w:rPr>
          <w:rFonts w:ascii="ZWAdobeF" w:hAnsi="ZWAdobeF" w:cs="ZWAdobeF"/>
          <w:color w:val="auto"/>
          <w:sz w:val="2"/>
          <w:szCs w:val="2"/>
        </w:rPr>
        <w:t>7F</w:t>
      </w:r>
      <w:r w:rsidR="00EC54A9" w:rsidRPr="00E91561">
        <w:rPr>
          <w:rStyle w:val="EndnoteReference"/>
          <w:color w:val="002060"/>
          <w:vertAlign w:val="superscript"/>
        </w:rPr>
        <w:endnoteReference w:id="9"/>
      </w:r>
      <w:r w:rsidRPr="00E91561">
        <w:rPr>
          <w:color w:val="002060"/>
          <w:vertAlign w:val="superscript"/>
        </w:rPr>
        <w:t xml:space="preserve"> </w:t>
      </w:r>
    </w:p>
    <w:p w14:paraId="7C2F4359" w14:textId="77777777" w:rsidR="007F06B7" w:rsidRPr="00336DC8" w:rsidRDefault="007F06B7" w:rsidP="00336DC8">
      <w:pPr>
        <w:pStyle w:val="Heading2"/>
      </w:pPr>
      <w:r w:rsidRPr="00336DC8">
        <w:t>Domestic, family, and sexual violence effecting trans and gender diverse people</w:t>
      </w:r>
    </w:p>
    <w:p w14:paraId="6FB46914" w14:textId="17FFE4D4" w:rsidR="007F06B7" w:rsidRPr="00634FDF" w:rsidRDefault="00656F97" w:rsidP="00984C55">
      <w:r>
        <w:rPr>
          <w:rFonts w:eastAsiaTheme="minorHAnsi"/>
        </w:rPr>
        <w:t>R</w:t>
      </w:r>
      <w:r w:rsidR="007F06B7" w:rsidRPr="00C56D39">
        <w:rPr>
          <w:rFonts w:eastAsiaTheme="minorHAnsi"/>
        </w:rPr>
        <w:t>esearch shows that trans and gender diverse people also experience high levels of violence in their relationships and families of origin, including domestic, family and sexual violence.</w:t>
      </w:r>
      <w:r w:rsidR="00D12159">
        <w:rPr>
          <w:rFonts w:ascii="ZWAdobeF" w:eastAsiaTheme="minorHAnsi" w:hAnsi="ZWAdobeF" w:cs="ZWAdobeF"/>
          <w:color w:val="auto"/>
          <w:sz w:val="2"/>
          <w:szCs w:val="2"/>
        </w:rPr>
        <w:t>8F</w:t>
      </w:r>
      <w:r w:rsidR="00F441BB" w:rsidRPr="00F43EC1">
        <w:rPr>
          <w:rFonts w:eastAsiaTheme="minorHAnsi"/>
          <w:vertAlign w:val="superscript"/>
        </w:rPr>
        <w:endnoteReference w:id="10"/>
      </w:r>
      <w:r w:rsidR="00AA0424">
        <w:rPr>
          <w:rFonts w:eastAsiaTheme="minorHAnsi"/>
        </w:rPr>
        <w:t xml:space="preserve"> </w:t>
      </w:r>
      <w:r w:rsidR="007F06B7" w:rsidRPr="00634FDF">
        <w:t>Violence against LGBTIQA+ people in family and intimate relationships can involve physical, sexual, and emotional abuse, as well as ‘identity-based abuse’, such as a partner or family member threatening to ‘out’ them or withholding gender affirming hormones or HIV medication.</w:t>
      </w:r>
      <w:r w:rsidR="00D12159">
        <w:rPr>
          <w:rFonts w:ascii="ZWAdobeF" w:hAnsi="ZWAdobeF" w:cs="ZWAdobeF"/>
          <w:color w:val="auto"/>
          <w:sz w:val="2"/>
          <w:szCs w:val="2"/>
        </w:rPr>
        <w:t>9F</w:t>
      </w:r>
      <w:r w:rsidR="00984C55" w:rsidRPr="00E91561">
        <w:rPr>
          <w:rStyle w:val="EndnoteReference"/>
          <w:vertAlign w:val="superscript"/>
        </w:rPr>
        <w:endnoteReference w:id="11"/>
      </w:r>
    </w:p>
    <w:p w14:paraId="773006F1" w14:textId="67DC2E99" w:rsidR="007F06B7" w:rsidRDefault="007F06B7" w:rsidP="007F06B7">
      <w:r w:rsidRPr="00C56D39">
        <w:t>Intersecting forms of systemic discrimination and oppression such as ableism and racism can increase the severity and prevalence of this violence.</w:t>
      </w:r>
      <w:r w:rsidR="00D12159">
        <w:rPr>
          <w:rFonts w:ascii="ZWAdobeF" w:hAnsi="ZWAdobeF" w:cs="ZWAdobeF"/>
          <w:color w:val="auto"/>
          <w:sz w:val="2"/>
          <w:szCs w:val="2"/>
        </w:rPr>
        <w:t>10F</w:t>
      </w:r>
      <w:r w:rsidRPr="00BB5494">
        <w:rPr>
          <w:vertAlign w:val="superscript"/>
        </w:rPr>
        <w:endnoteReference w:id="12"/>
      </w:r>
      <w:r w:rsidR="004005D0">
        <w:t xml:space="preserve"> </w:t>
      </w:r>
      <w:r w:rsidRPr="00C56D39">
        <w:t xml:space="preserve">Aboriginal and Torres Strait Islander trans and gender diverse people, including Sistergirls and Brotherboys, experience both racism and transphobia due to the context of both the </w:t>
      </w:r>
      <w:proofErr w:type="spellStart"/>
      <w:r w:rsidR="00024A07">
        <w:t>r</w:t>
      </w:r>
      <w:r w:rsidR="0074438D">
        <w:t>aciali</w:t>
      </w:r>
      <w:r w:rsidR="00A7665B">
        <w:t>s</w:t>
      </w:r>
      <w:r w:rsidR="0074438D">
        <w:t>ed</w:t>
      </w:r>
      <w:proofErr w:type="spellEnd"/>
      <w:r w:rsidRPr="00C56D39">
        <w:t xml:space="preserve"> and patriarchal systems of heteronormativity and cisnormativity, and relationships that colonisation introduced and has sustained over time.</w:t>
      </w:r>
      <w:r w:rsidR="00D12159">
        <w:rPr>
          <w:rFonts w:ascii="ZWAdobeF" w:hAnsi="ZWAdobeF" w:cs="ZWAdobeF"/>
          <w:color w:val="auto"/>
          <w:sz w:val="2"/>
          <w:szCs w:val="2"/>
        </w:rPr>
        <w:t>11F</w:t>
      </w:r>
      <w:r w:rsidRPr="00E21A0A">
        <w:rPr>
          <w:vertAlign w:val="superscript"/>
        </w:rPr>
        <w:endnoteReference w:id="13"/>
      </w:r>
      <w:r>
        <w:t xml:space="preserve"> </w:t>
      </w:r>
      <w:hyperlink r:id="rId25" w:history="1">
        <w:r w:rsidR="00D77FD4" w:rsidRPr="007B71EA">
          <w:rPr>
            <w:rStyle w:val="Hyperlink"/>
            <w:i/>
            <w:iCs/>
          </w:rPr>
          <w:t>Crossing the Line</w:t>
        </w:r>
      </w:hyperlink>
      <w:r w:rsidR="00D77FD4">
        <w:rPr>
          <w:i/>
          <w:iCs/>
        </w:rPr>
        <w:t xml:space="preserve"> </w:t>
      </w:r>
      <w:r w:rsidR="00D77FD4">
        <w:t xml:space="preserve">research shows that trans women of colour experience additional prejudice and discrimination due to the </w:t>
      </w:r>
      <w:r w:rsidR="00D31D0F">
        <w:t>intersections</w:t>
      </w:r>
      <w:r w:rsidR="00D77FD4">
        <w:t xml:space="preserve"> </w:t>
      </w:r>
      <w:r w:rsidR="008A08C5">
        <w:t xml:space="preserve">of </w:t>
      </w:r>
      <w:r w:rsidR="00D77FD4">
        <w:t>gender, race, sexuality, religion and social class.</w:t>
      </w:r>
      <w:r w:rsidR="00D12159">
        <w:rPr>
          <w:rFonts w:ascii="ZWAdobeF" w:hAnsi="ZWAdobeF" w:cs="ZWAdobeF"/>
          <w:color w:val="auto"/>
          <w:sz w:val="2"/>
          <w:szCs w:val="2"/>
        </w:rPr>
        <w:t>12F</w:t>
      </w:r>
      <w:r w:rsidR="00D77FD4" w:rsidRPr="00E91561">
        <w:rPr>
          <w:rStyle w:val="EndnoteReference"/>
          <w:vertAlign w:val="superscript"/>
        </w:rPr>
        <w:endnoteReference w:id="14"/>
      </w:r>
      <w:r w:rsidR="00D77FD4" w:rsidRPr="00F43EC1">
        <w:t xml:space="preserve"> </w:t>
      </w:r>
      <w:r w:rsidR="00D77FD4">
        <w:t>The</w:t>
      </w:r>
      <w:r w:rsidR="00024A07">
        <w:t xml:space="preserve"> </w:t>
      </w:r>
      <w:r w:rsidR="00D77FD4">
        <w:t>research demonstrates that t</w:t>
      </w:r>
      <w:r w:rsidR="00302C71">
        <w:t>rans women of colour</w:t>
      </w:r>
      <w:r w:rsidR="003E0091">
        <w:t xml:space="preserve"> are </w:t>
      </w:r>
      <w:r w:rsidR="00B63C10">
        <w:t>subject to pervasive violence and prejudice</w:t>
      </w:r>
      <w:r w:rsidR="00533AD2">
        <w:t xml:space="preserve"> resulting in very few spaces where trans women of colour are safe from abuse. </w:t>
      </w:r>
    </w:p>
    <w:p w14:paraId="2EBF6D95" w14:textId="04F49C4C" w:rsidR="00AA77FF" w:rsidRDefault="007F06B7" w:rsidP="00587450">
      <w:r w:rsidRPr="006C38A4">
        <w:t>Violence</w:t>
      </w:r>
      <w:r w:rsidR="00A55B9B">
        <w:t xml:space="preserve">, </w:t>
      </w:r>
      <w:proofErr w:type="gramStart"/>
      <w:r w:rsidR="00A55B9B">
        <w:t>discrimination</w:t>
      </w:r>
      <w:proofErr w:type="gramEnd"/>
      <w:r w:rsidRPr="006C38A4">
        <w:t xml:space="preserve"> and abuse </w:t>
      </w:r>
      <w:r>
        <w:t>has</w:t>
      </w:r>
      <w:r w:rsidRPr="006C38A4">
        <w:t xml:space="preserve"> wide</w:t>
      </w:r>
      <w:r w:rsidR="006D6840">
        <w:t>-</w:t>
      </w:r>
      <w:r w:rsidRPr="006C38A4">
        <w:t xml:space="preserve">reaching impacts on trans and gender diverse </w:t>
      </w:r>
      <w:r w:rsidR="00CC221B" w:rsidRPr="006C38A4">
        <w:t>people’s</w:t>
      </w:r>
      <w:r w:rsidRPr="006C38A4">
        <w:t xml:space="preserve"> lives and their communities, including </w:t>
      </w:r>
      <w:r>
        <w:t>the impacts of</w:t>
      </w:r>
      <w:r w:rsidRPr="006C38A4">
        <w:t xml:space="preserve"> violence</w:t>
      </w:r>
      <w:r>
        <w:t xml:space="preserve"> on</w:t>
      </w:r>
      <w:r w:rsidRPr="006C38A4">
        <w:t xml:space="preserve"> </w:t>
      </w:r>
      <w:r w:rsidR="00EF02D1">
        <w:t xml:space="preserve">homelessness and </w:t>
      </w:r>
      <w:r w:rsidRPr="006C38A4">
        <w:t>poor mental health outcomes</w:t>
      </w:r>
      <w:r w:rsidR="00A026D5">
        <w:t>,</w:t>
      </w:r>
      <w:r w:rsidRPr="006C38A4">
        <w:t xml:space="preserve"> including self-harm and suicidal </w:t>
      </w:r>
      <w:r w:rsidR="001C4DD0" w:rsidRPr="006C38A4">
        <w:t>behaviours</w:t>
      </w:r>
      <w:r w:rsidRPr="006C38A4">
        <w:t>, anxiety and depressive symptoms.</w:t>
      </w:r>
      <w:r w:rsidR="00D12159">
        <w:rPr>
          <w:rFonts w:ascii="ZWAdobeF" w:hAnsi="ZWAdobeF" w:cs="ZWAdobeF"/>
          <w:color w:val="auto"/>
          <w:sz w:val="2"/>
          <w:szCs w:val="2"/>
        </w:rPr>
        <w:t>13F</w:t>
      </w:r>
      <w:r w:rsidRPr="006C38A4">
        <w:rPr>
          <w:rStyle w:val="EndnoteReference"/>
          <w:vertAlign w:val="superscript"/>
        </w:rPr>
        <w:endnoteReference w:id="15"/>
      </w:r>
      <w:r w:rsidR="00D77FD4">
        <w:t xml:space="preserve"> </w:t>
      </w:r>
    </w:p>
    <w:p w14:paraId="16559F61" w14:textId="48F9B5C7" w:rsidR="007F06B7" w:rsidRDefault="00ED6D08" w:rsidP="00336DC8">
      <w:pPr>
        <w:pStyle w:val="Heading2"/>
        <w:rPr>
          <w:highlight w:val="yellow"/>
        </w:rPr>
      </w:pPr>
      <w:r>
        <w:t>Building the evidence base</w:t>
      </w:r>
      <w:r w:rsidR="00336DC8" w:rsidRPr="00336DC8">
        <w:t xml:space="preserve"> on violence against trans and gender diverse </w:t>
      </w:r>
      <w:proofErr w:type="gramStart"/>
      <w:r w:rsidR="00336DC8" w:rsidRPr="00336DC8">
        <w:t>people</w:t>
      </w:r>
      <w:proofErr w:type="gramEnd"/>
    </w:p>
    <w:p w14:paraId="04BB6E8A" w14:textId="14032436" w:rsidR="00225434" w:rsidRDefault="007F06B7" w:rsidP="00DF70E8">
      <w:r w:rsidRPr="006C38A4">
        <w:t xml:space="preserve">There </w:t>
      </w:r>
      <w:r w:rsidR="00D93AA0">
        <w:t>is an increasing body of research in Australia</w:t>
      </w:r>
      <w:r w:rsidRPr="006C38A4">
        <w:t xml:space="preserve"> that measure</w:t>
      </w:r>
      <w:r w:rsidR="00D93AA0">
        <w:t>s the prevalence and nature of</w:t>
      </w:r>
      <w:r>
        <w:t xml:space="preserve"> </w:t>
      </w:r>
      <w:r w:rsidR="00D93AA0">
        <w:t>LGBTIQA+ people’s experiences of</w:t>
      </w:r>
      <w:r>
        <w:t xml:space="preserve"> family, domestic and sexual</w:t>
      </w:r>
      <w:r w:rsidRPr="006C38A4">
        <w:t xml:space="preserve"> </w:t>
      </w:r>
      <w:proofErr w:type="gramStart"/>
      <w:r w:rsidRPr="006C38A4">
        <w:t>violence</w:t>
      </w:r>
      <w:proofErr w:type="gramEnd"/>
      <w:r w:rsidRPr="006C38A4">
        <w:t xml:space="preserve"> </w:t>
      </w:r>
      <w:r w:rsidR="00D93AA0">
        <w:t>and sexual harassment.</w:t>
      </w:r>
      <w:r w:rsidRPr="006C38A4">
        <w:t xml:space="preserve"> </w:t>
      </w:r>
      <w:r w:rsidR="000361F6">
        <w:t>For example, t</w:t>
      </w:r>
      <w:r w:rsidR="00C86FE8">
        <w:t xml:space="preserve">he recent </w:t>
      </w:r>
      <w:hyperlink r:id="rId26" w:history="1">
        <w:r w:rsidR="00C86FE8" w:rsidRPr="00DC1A6E">
          <w:rPr>
            <w:rStyle w:val="Hyperlink"/>
            <w:i/>
            <w:iCs/>
          </w:rPr>
          <w:t>Rainbow Realties</w:t>
        </w:r>
      </w:hyperlink>
      <w:r w:rsidR="00C86FE8">
        <w:rPr>
          <w:i/>
          <w:iCs/>
        </w:rPr>
        <w:t xml:space="preserve"> </w:t>
      </w:r>
      <w:r w:rsidR="00C86FE8">
        <w:t xml:space="preserve">report synthesises data </w:t>
      </w:r>
      <w:r w:rsidR="00C86FE8">
        <w:lastRenderedPageBreak/>
        <w:t>from six surveys of LGBTIQA+ populations collating over 20,000 responses from LGBTIQA+ people to build a picture around LGBTIQA+ health outcomes</w:t>
      </w:r>
      <w:r w:rsidR="00DF70E8">
        <w:t xml:space="preserve"> in Australia</w:t>
      </w:r>
      <w:r w:rsidR="00C86FE8">
        <w:t>, including family violence and</w:t>
      </w:r>
      <w:r w:rsidR="00DF70E8">
        <w:t xml:space="preserve"> </w:t>
      </w:r>
      <w:r w:rsidR="00C86FE8">
        <w:t>sexual assault, and discrimination and abuse</w:t>
      </w:r>
      <w:r w:rsidR="00CE10D0">
        <w:t xml:space="preserve">. </w:t>
      </w:r>
    </w:p>
    <w:p w14:paraId="450CC2E4" w14:textId="387BE98C" w:rsidR="00DF70E8" w:rsidRDefault="0074438D" w:rsidP="00DF70E8">
      <w:r>
        <w:t xml:space="preserve">These </w:t>
      </w:r>
      <w:r w:rsidRPr="009A42C7">
        <w:rPr>
          <w:rFonts w:eastAsiaTheme="minorHAnsi"/>
        </w:rPr>
        <w:t>surveys</w:t>
      </w:r>
      <w:r>
        <w:rPr>
          <w:rFonts w:eastAsiaTheme="minorHAnsi"/>
          <w:i/>
          <w:iCs/>
        </w:rPr>
        <w:t xml:space="preserve"> </w:t>
      </w:r>
      <w:r>
        <w:rPr>
          <w:rFonts w:eastAsiaTheme="minorHAnsi"/>
        </w:rPr>
        <w:t>are invaluable</w:t>
      </w:r>
      <w:r w:rsidR="00F323F8">
        <w:rPr>
          <w:rFonts w:eastAsiaTheme="minorHAnsi"/>
        </w:rPr>
        <w:t>, h</w:t>
      </w:r>
      <w:r w:rsidR="00CE10D0">
        <w:t xml:space="preserve">owever </w:t>
      </w:r>
      <w:r w:rsidR="007F06B7" w:rsidRPr="006C38A4">
        <w:t>the</w:t>
      </w:r>
      <w:r w:rsidR="00F323F8">
        <w:t>re are</w:t>
      </w:r>
      <w:r w:rsidR="000361F6">
        <w:t xml:space="preserve"> also</w:t>
      </w:r>
      <w:r w:rsidR="00F323F8">
        <w:t xml:space="preserve"> opportunities to strengthen </w:t>
      </w:r>
      <w:r w:rsidR="004D27CA" w:rsidRPr="006C38A4">
        <w:t xml:space="preserve">Australian national </w:t>
      </w:r>
      <w:r w:rsidR="00BD105F">
        <w:t xml:space="preserve">and longitudinal </w:t>
      </w:r>
      <w:r w:rsidR="004D27CA" w:rsidRPr="006C38A4">
        <w:t xml:space="preserve">data sets </w:t>
      </w:r>
      <w:r w:rsidR="004D27CA">
        <w:t>to include</w:t>
      </w:r>
      <w:r w:rsidR="004D27CA" w:rsidRPr="006C38A4">
        <w:t xml:space="preserve"> adequate questions about sex characteristics, gender identity</w:t>
      </w:r>
      <w:r w:rsidR="000361F6">
        <w:t>,</w:t>
      </w:r>
      <w:r w:rsidR="004D27CA" w:rsidRPr="006C38A4">
        <w:t xml:space="preserve"> and sexuality</w:t>
      </w:r>
      <w:r w:rsidR="00D26AC7">
        <w:t xml:space="preserve"> </w:t>
      </w:r>
      <w:r w:rsidR="004D27CA">
        <w:t xml:space="preserve">to </w:t>
      </w:r>
      <w:r w:rsidR="008A7AAB">
        <w:t xml:space="preserve">better </w:t>
      </w:r>
      <w:r w:rsidR="004D27CA">
        <w:t>inform policy and programming</w:t>
      </w:r>
      <w:r w:rsidR="0068538C">
        <w:t>.</w:t>
      </w:r>
      <w:r w:rsidR="004D27CA" w:rsidRPr="004D27CA">
        <w:t xml:space="preserve"> </w:t>
      </w:r>
      <w:r w:rsidR="004D27CA">
        <w:t>For example, this may include embedding measures in</w:t>
      </w:r>
      <w:r w:rsidR="004D27CA" w:rsidRPr="00C56D39">
        <w:t xml:space="preserve"> </w:t>
      </w:r>
      <w:r w:rsidR="00D93AA0">
        <w:t xml:space="preserve">national </w:t>
      </w:r>
      <w:r w:rsidR="004D27CA">
        <w:t>level</w:t>
      </w:r>
      <w:r w:rsidR="004D27CA" w:rsidRPr="00C56D39">
        <w:t xml:space="preserve"> </w:t>
      </w:r>
      <w:r w:rsidR="00D93AA0">
        <w:t xml:space="preserve">crime victimisation </w:t>
      </w:r>
      <w:r w:rsidR="004D27CA" w:rsidRPr="00C56D39">
        <w:t>data</w:t>
      </w:r>
      <w:r w:rsidR="004D27CA">
        <w:t>sets</w:t>
      </w:r>
      <w:r w:rsidR="004D27CA" w:rsidRPr="00C56D39">
        <w:t xml:space="preserve"> </w:t>
      </w:r>
      <w:r w:rsidR="004D27CA">
        <w:t xml:space="preserve">and surveys (e.g., </w:t>
      </w:r>
      <w:r w:rsidR="00D93AA0">
        <w:t xml:space="preserve">ABS </w:t>
      </w:r>
      <w:r w:rsidR="004D27CA">
        <w:t xml:space="preserve">Personal Safety Survey) to specifically </w:t>
      </w:r>
      <w:r w:rsidR="004D27CA" w:rsidRPr="00C56D39">
        <w:t>measure the prevalence of violence experienced by trans and gender diverse people (as well as LGB</w:t>
      </w:r>
      <w:r w:rsidR="00D93AA0">
        <w:t>T</w:t>
      </w:r>
      <w:r w:rsidR="004D27CA" w:rsidRPr="00C56D39">
        <w:t>IQA+ people</w:t>
      </w:r>
      <w:r w:rsidR="002E620A">
        <w:t xml:space="preserve"> more broadly</w:t>
      </w:r>
      <w:r w:rsidR="004D27CA" w:rsidRPr="00C56D39">
        <w:t xml:space="preserve">). </w:t>
      </w:r>
    </w:p>
    <w:p w14:paraId="44D11089" w14:textId="707C4E4B" w:rsidR="00E22CAD" w:rsidRDefault="00E0379F" w:rsidP="00E22CAD">
      <w:pPr>
        <w:rPr>
          <w:b/>
        </w:rPr>
      </w:pPr>
      <w:r>
        <w:t xml:space="preserve">Identifying research gaps and </w:t>
      </w:r>
      <w:r w:rsidR="0075144C">
        <w:t xml:space="preserve">opportunities </w:t>
      </w:r>
      <w:r>
        <w:t>is an important element of evidence building</w:t>
      </w:r>
      <w:r w:rsidR="00684ACA">
        <w:t xml:space="preserve">, contributing to </w:t>
      </w:r>
      <w:r w:rsidR="00DC7433">
        <w:t xml:space="preserve">a </w:t>
      </w:r>
      <w:r w:rsidR="00684ACA" w:rsidRPr="00684ACA">
        <w:t xml:space="preserve">better understanding of the </w:t>
      </w:r>
      <w:r w:rsidR="00DC7433">
        <w:t>dynamics of violence</w:t>
      </w:r>
      <w:r w:rsidR="00AB06AF">
        <w:t xml:space="preserve"> and</w:t>
      </w:r>
      <w:r w:rsidR="00684ACA" w:rsidRPr="00684ACA">
        <w:t xml:space="preserve"> </w:t>
      </w:r>
      <w:r w:rsidR="00684ACA">
        <w:t xml:space="preserve">trans and gender diverse people </w:t>
      </w:r>
      <w:r w:rsidR="00DC7433">
        <w:t>experience, the impacts of this violence, the barriers</w:t>
      </w:r>
      <w:r w:rsidR="00684ACA">
        <w:t xml:space="preserve"> </w:t>
      </w:r>
      <w:r w:rsidR="00684ACA" w:rsidRPr="00684ACA">
        <w:t xml:space="preserve">in accessing support </w:t>
      </w:r>
      <w:r w:rsidR="001C1E80">
        <w:t>and</w:t>
      </w:r>
      <w:r w:rsidR="00684ACA" w:rsidRPr="00684ACA">
        <w:t xml:space="preserve"> strategies to </w:t>
      </w:r>
      <w:r w:rsidR="00AB06AF">
        <w:t>overcome them</w:t>
      </w:r>
      <w:r w:rsidR="001C1E80">
        <w:t xml:space="preserve">. </w:t>
      </w:r>
    </w:p>
    <w:p w14:paraId="48A347E1" w14:textId="4AD5E727" w:rsidR="00A53D34" w:rsidRPr="006C38A4" w:rsidRDefault="001D0750" w:rsidP="00150B3E">
      <w:pPr>
        <w:pStyle w:val="Heading1"/>
        <w:rPr>
          <w:lang w:eastAsia="en-AU"/>
        </w:rPr>
      </w:pPr>
      <w:r>
        <w:rPr>
          <w:lang w:eastAsia="en-AU"/>
        </w:rPr>
        <w:t>P</w:t>
      </w:r>
      <w:r w:rsidR="00A53D34" w:rsidRPr="006C38A4">
        <w:rPr>
          <w:lang w:eastAsia="en-AU"/>
        </w:rPr>
        <w:t>reventing violence against women and addressing the social context of gender and other inequalities</w:t>
      </w:r>
    </w:p>
    <w:p w14:paraId="44CBBD64" w14:textId="64F43DAF" w:rsidR="00A53D34" w:rsidRPr="006C38A4" w:rsidRDefault="00A53D34" w:rsidP="00375968">
      <w:pPr>
        <w:rPr>
          <w:lang w:eastAsia="en-AU"/>
        </w:rPr>
      </w:pPr>
      <w:r w:rsidRPr="006C38A4">
        <w:rPr>
          <w:lang w:eastAsia="en-AU"/>
        </w:rPr>
        <w:t>Our Watch’s evidence-based national framework</w:t>
      </w:r>
      <w:r w:rsidRPr="006C38A4">
        <w:rPr>
          <w:i/>
          <w:iCs/>
          <w:lang w:eastAsia="en-AU"/>
        </w:rPr>
        <w:t xml:space="preserve"> Change the story </w:t>
      </w:r>
      <w:r w:rsidRPr="006C38A4">
        <w:rPr>
          <w:lang w:eastAsia="en-AU"/>
        </w:rPr>
        <w:t>identifies that gender inequality sets the social context in which violence against women occurs</w:t>
      </w:r>
      <w:r>
        <w:rPr>
          <w:lang w:eastAsia="en-AU"/>
        </w:rPr>
        <w:t xml:space="preserve"> </w:t>
      </w:r>
      <w:r w:rsidRPr="006C38A4">
        <w:rPr>
          <w:lang w:eastAsia="en-AU"/>
        </w:rPr>
        <w:t>and makes clear that the drivers of this violence are gendered. </w:t>
      </w:r>
      <w:r w:rsidR="00D579E5">
        <w:rPr>
          <w:lang w:eastAsia="en-AU"/>
        </w:rPr>
        <w:t xml:space="preserve"> </w:t>
      </w:r>
    </w:p>
    <w:p w14:paraId="572D8995" w14:textId="2CEAB969" w:rsidR="00A53D34" w:rsidRPr="006C38A4" w:rsidRDefault="00A53D34" w:rsidP="00375968">
      <w:r w:rsidRPr="006C38A4">
        <w:rPr>
          <w:rFonts w:eastAsia="Roboto" w:cs="Roboto"/>
        </w:rPr>
        <w:t xml:space="preserve">The factors </w:t>
      </w:r>
      <w:r w:rsidRPr="006C38A4">
        <w:rPr>
          <w:rFonts w:eastAsia="Roboto" w:cs="Roboto"/>
          <w:i/>
          <w:iCs/>
        </w:rPr>
        <w:t>Change the story</w:t>
      </w:r>
      <w:r w:rsidRPr="006C38A4">
        <w:rPr>
          <w:rFonts w:eastAsia="Roboto" w:cs="Roboto"/>
        </w:rPr>
        <w:t xml:space="preserve"> terms as the ‘gendered drivers’ of violence arise from gender-discriminatory institutional, </w:t>
      </w:r>
      <w:proofErr w:type="gramStart"/>
      <w:r w:rsidRPr="006C38A4">
        <w:rPr>
          <w:rFonts w:eastAsia="Roboto" w:cs="Roboto"/>
        </w:rPr>
        <w:t>social</w:t>
      </w:r>
      <w:proofErr w:type="gramEnd"/>
      <w:r w:rsidRPr="006C38A4">
        <w:rPr>
          <w:rFonts w:eastAsia="Roboto" w:cs="Roboto"/>
        </w:rPr>
        <w:t xml:space="preserve"> and economic structures, social and cultural norms, and organisational, community, family and relationship practices that together create environments in which women and men are not considered equal, and violence against women is both more likely</w:t>
      </w:r>
      <w:r w:rsidR="00F17C7D">
        <w:rPr>
          <w:rFonts w:eastAsia="Roboto" w:cs="Roboto"/>
        </w:rPr>
        <w:t xml:space="preserve"> to occur</w:t>
      </w:r>
      <w:r w:rsidRPr="006C38A4">
        <w:rPr>
          <w:rFonts w:eastAsia="Roboto" w:cs="Roboto"/>
        </w:rPr>
        <w:t xml:space="preserve">, and more likely to be tolerated and even condoned. The gendered drivers of violence against women are:  </w:t>
      </w:r>
    </w:p>
    <w:p w14:paraId="0903F452" w14:textId="77777777" w:rsidR="00A53D34" w:rsidRPr="006C38A4" w:rsidRDefault="00A53D34" w:rsidP="009C05BD">
      <w:pPr>
        <w:pStyle w:val="Bulletedlist"/>
        <w:rPr>
          <w:lang w:eastAsia="en-AU"/>
        </w:rPr>
      </w:pPr>
      <w:r w:rsidRPr="006C38A4">
        <w:rPr>
          <w:lang w:eastAsia="en-AU"/>
        </w:rPr>
        <w:t>Driver 1: Condoning of violence against women.  </w:t>
      </w:r>
    </w:p>
    <w:p w14:paraId="77C0A36F" w14:textId="77777777" w:rsidR="00A53D34" w:rsidRPr="006C38A4" w:rsidRDefault="00A53D34" w:rsidP="009C05BD">
      <w:pPr>
        <w:pStyle w:val="Bulletedlist"/>
        <w:rPr>
          <w:lang w:eastAsia="en-AU"/>
        </w:rPr>
      </w:pPr>
      <w:r w:rsidRPr="006C38A4">
        <w:rPr>
          <w:lang w:eastAsia="en-AU"/>
        </w:rPr>
        <w:t>Driver 2: Men’s control of decision-making and limits to women’s independence in public and private life. </w:t>
      </w:r>
    </w:p>
    <w:p w14:paraId="7DFBAC61" w14:textId="77777777" w:rsidR="00A53D34" w:rsidRPr="006C38A4" w:rsidRDefault="00A53D34" w:rsidP="009C05BD">
      <w:pPr>
        <w:pStyle w:val="Bulletedlist"/>
        <w:rPr>
          <w:lang w:eastAsia="en-AU"/>
        </w:rPr>
      </w:pPr>
      <w:r w:rsidRPr="006C38A4">
        <w:rPr>
          <w:lang w:eastAsia="en-AU"/>
        </w:rPr>
        <w:t>Driver 3: Rigid gender stereotyping and dominant forms of masculinity.  </w:t>
      </w:r>
    </w:p>
    <w:p w14:paraId="6F543BF8" w14:textId="6AEC1557" w:rsidR="00A53D34" w:rsidRPr="006C38A4" w:rsidRDefault="00A53D34" w:rsidP="009C05BD">
      <w:pPr>
        <w:pStyle w:val="Bulletedlist"/>
        <w:rPr>
          <w:lang w:eastAsia="en-AU"/>
        </w:rPr>
      </w:pPr>
      <w:r w:rsidRPr="006C38A4">
        <w:rPr>
          <w:lang w:eastAsia="en-AU"/>
        </w:rPr>
        <w:t xml:space="preserve">Driver 4: Male peer relations and cultures of masculinity that emphasise aggression, </w:t>
      </w:r>
      <w:bookmarkStart w:id="0" w:name="_Int_CaR6oVIx"/>
      <w:r w:rsidRPr="006C38A4">
        <w:rPr>
          <w:lang w:eastAsia="en-AU"/>
        </w:rPr>
        <w:t>dominance</w:t>
      </w:r>
      <w:bookmarkEnd w:id="0"/>
      <w:r w:rsidRPr="006C38A4">
        <w:rPr>
          <w:lang w:eastAsia="en-AU"/>
        </w:rPr>
        <w:t xml:space="preserve"> and </w:t>
      </w:r>
      <w:proofErr w:type="gramStart"/>
      <w:r w:rsidRPr="006C38A4">
        <w:rPr>
          <w:lang w:eastAsia="en-AU"/>
        </w:rPr>
        <w:t>control</w:t>
      </w:r>
      <w:proofErr w:type="gramEnd"/>
      <w:r w:rsidRPr="006C38A4">
        <w:rPr>
          <w:lang w:eastAsia="en-AU"/>
        </w:rPr>
        <w:t> </w:t>
      </w:r>
      <w:r w:rsidRPr="006C38A4">
        <w:rPr>
          <w:i/>
        </w:rPr>
        <w:t xml:space="preserve"> </w:t>
      </w:r>
    </w:p>
    <w:p w14:paraId="3D0287EB" w14:textId="7AF8552C" w:rsidR="00A53D34" w:rsidRPr="006C38A4" w:rsidRDefault="00A53D34" w:rsidP="00375968">
      <w:r w:rsidRPr="006C38A4">
        <w:rPr>
          <w:i/>
        </w:rPr>
        <w:t>Change the story</w:t>
      </w:r>
      <w:r w:rsidRPr="006C38A4">
        <w:t xml:space="preserve"> acknowledges that women are not a homogenous group, but one comprising many and varied personal identities and social positions. The intersectional approach embedded throughout </w:t>
      </w:r>
      <w:r w:rsidRPr="006C38A4">
        <w:rPr>
          <w:i/>
        </w:rPr>
        <w:t>Change the story</w:t>
      </w:r>
      <w:r w:rsidRPr="006C38A4">
        <w:t xml:space="preserve"> recognises that violence and gender inequality exist in relation to multiple and intersecting systems of sexism, racism, colonialism, classism, heteronormativity, cisnormativity, homo-, bi- and transphobia, ableism and ageism, and their corresponding systems of power and privilege. These intersections create systems of structured inequality, characterised by the unequal distribution of power, wealth, </w:t>
      </w:r>
      <w:proofErr w:type="gramStart"/>
      <w:r w:rsidRPr="006C38A4">
        <w:t>income</w:t>
      </w:r>
      <w:proofErr w:type="gramEnd"/>
      <w:r w:rsidRPr="006C38A4">
        <w:t xml:space="preserve"> and social status.</w:t>
      </w:r>
      <w:r w:rsidR="00D579E5" w:rsidRPr="00D579E5">
        <w:rPr>
          <w:lang w:eastAsia="en-AU"/>
        </w:rPr>
        <w:t xml:space="preserve"> </w:t>
      </w:r>
    </w:p>
    <w:p w14:paraId="7F9FAEEE" w14:textId="634A2D9F" w:rsidR="00A53D34" w:rsidRPr="006C38A4" w:rsidRDefault="00A53D34" w:rsidP="00375968">
      <w:r w:rsidRPr="006C38A4">
        <w:rPr>
          <w:i/>
          <w:iCs/>
        </w:rPr>
        <w:t xml:space="preserve">Change the story </w:t>
      </w:r>
      <w:r w:rsidRPr="006C38A4">
        <w:t>acknowledges the inherent limitations of binary language and recognises that the category of ‘women’ is a socially constructed one, and part of a binary system of sex and gender categories that does not represent the gender diversity of the population.</w:t>
      </w:r>
      <w:r w:rsidR="00D12159">
        <w:rPr>
          <w:rFonts w:ascii="ZWAdobeF" w:hAnsi="ZWAdobeF" w:cs="ZWAdobeF"/>
          <w:color w:val="auto"/>
          <w:sz w:val="2"/>
          <w:szCs w:val="2"/>
        </w:rPr>
        <w:t>14F</w:t>
      </w:r>
      <w:r w:rsidR="00701921" w:rsidRPr="0004320D">
        <w:rPr>
          <w:rStyle w:val="EndnoteReference"/>
          <w:vertAlign w:val="superscript"/>
        </w:rPr>
        <w:endnoteReference w:id="16"/>
      </w:r>
      <w:r w:rsidRPr="006C38A4">
        <w:t xml:space="preserve"> The framework’s definition of a woman includes anyone who identifies and lives as a woman, which includes cisgender and trans women. It </w:t>
      </w:r>
      <w:r w:rsidRPr="006C38A4">
        <w:lastRenderedPageBreak/>
        <w:t>recognises that the violence experienced by cisgender heterosexual women can be different from violence experienced by lesbian, bisexual</w:t>
      </w:r>
      <w:r w:rsidR="00057044">
        <w:t>, queer and</w:t>
      </w:r>
      <w:r w:rsidRPr="006C38A4">
        <w:t xml:space="preserve"> trans women, who may also be targeted </w:t>
      </w:r>
      <w:proofErr w:type="gramStart"/>
      <w:r w:rsidRPr="006C38A4">
        <w:t>on the basis of</w:t>
      </w:r>
      <w:proofErr w:type="gramEnd"/>
      <w:r w:rsidRPr="006C38A4">
        <w:t xml:space="preserve"> their sexuality and/or their perceived gender non-conformity. Intersex, transgender and gender diverse people further challenge the assumption that binary biological sex determines a binary gender.</w:t>
      </w:r>
      <w:r w:rsidR="00D12159">
        <w:rPr>
          <w:rFonts w:ascii="ZWAdobeF" w:hAnsi="ZWAdobeF" w:cs="ZWAdobeF"/>
          <w:color w:val="auto"/>
          <w:sz w:val="2"/>
          <w:szCs w:val="2"/>
        </w:rPr>
        <w:t>15F</w:t>
      </w:r>
      <w:r w:rsidRPr="00E91561">
        <w:rPr>
          <w:rStyle w:val="EndnoteReference"/>
          <w:vertAlign w:val="superscript"/>
        </w:rPr>
        <w:endnoteReference w:id="17"/>
      </w:r>
    </w:p>
    <w:p w14:paraId="315C58A6" w14:textId="38BFC3E6" w:rsidR="001100DF" w:rsidRDefault="00A53D34" w:rsidP="00E44FA3">
      <w:r w:rsidRPr="006C38A4">
        <w:t>Rigid gender norms, together with cisnormativity, and heteronormativity, produce norms and stereotypes that devalue the bodies, identities and relationships of lesbian, bisexual and trans women, and drive and normalise violence against these women.</w:t>
      </w:r>
      <w:r w:rsidR="00D12159">
        <w:rPr>
          <w:rFonts w:ascii="ZWAdobeF" w:hAnsi="ZWAdobeF" w:cs="ZWAdobeF"/>
          <w:color w:val="auto"/>
          <w:sz w:val="2"/>
          <w:szCs w:val="2"/>
        </w:rPr>
        <w:t>16F</w:t>
      </w:r>
      <w:r w:rsidRPr="006C38A4">
        <w:rPr>
          <w:vertAlign w:val="superscript"/>
        </w:rPr>
        <w:endnoteReference w:id="18"/>
      </w:r>
      <w:r w:rsidRPr="006C38A4">
        <w:t xml:space="preserve"> The intersections of homo-, bi- and transphobia with the gendered drivers of violence against women means that lesbian, bisexual and trans women can experience additional, unique forms of violence as a result of their gender identity and/or sexual orientation.</w:t>
      </w:r>
      <w:r w:rsidR="00D12159">
        <w:rPr>
          <w:rFonts w:ascii="ZWAdobeF" w:hAnsi="ZWAdobeF" w:cs="ZWAdobeF"/>
          <w:color w:val="auto"/>
          <w:sz w:val="2"/>
          <w:szCs w:val="2"/>
        </w:rPr>
        <w:t>17F</w:t>
      </w:r>
      <w:r w:rsidRPr="006C38A4">
        <w:rPr>
          <w:vertAlign w:val="superscript"/>
        </w:rPr>
        <w:endnoteReference w:id="19"/>
      </w:r>
      <w:r w:rsidR="00221327">
        <w:t xml:space="preserve"> </w:t>
      </w:r>
    </w:p>
    <w:p w14:paraId="26477EBC" w14:textId="735A8D09" w:rsidR="00565D11" w:rsidRDefault="00221327" w:rsidP="00E44FA3">
      <w:r w:rsidRPr="00221327">
        <w:t xml:space="preserve">We </w:t>
      </w:r>
      <w:r w:rsidR="00854098">
        <w:t>acknowledge</w:t>
      </w:r>
      <w:r w:rsidR="00854098" w:rsidRPr="00221327">
        <w:t xml:space="preserve"> </w:t>
      </w:r>
      <w:r w:rsidRPr="00221327">
        <w:t xml:space="preserve">that gender-based violence also effects gay, bisexual, queer and trans men, </w:t>
      </w:r>
      <w:proofErr w:type="gramStart"/>
      <w:r w:rsidRPr="00221327">
        <w:t>intersex</w:t>
      </w:r>
      <w:proofErr w:type="gramEnd"/>
      <w:r w:rsidRPr="00221327">
        <w:t xml:space="preserve"> and non-binary people. </w:t>
      </w:r>
      <w:proofErr w:type="gramStart"/>
      <w:r w:rsidR="00CF4F5F">
        <w:rPr>
          <w:lang w:eastAsia="en-AU"/>
        </w:rPr>
        <w:t>Building on this, there</w:t>
      </w:r>
      <w:proofErr w:type="gramEnd"/>
      <w:r w:rsidR="00CF4F5F">
        <w:rPr>
          <w:lang w:eastAsia="en-AU"/>
        </w:rPr>
        <w:t xml:space="preserve"> are significant opportunities to build our understanding of the overlapping drivers of violence against LGBTIQA+ people and communities and how to prevent such violence. </w:t>
      </w:r>
      <w:r w:rsidRPr="00221327">
        <w:t xml:space="preserve">Our </w:t>
      </w:r>
      <w:r>
        <w:t>Watch’s</w:t>
      </w:r>
      <w:r w:rsidRPr="00221327">
        <w:t xml:space="preserve"> </w:t>
      </w:r>
      <w:r>
        <w:t xml:space="preserve">forthcoming </w:t>
      </w:r>
      <w:r w:rsidRPr="00221327">
        <w:t>framework co-developed with Rainbow Health Australia aims to map out the drivers of violence against all LGBTIQA+ people.</w:t>
      </w:r>
    </w:p>
    <w:p w14:paraId="36921FA3" w14:textId="5C8DB2D4" w:rsidR="007B1098" w:rsidRPr="006C38A4" w:rsidRDefault="007B1098" w:rsidP="007B1098">
      <w:pPr>
        <w:pStyle w:val="Heading2"/>
      </w:pPr>
      <w:r>
        <w:t xml:space="preserve">A primary prevention </w:t>
      </w:r>
      <w:proofErr w:type="gramStart"/>
      <w:r>
        <w:t>approac</w:t>
      </w:r>
      <w:r w:rsidR="00CF4F5F">
        <w:t>h</w:t>
      </w:r>
      <w:proofErr w:type="gramEnd"/>
    </w:p>
    <w:p w14:paraId="6200BCF5" w14:textId="2FCB0F72" w:rsidR="00ED6BD7" w:rsidRDefault="0032680D" w:rsidP="00364E66">
      <w:r w:rsidRPr="0032680D">
        <w:t>Primary prevention</w:t>
      </w:r>
      <w:r w:rsidR="00E15701">
        <w:t xml:space="preserve"> </w:t>
      </w:r>
      <w:r w:rsidR="0011259E">
        <w:t xml:space="preserve">aims to stop </w:t>
      </w:r>
      <w:r w:rsidRPr="0032680D">
        <w:t>violence against women from occurring in the first place by addressing its underlying drivers</w:t>
      </w:r>
      <w:r w:rsidR="00BC3304">
        <w:t xml:space="preserve"> and the social context in which it occurs</w:t>
      </w:r>
      <w:r w:rsidRPr="0032680D">
        <w:t>. This requires changing the social conditions that give rise to this violence; reforming the institutions and systems that excuse, justify or even promote such violence; and shifting the power imbalances and social norms, structures and practices that drive and normalise it.</w:t>
      </w:r>
      <w:r w:rsidR="00D12159">
        <w:rPr>
          <w:rFonts w:ascii="ZWAdobeF" w:hAnsi="ZWAdobeF" w:cs="ZWAdobeF"/>
          <w:color w:val="auto"/>
          <w:sz w:val="2"/>
          <w:szCs w:val="2"/>
        </w:rPr>
        <w:t>18F</w:t>
      </w:r>
      <w:r w:rsidRPr="0011259E">
        <w:rPr>
          <w:rStyle w:val="EndnoteReference"/>
          <w:vertAlign w:val="superscript"/>
        </w:rPr>
        <w:endnoteReference w:id="20"/>
      </w:r>
      <w:r w:rsidR="00040CA7" w:rsidRPr="0011259E">
        <w:rPr>
          <w:vertAlign w:val="superscript"/>
        </w:rPr>
        <w:t xml:space="preserve"> </w:t>
      </w:r>
      <w:r w:rsidR="000C0F98">
        <w:rPr>
          <w:vertAlign w:val="superscript"/>
        </w:rPr>
        <w:t xml:space="preserve"> </w:t>
      </w:r>
      <w:r w:rsidR="0011259E">
        <w:t>Work to prevent violence against trans and gender diverse people is interlinked with</w:t>
      </w:r>
      <w:r w:rsidR="0037734A">
        <w:t>,</w:t>
      </w:r>
      <w:r w:rsidR="00481938">
        <w:t xml:space="preserve"> and part of</w:t>
      </w:r>
      <w:r w:rsidR="0037734A">
        <w:t>,</w:t>
      </w:r>
      <w:r w:rsidR="0011259E">
        <w:t xml:space="preserve"> work to prevent violence against women because it addresses this underlying context of rigid gender stereotyping (gender driver 3) </w:t>
      </w:r>
      <w:r w:rsidR="009F7842">
        <w:t xml:space="preserve">and </w:t>
      </w:r>
      <w:r w:rsidR="00DE28A9">
        <w:t xml:space="preserve">gender and other </w:t>
      </w:r>
      <w:r w:rsidR="009F7842">
        <w:t xml:space="preserve">intersectional inequalities. </w:t>
      </w:r>
    </w:p>
    <w:p w14:paraId="6CD7F671" w14:textId="00F918EC" w:rsidR="00566CF1" w:rsidRDefault="00D8109E" w:rsidP="00364E66">
      <w:r>
        <w:t>Our Watch takes a</w:t>
      </w:r>
      <w:r w:rsidR="007D1B84" w:rsidRPr="007D1B84">
        <w:t xml:space="preserve"> whole-of-society approach, </w:t>
      </w:r>
      <w:r w:rsidR="00ED6BD7">
        <w:t>us</w:t>
      </w:r>
      <w:r w:rsidR="008B6A81">
        <w:t>ing</w:t>
      </w:r>
      <w:r w:rsidR="00ED6BD7">
        <w:t xml:space="preserve"> </w:t>
      </w:r>
      <w:r w:rsidR="00BC3304">
        <w:t xml:space="preserve">the </w:t>
      </w:r>
      <w:r w:rsidR="00ED6BD7">
        <w:t>socioecological</w:t>
      </w:r>
      <w:r w:rsidR="00BC3304">
        <w:t xml:space="preserve"> model to guide multifaceted and multipronged actions at the individual, interpersonal, community and organisational, institutional and system, and societal levels. </w:t>
      </w:r>
      <w:r w:rsidR="0011259E" w:rsidRPr="007D1B84">
        <w:t xml:space="preserve">Comprehensive primary prevention aims to influence laws, policies, and the practices and behaviours of organisations, </w:t>
      </w:r>
      <w:proofErr w:type="gramStart"/>
      <w:r w:rsidR="0011259E" w:rsidRPr="007D1B84">
        <w:t>groups</w:t>
      </w:r>
      <w:proofErr w:type="gramEnd"/>
      <w:r w:rsidR="0011259E" w:rsidRPr="007D1B84">
        <w:t xml:space="preserve"> and individuals. It seeks to engage and reach people of all ages </w:t>
      </w:r>
      <w:r w:rsidR="00CF435D">
        <w:t>where</w:t>
      </w:r>
      <w:r w:rsidR="0011259E" w:rsidRPr="007D1B84">
        <w:t xml:space="preserve"> they live, work, learn, </w:t>
      </w:r>
      <w:proofErr w:type="gramStart"/>
      <w:r w:rsidR="0011259E" w:rsidRPr="007D1B84">
        <w:t>socialise</w:t>
      </w:r>
      <w:proofErr w:type="gramEnd"/>
      <w:r w:rsidR="0011259E" w:rsidRPr="007D1B84">
        <w:t xml:space="preserve"> and play.</w:t>
      </w:r>
      <w:r w:rsidR="00566CF1">
        <w:t xml:space="preserve"> </w:t>
      </w:r>
    </w:p>
    <w:p w14:paraId="6A4EBB0D" w14:textId="2E18486A" w:rsidR="00ED7096" w:rsidRDefault="00ED7096" w:rsidP="00ED7096">
      <w:r>
        <w:t>We recognise the effective primary prevention work led by LGBTIQA</w:t>
      </w:r>
      <w:r w:rsidR="00577128">
        <w:t>+</w:t>
      </w:r>
      <w:r>
        <w:t xml:space="preserve"> organisations including </w:t>
      </w:r>
      <w:r w:rsidR="005A656D" w:rsidRPr="005A656D">
        <w:t>Rainbow Health Australia</w:t>
      </w:r>
      <w:r w:rsidR="00CE2524">
        <w:t xml:space="preserve">’s </w:t>
      </w:r>
      <w:hyperlink r:id="rId27" w:history="1">
        <w:r w:rsidRPr="005A656D">
          <w:rPr>
            <w:rStyle w:val="Hyperlink"/>
            <w:i/>
            <w:iCs/>
          </w:rPr>
          <w:t>Pride in Prevention</w:t>
        </w:r>
      </w:hyperlink>
      <w:r>
        <w:t xml:space="preserve"> resources, </w:t>
      </w:r>
      <w:r w:rsidR="00B11951" w:rsidRPr="00B11951">
        <w:t>ACON</w:t>
      </w:r>
      <w:r>
        <w:t xml:space="preserve">’s </w:t>
      </w:r>
      <w:hyperlink r:id="rId28" w:history="1">
        <w:r w:rsidRPr="00B11951">
          <w:rPr>
            <w:rStyle w:val="Hyperlink"/>
            <w:i/>
            <w:iCs/>
          </w:rPr>
          <w:t>Say It Out Loud</w:t>
        </w:r>
      </w:hyperlink>
      <w:r>
        <w:t xml:space="preserve"> campaign, and </w:t>
      </w:r>
      <w:r w:rsidR="00667909" w:rsidRPr="00667909">
        <w:t>Zoe Belle Gender Collective</w:t>
      </w:r>
      <w:r w:rsidR="0078511E">
        <w:t xml:space="preserve">’s </w:t>
      </w:r>
      <w:hyperlink r:id="rId29" w:history="1">
        <w:proofErr w:type="spellStart"/>
        <w:r w:rsidRPr="00667909">
          <w:rPr>
            <w:rStyle w:val="Hyperlink"/>
            <w:i/>
            <w:iCs/>
          </w:rPr>
          <w:t>Transfemme</w:t>
        </w:r>
        <w:proofErr w:type="spellEnd"/>
      </w:hyperlink>
      <w:r>
        <w:t xml:space="preserve"> resource (among other examples). Further collaborative work between primary prevention organisations and LGBTIQA</w:t>
      </w:r>
      <w:r w:rsidR="003623E3">
        <w:t>+</w:t>
      </w:r>
      <w:r>
        <w:t xml:space="preserve"> organisations is needed to build a nuanced and inclusive approach to primary prevention of gender-based violence for all.</w:t>
      </w:r>
    </w:p>
    <w:p w14:paraId="53E2C211" w14:textId="749EE3E5" w:rsidR="0074618E" w:rsidRDefault="00707434" w:rsidP="00364E66">
      <w:r w:rsidRPr="00675104">
        <w:t xml:space="preserve">Examples of primary prevention activities include employer-led workplace initiatives to embed respect and gender equality in organisational structures, policies and cultures; respectful relationships education in schools; gender-responsive policy analysis </w:t>
      </w:r>
      <w:proofErr w:type="gramStart"/>
      <w:r w:rsidRPr="00675104">
        <w:t>and</w:t>
      </w:r>
      <w:r>
        <w:t>;</w:t>
      </w:r>
      <w:proofErr w:type="gramEnd"/>
      <w:r>
        <w:t xml:space="preserve"> and</w:t>
      </w:r>
      <w:r w:rsidRPr="00707434">
        <w:t xml:space="preserve"> </w:t>
      </w:r>
      <w:r w:rsidRPr="00675104">
        <w:t>efforts to encourage more respectful and informed reporting on violence against women in the media</w:t>
      </w:r>
      <w:r>
        <w:t xml:space="preserve">. </w:t>
      </w:r>
    </w:p>
    <w:p w14:paraId="30FDC1E5" w14:textId="0566BE38" w:rsidR="00D71408" w:rsidRDefault="00CC1785" w:rsidP="00AC6AA9">
      <w:r>
        <w:lastRenderedPageBreak/>
        <w:t xml:space="preserve">For example, </w:t>
      </w:r>
      <w:r w:rsidR="009967C5" w:rsidRPr="006C38A4">
        <w:t>Our Watch</w:t>
      </w:r>
      <w:r w:rsidR="009967C5">
        <w:t>’s</w:t>
      </w:r>
      <w:r w:rsidR="00CE00BF">
        <w:t xml:space="preserve"> recently released</w:t>
      </w:r>
      <w:r w:rsidR="009967C5">
        <w:t xml:space="preserve"> </w:t>
      </w:r>
      <w:hyperlink r:id="rId30" w:history="1">
        <w:r w:rsidR="009967C5" w:rsidRPr="006C38A4">
          <w:rPr>
            <w:rStyle w:val="Hyperlink"/>
            <w:i/>
            <w:iCs/>
          </w:rPr>
          <w:t>Guide for media reporting on violence against transgender and gender diverse communities</w:t>
        </w:r>
      </w:hyperlink>
      <w:r w:rsidR="009967C5">
        <w:rPr>
          <w:i/>
          <w:iCs/>
        </w:rPr>
        <w:t xml:space="preserve"> </w:t>
      </w:r>
      <w:r>
        <w:t>is</w:t>
      </w:r>
      <w:r w:rsidRPr="00AC6AA9">
        <w:t xml:space="preserve"> one example of</w:t>
      </w:r>
      <w:r>
        <w:rPr>
          <w:rFonts w:cs="Acumin Pro"/>
          <w:color w:val="000000"/>
          <w:sz w:val="22"/>
          <w:szCs w:val="22"/>
        </w:rPr>
        <w:t xml:space="preserve"> </w:t>
      </w:r>
      <w:r>
        <w:t>mutually reinforcing work to address gender inequality and transphobia.</w:t>
      </w:r>
      <w:r w:rsidR="00AA0424">
        <w:t xml:space="preserve"> Developed in </w:t>
      </w:r>
      <w:r w:rsidR="00433AAD" w:rsidRPr="00433AAD">
        <w:t xml:space="preserve">consultation with </w:t>
      </w:r>
      <w:r w:rsidR="006A3494">
        <w:t>trans organisations and partners</w:t>
      </w:r>
      <w:r w:rsidR="00AA0424">
        <w:t>, t</w:t>
      </w:r>
      <w:r w:rsidR="00DE28A9">
        <w:t>he guidelines</w:t>
      </w:r>
      <w:r w:rsidR="009967C5">
        <w:t xml:space="preserve"> seek to</w:t>
      </w:r>
      <w:r w:rsidR="00D42904">
        <w:t xml:space="preserve"> support the media to</w:t>
      </w:r>
      <w:r w:rsidR="009967C5">
        <w:t xml:space="preserve"> </w:t>
      </w:r>
      <w:r w:rsidR="0068752E">
        <w:t>challenge attitudes and beliefs that</w:t>
      </w:r>
      <w:r w:rsidR="00561656">
        <w:t xml:space="preserve"> </w:t>
      </w:r>
      <w:r w:rsidR="0068752E">
        <w:t xml:space="preserve">dehumanise or devalue trans and gender diverse people and </w:t>
      </w:r>
      <w:r w:rsidR="00D71408">
        <w:t>promote e</w:t>
      </w:r>
      <w:r w:rsidR="00D71408" w:rsidRPr="006A3494">
        <w:t>quitable, accurate and respectful reporting on trans and gender diverse communities</w:t>
      </w:r>
      <w:r w:rsidR="0068752E">
        <w:t>.</w:t>
      </w:r>
      <w:r w:rsidR="003F30FE">
        <w:t xml:space="preserve"> </w:t>
      </w:r>
    </w:p>
    <w:p w14:paraId="3DB3833B" w14:textId="2DEE978F" w:rsidR="00A53D34" w:rsidRPr="006C38A4" w:rsidRDefault="00A53D34" w:rsidP="00AA633E">
      <w:pPr>
        <w:pStyle w:val="Heading1"/>
      </w:pPr>
      <w:r w:rsidRPr="006C38A4">
        <w:t xml:space="preserve">Backlash and resistance to gendered approaches to </w:t>
      </w:r>
      <w:proofErr w:type="gramStart"/>
      <w:r w:rsidRPr="006C38A4">
        <w:t>prevention</w:t>
      </w:r>
      <w:proofErr w:type="gramEnd"/>
    </w:p>
    <w:p w14:paraId="4BEF1CE4" w14:textId="1C1C476E" w:rsidR="00B42E98" w:rsidRDefault="00A53D34" w:rsidP="00AA633E">
      <w:pPr>
        <w:rPr>
          <w:rFonts w:eastAsiaTheme="minorHAnsi"/>
          <w:color w:val="002060"/>
          <w:szCs w:val="24"/>
        </w:rPr>
      </w:pPr>
      <w:r w:rsidRPr="006C38A4">
        <w:rPr>
          <w:rFonts w:eastAsiaTheme="minorHAnsi"/>
          <w:i/>
          <w:iCs/>
          <w:color w:val="002060"/>
          <w:szCs w:val="24"/>
        </w:rPr>
        <w:t xml:space="preserve">Change the story </w:t>
      </w:r>
      <w:r w:rsidRPr="006C38A4">
        <w:rPr>
          <w:rFonts w:eastAsiaTheme="minorHAnsi"/>
          <w:color w:val="002060"/>
          <w:szCs w:val="24"/>
        </w:rPr>
        <w:t xml:space="preserve">highlights that backlash or resistance </w:t>
      </w:r>
      <w:r>
        <w:rPr>
          <w:rFonts w:eastAsiaTheme="minorHAnsi"/>
          <w:color w:val="002060"/>
          <w:szCs w:val="24"/>
        </w:rPr>
        <w:t>to gendered approaches to prevention is a</w:t>
      </w:r>
      <w:r w:rsidRPr="006C38A4">
        <w:rPr>
          <w:rFonts w:eastAsiaTheme="minorHAnsi"/>
          <w:color w:val="002060"/>
          <w:szCs w:val="24"/>
        </w:rPr>
        <w:t xml:space="preserve"> reinforcing factor for </w:t>
      </w:r>
      <w:r w:rsidR="00CD035C">
        <w:rPr>
          <w:rFonts w:eastAsiaTheme="minorHAnsi"/>
          <w:color w:val="002060"/>
          <w:szCs w:val="24"/>
        </w:rPr>
        <w:t>gender-based violence</w:t>
      </w:r>
      <w:r w:rsidRPr="006C38A4">
        <w:rPr>
          <w:rFonts w:eastAsiaTheme="minorHAnsi"/>
          <w:color w:val="002060"/>
          <w:szCs w:val="24"/>
        </w:rPr>
        <w:t xml:space="preserve">, because </w:t>
      </w:r>
      <w:r>
        <w:rPr>
          <w:rFonts w:eastAsiaTheme="minorHAnsi"/>
          <w:color w:val="002060"/>
          <w:szCs w:val="24"/>
        </w:rPr>
        <w:t>it</w:t>
      </w:r>
      <w:r w:rsidRPr="006C38A4">
        <w:rPr>
          <w:rFonts w:eastAsiaTheme="minorHAnsi"/>
          <w:color w:val="002060"/>
          <w:szCs w:val="24"/>
        </w:rPr>
        <w:t xml:space="preserve"> can create environment</w:t>
      </w:r>
      <w:r w:rsidR="00771DD4">
        <w:rPr>
          <w:rFonts w:eastAsiaTheme="minorHAnsi"/>
          <w:color w:val="002060"/>
          <w:szCs w:val="24"/>
        </w:rPr>
        <w:t>s</w:t>
      </w:r>
      <w:r w:rsidRPr="006C38A4">
        <w:rPr>
          <w:rFonts w:eastAsiaTheme="minorHAnsi"/>
          <w:color w:val="002060"/>
          <w:szCs w:val="24"/>
        </w:rPr>
        <w:t xml:space="preserve"> which heightens the risk of violence.</w:t>
      </w:r>
      <w:r w:rsidR="00D12159">
        <w:rPr>
          <w:rFonts w:ascii="ZWAdobeF" w:eastAsiaTheme="minorHAnsi" w:hAnsi="ZWAdobeF" w:cs="ZWAdobeF"/>
          <w:color w:val="auto"/>
          <w:sz w:val="2"/>
          <w:szCs w:val="2"/>
        </w:rPr>
        <w:t>19F</w:t>
      </w:r>
      <w:r w:rsidR="00771DD4" w:rsidRPr="00F80F31">
        <w:rPr>
          <w:rStyle w:val="EndnoteReference"/>
          <w:rFonts w:eastAsiaTheme="minorHAnsi"/>
          <w:color w:val="002060"/>
          <w:szCs w:val="24"/>
          <w:vertAlign w:val="superscript"/>
        </w:rPr>
        <w:endnoteReference w:id="21"/>
      </w:r>
      <w:r w:rsidRPr="006C38A4">
        <w:rPr>
          <w:rFonts w:eastAsiaTheme="minorHAnsi"/>
          <w:color w:val="002060"/>
          <w:szCs w:val="24"/>
        </w:rPr>
        <w:t xml:space="preserve"> </w:t>
      </w:r>
      <w:r w:rsidR="001062E1" w:rsidRPr="00337FC5">
        <w:t xml:space="preserve">Backlash and resistance </w:t>
      </w:r>
      <w:r w:rsidR="00225434">
        <w:t>occurs</w:t>
      </w:r>
      <w:r w:rsidR="001062E1" w:rsidRPr="00337FC5">
        <w:t xml:space="preserve"> in reaction to changes that seek to challenge privilege and status quo</w:t>
      </w:r>
      <w:r w:rsidR="001062E1">
        <w:t xml:space="preserve">, such as primary prevention of gender-based violence and addressing other forms of discrimination, oppression, </w:t>
      </w:r>
      <w:proofErr w:type="gramStart"/>
      <w:r w:rsidR="001062E1">
        <w:t>power</w:t>
      </w:r>
      <w:proofErr w:type="gramEnd"/>
      <w:r w:rsidR="001062E1">
        <w:t xml:space="preserve"> and privilege</w:t>
      </w:r>
      <w:r w:rsidR="001062E1" w:rsidRPr="00337FC5">
        <w:t>.</w:t>
      </w:r>
      <w:r w:rsidR="001062E1">
        <w:t xml:space="preserve"> </w:t>
      </w:r>
      <w:r w:rsidRPr="006C38A4">
        <w:rPr>
          <w:rFonts w:eastAsiaTheme="minorHAnsi"/>
          <w:color w:val="002060"/>
          <w:szCs w:val="24"/>
        </w:rPr>
        <w:t xml:space="preserve">All forms of resistance and backlash create challenges for prevention work and make the goal of gender transformational change to end violence against women more difficult to achieve. </w:t>
      </w:r>
    </w:p>
    <w:p w14:paraId="2ABE407B" w14:textId="03ED1796" w:rsidR="00A53D34" w:rsidRPr="00031433" w:rsidRDefault="00A53D34" w:rsidP="00031433">
      <w:pPr>
        <w:rPr>
          <w:rFonts w:eastAsiaTheme="minorHAnsi"/>
        </w:rPr>
      </w:pPr>
      <w:r w:rsidRPr="006C38A4">
        <w:rPr>
          <w:rFonts w:eastAsiaTheme="minorHAnsi"/>
        </w:rPr>
        <w:t xml:space="preserve">Resistance to gender equality and prevention work intersects with resistance to other forms of equality and rights-based social change </w:t>
      </w:r>
      <w:r w:rsidR="00F80F31">
        <w:rPr>
          <w:rFonts w:eastAsiaTheme="minorHAnsi"/>
        </w:rPr>
        <w:t xml:space="preserve">including </w:t>
      </w:r>
      <w:r>
        <w:rPr>
          <w:rFonts w:eastAsiaTheme="minorHAnsi"/>
        </w:rPr>
        <w:t>efforts to address homo-, bi-, and transphobi</w:t>
      </w:r>
      <w:r w:rsidR="00C403DA">
        <w:rPr>
          <w:rFonts w:eastAsiaTheme="minorHAnsi"/>
        </w:rPr>
        <w:t>a</w:t>
      </w:r>
      <w:r w:rsidR="00CC5698">
        <w:rPr>
          <w:rFonts w:eastAsiaTheme="minorHAnsi"/>
        </w:rPr>
        <w:t xml:space="preserve">. </w:t>
      </w:r>
      <w:r w:rsidR="00031433">
        <w:rPr>
          <w:rFonts w:eastAsiaTheme="minorHAnsi"/>
        </w:rPr>
        <w:t xml:space="preserve">Backlash and resistance </w:t>
      </w:r>
      <w:proofErr w:type="gramStart"/>
      <w:r w:rsidR="00031433">
        <w:rPr>
          <w:rFonts w:eastAsiaTheme="minorHAnsi"/>
        </w:rPr>
        <w:t>occurs</w:t>
      </w:r>
      <w:proofErr w:type="gramEnd"/>
      <w:r w:rsidR="00031433">
        <w:rPr>
          <w:rFonts w:eastAsiaTheme="minorHAnsi"/>
        </w:rPr>
        <w:t xml:space="preserve"> across the socioecological model and encompasses a range of forms</w:t>
      </w:r>
      <w:r w:rsidR="00031433" w:rsidRPr="00337FC5">
        <w:rPr>
          <w:rFonts w:eastAsiaTheme="minorHAnsi"/>
        </w:rPr>
        <w:t>,</w:t>
      </w:r>
      <w:r w:rsidR="00031433" w:rsidRPr="00337FC5">
        <w:t xml:space="preserve"> </w:t>
      </w:r>
      <w:r w:rsidR="00B112BF">
        <w:t>including</w:t>
      </w:r>
      <w:r w:rsidR="00B112BF" w:rsidRPr="00337FC5">
        <w:t xml:space="preserve"> </w:t>
      </w:r>
      <w:r w:rsidR="00031433" w:rsidRPr="00337FC5">
        <w:t>denial that gender inequality and homo-, bi- and transphobia exists</w:t>
      </w:r>
      <w:r w:rsidR="00762487">
        <w:t>, denial</w:t>
      </w:r>
      <w:r w:rsidR="00031433" w:rsidRPr="00337FC5">
        <w:t xml:space="preserve"> that violence is gendered, </w:t>
      </w:r>
      <w:r w:rsidR="00762487">
        <w:t>the</w:t>
      </w:r>
      <w:r w:rsidR="00762487" w:rsidRPr="00337FC5">
        <w:t xml:space="preserve"> </w:t>
      </w:r>
      <w:r w:rsidR="00031433" w:rsidRPr="00337FC5">
        <w:t xml:space="preserve">co-option of rights-based discourses, </w:t>
      </w:r>
      <w:r w:rsidR="001F6D54">
        <w:t>and</w:t>
      </w:r>
      <w:r w:rsidR="00031433" w:rsidRPr="00337FC5">
        <w:t xml:space="preserve"> backlash that can come in the form of verbal, physical and sexual violence.</w:t>
      </w:r>
      <w:r w:rsidR="00D12159">
        <w:rPr>
          <w:rFonts w:ascii="ZWAdobeF" w:hAnsi="ZWAdobeF" w:cs="ZWAdobeF"/>
          <w:color w:val="auto"/>
          <w:sz w:val="2"/>
          <w:szCs w:val="2"/>
        </w:rPr>
        <w:t>20F</w:t>
      </w:r>
      <w:r w:rsidR="00031433" w:rsidRPr="00E91561">
        <w:rPr>
          <w:rStyle w:val="EndnoteReference"/>
          <w:vertAlign w:val="superscript"/>
        </w:rPr>
        <w:endnoteReference w:id="22"/>
      </w:r>
      <w:r w:rsidR="00031433" w:rsidRPr="00E91561">
        <w:rPr>
          <w:vertAlign w:val="superscript"/>
        </w:rPr>
        <w:t xml:space="preserve"> </w:t>
      </w:r>
    </w:p>
    <w:p w14:paraId="5AC659E0" w14:textId="3B9FB823" w:rsidR="000B0BE1" w:rsidRPr="00F83FA9" w:rsidRDefault="00A53D34" w:rsidP="0082198F">
      <w:pPr>
        <w:rPr>
          <w:rFonts w:eastAsiaTheme="minorHAnsi"/>
          <w:color w:val="002060"/>
          <w:szCs w:val="24"/>
        </w:rPr>
      </w:pPr>
      <w:r w:rsidRPr="0082198F">
        <w:rPr>
          <w:rFonts w:eastAsiaTheme="minorHAnsi"/>
        </w:rPr>
        <w:t>Challenging rigid gender norms, heteronormativity and cisnormativity can elicit backlash and resistance that can be severe and aggressive. This is particularly prevalent in the current environment globally and in Australia where there</w:t>
      </w:r>
      <w:r w:rsidR="00225434">
        <w:rPr>
          <w:rFonts w:eastAsiaTheme="minorHAnsi"/>
        </w:rPr>
        <w:t xml:space="preserve"> are examples </w:t>
      </w:r>
      <w:r w:rsidR="004406A7">
        <w:rPr>
          <w:rFonts w:eastAsiaTheme="minorHAnsi"/>
        </w:rPr>
        <w:t xml:space="preserve">of </w:t>
      </w:r>
      <w:r w:rsidRPr="0082198F">
        <w:rPr>
          <w:rFonts w:eastAsiaTheme="minorHAnsi"/>
        </w:rPr>
        <w:t>backlash against LGBTIQA+ rights, especially anti-trans backlash.</w:t>
      </w:r>
      <w:r w:rsidR="00D12159">
        <w:rPr>
          <w:rFonts w:ascii="ZWAdobeF" w:eastAsiaTheme="minorHAnsi" w:hAnsi="ZWAdobeF" w:cs="ZWAdobeF"/>
          <w:color w:val="auto"/>
          <w:sz w:val="2"/>
          <w:szCs w:val="2"/>
        </w:rPr>
        <w:t>21F</w:t>
      </w:r>
      <w:r w:rsidRPr="00E91561">
        <w:rPr>
          <w:rStyle w:val="EndnoteReference"/>
          <w:vertAlign w:val="superscript"/>
        </w:rPr>
        <w:endnoteReference w:id="23"/>
      </w:r>
      <w:r w:rsidRPr="0082198F">
        <w:rPr>
          <w:rFonts w:eastAsiaTheme="minorHAnsi"/>
        </w:rPr>
        <w:t xml:space="preserve"> </w:t>
      </w:r>
      <w:r w:rsidRPr="0082198F">
        <w:t xml:space="preserve">Human rights </w:t>
      </w:r>
      <w:r w:rsidR="004406A7">
        <w:t>organisations</w:t>
      </w:r>
      <w:r w:rsidR="004406A7" w:rsidRPr="0082198F">
        <w:t xml:space="preserve"> </w:t>
      </w:r>
      <w:r w:rsidRPr="0082198F">
        <w:t xml:space="preserve">are noting the increase in lobby groups with an anti-trans </w:t>
      </w:r>
      <w:r w:rsidR="0087415E" w:rsidRPr="0082198F">
        <w:t xml:space="preserve">movement </w:t>
      </w:r>
      <w:r w:rsidRPr="0082198F">
        <w:t>and rising levels of disinformation and misinformation about trans people.</w:t>
      </w:r>
      <w:r w:rsidR="00560836">
        <w:rPr>
          <w:rFonts w:ascii="ZWAdobeF" w:hAnsi="ZWAdobeF" w:cs="ZWAdobeF"/>
          <w:color w:val="auto"/>
          <w:sz w:val="2"/>
          <w:szCs w:val="2"/>
        </w:rPr>
        <w:t>22F</w:t>
      </w:r>
      <w:r w:rsidRPr="00E91561">
        <w:rPr>
          <w:rStyle w:val="EndnoteReference"/>
          <w:vertAlign w:val="superscript"/>
        </w:rPr>
        <w:endnoteReference w:id="24"/>
      </w:r>
      <w:r w:rsidRPr="0082198F">
        <w:t xml:space="preserve"> </w:t>
      </w:r>
      <w:r w:rsidR="00D90A74" w:rsidRPr="0082198F">
        <w:t>Dis</w:t>
      </w:r>
      <w:r w:rsidR="009846EF">
        <w:t>information</w:t>
      </w:r>
      <w:r w:rsidR="00D90A74" w:rsidRPr="0082198F">
        <w:t xml:space="preserve"> or misinformation, such as negative misconceptions and harmful</w:t>
      </w:r>
      <w:r w:rsidR="00367074" w:rsidRPr="0082198F">
        <w:t xml:space="preserve"> </w:t>
      </w:r>
      <w:r w:rsidR="00D90A74" w:rsidRPr="0082198F">
        <w:t>representations of trans and gender diverse people, can lead to</w:t>
      </w:r>
      <w:r w:rsidR="00367074" w:rsidRPr="0082198F">
        <w:t xml:space="preserve"> </w:t>
      </w:r>
      <w:r w:rsidR="00B64D9A">
        <w:t>increases</w:t>
      </w:r>
      <w:r w:rsidR="00D90A74" w:rsidRPr="0082198F">
        <w:t xml:space="preserve"> in anti-trans hate and violence.</w:t>
      </w:r>
      <w:r w:rsidR="0082198F" w:rsidRPr="0082198F">
        <w:t xml:space="preserve"> </w:t>
      </w:r>
      <w:r w:rsidR="00367074" w:rsidRPr="0082198F">
        <w:t>Anti-trans groups may be difficult to recognise, as they may present as ‘pro woman’, ‘pro parent’s rights’ or ‘pro-religious freedom’.</w:t>
      </w:r>
      <w:r w:rsidR="00560836">
        <w:rPr>
          <w:rFonts w:ascii="ZWAdobeF" w:hAnsi="ZWAdobeF" w:cs="ZWAdobeF"/>
          <w:color w:val="auto"/>
          <w:sz w:val="2"/>
          <w:szCs w:val="2"/>
        </w:rPr>
        <w:t>23F</w:t>
      </w:r>
      <w:r w:rsidR="005F0FA2" w:rsidRPr="00E91561">
        <w:rPr>
          <w:rStyle w:val="EndnoteReference"/>
          <w:vertAlign w:val="superscript"/>
        </w:rPr>
        <w:endnoteReference w:id="25"/>
      </w:r>
      <w:r w:rsidR="00367074" w:rsidRPr="0082198F">
        <w:t xml:space="preserve"> </w:t>
      </w:r>
      <w:r w:rsidR="00F83FA9" w:rsidRPr="006C38A4">
        <w:rPr>
          <w:rFonts w:eastAsiaTheme="minorHAnsi"/>
          <w:color w:val="002060"/>
          <w:szCs w:val="24"/>
        </w:rPr>
        <w:t xml:space="preserve">While </w:t>
      </w:r>
      <w:r w:rsidR="00F83FA9">
        <w:rPr>
          <w:rFonts w:eastAsiaTheme="minorHAnsi"/>
          <w:color w:val="002060"/>
          <w:szCs w:val="24"/>
        </w:rPr>
        <w:t xml:space="preserve">anti-trans backlash </w:t>
      </w:r>
      <w:r w:rsidR="00F83FA9" w:rsidRPr="006C38A4">
        <w:rPr>
          <w:rFonts w:eastAsiaTheme="minorHAnsi"/>
          <w:color w:val="002060"/>
          <w:szCs w:val="24"/>
        </w:rPr>
        <w:t xml:space="preserve">comes from a wide range of individuals, </w:t>
      </w:r>
      <w:proofErr w:type="gramStart"/>
      <w:r w:rsidR="00F83FA9" w:rsidRPr="006C38A4">
        <w:rPr>
          <w:rFonts w:eastAsiaTheme="minorHAnsi"/>
          <w:color w:val="002060"/>
          <w:szCs w:val="24"/>
        </w:rPr>
        <w:t>communities</w:t>
      </w:r>
      <w:proofErr w:type="gramEnd"/>
      <w:r w:rsidR="00F83FA9" w:rsidRPr="006C38A4">
        <w:rPr>
          <w:rFonts w:eastAsiaTheme="minorHAnsi"/>
          <w:color w:val="002060"/>
          <w:szCs w:val="24"/>
        </w:rPr>
        <w:t xml:space="preserve"> and organisations</w:t>
      </w:r>
      <w:r w:rsidR="007B2148">
        <w:rPr>
          <w:rFonts w:eastAsiaTheme="minorEastAsia"/>
        </w:rPr>
        <w:t>,</w:t>
      </w:r>
      <w:r w:rsidR="00F83FA9" w:rsidRPr="006C38A4">
        <w:rPr>
          <w:rFonts w:eastAsiaTheme="minorEastAsia"/>
        </w:rPr>
        <w:t xml:space="preserve"> </w:t>
      </w:r>
      <w:r w:rsidR="00D52B10">
        <w:rPr>
          <w:rFonts w:eastAsiaTheme="minorEastAsia"/>
        </w:rPr>
        <w:t>it</w:t>
      </w:r>
      <w:r w:rsidR="00F83FA9" w:rsidRPr="006C38A4">
        <w:rPr>
          <w:rFonts w:eastAsiaTheme="minorHAnsi"/>
          <w:color w:val="002060"/>
          <w:szCs w:val="24"/>
        </w:rPr>
        <w:t xml:space="preserve"> </w:t>
      </w:r>
      <w:r w:rsidR="00D65871" w:rsidRPr="006C38A4">
        <w:rPr>
          <w:rFonts w:eastAsiaTheme="minorHAnsi"/>
          <w:color w:val="002060"/>
          <w:szCs w:val="24"/>
        </w:rPr>
        <w:t>can also include i</w:t>
      </w:r>
      <w:r w:rsidR="00D65871" w:rsidRPr="006C38A4">
        <w:rPr>
          <w:rFonts w:eastAsiaTheme="minorEastAsia"/>
        </w:rPr>
        <w:t>ndividuals and groups who may seek to exclude tran</w:t>
      </w:r>
      <w:r w:rsidR="00D65871">
        <w:rPr>
          <w:rFonts w:eastAsiaTheme="minorEastAsia"/>
        </w:rPr>
        <w:t>s</w:t>
      </w:r>
      <w:r w:rsidR="00D65871" w:rsidRPr="006C38A4">
        <w:rPr>
          <w:rFonts w:eastAsiaTheme="minorEastAsia"/>
        </w:rPr>
        <w:t xml:space="preserve">gender women from </w:t>
      </w:r>
      <w:r w:rsidR="00D65871">
        <w:rPr>
          <w:rFonts w:eastAsiaTheme="minorEastAsia"/>
        </w:rPr>
        <w:t xml:space="preserve">violence </w:t>
      </w:r>
      <w:r w:rsidR="00D65871" w:rsidRPr="006C38A4">
        <w:rPr>
          <w:rFonts w:eastAsiaTheme="minorEastAsia"/>
        </w:rPr>
        <w:t>response</w:t>
      </w:r>
      <w:r w:rsidR="00D65871">
        <w:rPr>
          <w:rFonts w:eastAsiaTheme="minorEastAsia"/>
        </w:rPr>
        <w:t xml:space="preserve">, </w:t>
      </w:r>
      <w:r w:rsidR="00D65871" w:rsidRPr="006C38A4">
        <w:rPr>
          <w:rFonts w:eastAsiaTheme="minorEastAsia"/>
        </w:rPr>
        <w:t>recovery and healing services</w:t>
      </w:r>
      <w:r w:rsidR="00A20214">
        <w:rPr>
          <w:rFonts w:eastAsiaTheme="minorEastAsia"/>
        </w:rPr>
        <w:t>.</w:t>
      </w:r>
    </w:p>
    <w:p w14:paraId="1CE15284" w14:textId="3ED28ADC" w:rsidR="00B64ED3" w:rsidRDefault="00C01202" w:rsidP="003F7ED0">
      <w:pPr>
        <w:rPr>
          <w:rStyle w:val="ui-provider"/>
        </w:rPr>
      </w:pPr>
      <w:r>
        <w:rPr>
          <w:rFonts w:eastAsiaTheme="minorHAnsi"/>
          <w:color w:val="002060"/>
          <w:szCs w:val="24"/>
        </w:rPr>
        <w:t>Our Watch welcomes the focus in the AHRC consultation on backlash and resistance to trans and gender diverse human rights</w:t>
      </w:r>
      <w:r w:rsidR="00DA5ECF">
        <w:rPr>
          <w:rFonts w:eastAsiaTheme="minorHAnsi"/>
          <w:color w:val="002060"/>
          <w:szCs w:val="24"/>
        </w:rPr>
        <w:t xml:space="preserve"> and encourage</w:t>
      </w:r>
      <w:r w:rsidR="00AA7F97">
        <w:rPr>
          <w:rFonts w:eastAsiaTheme="minorHAnsi"/>
          <w:color w:val="002060"/>
          <w:szCs w:val="24"/>
        </w:rPr>
        <w:t>s</w:t>
      </w:r>
      <w:r w:rsidR="00DA5ECF">
        <w:rPr>
          <w:rFonts w:eastAsiaTheme="minorHAnsi"/>
          <w:color w:val="002060"/>
          <w:szCs w:val="24"/>
        </w:rPr>
        <w:t xml:space="preserve"> a focus on strategies for preventing</w:t>
      </w:r>
      <w:r w:rsidR="004B0871">
        <w:rPr>
          <w:rFonts w:eastAsiaTheme="minorHAnsi"/>
          <w:color w:val="002060"/>
          <w:szCs w:val="24"/>
        </w:rPr>
        <w:t>,</w:t>
      </w:r>
      <w:r w:rsidR="00DA5ECF">
        <w:rPr>
          <w:rFonts w:eastAsiaTheme="minorHAnsi"/>
          <w:color w:val="002060"/>
          <w:szCs w:val="24"/>
        </w:rPr>
        <w:t xml:space="preserve"> </w:t>
      </w:r>
      <w:proofErr w:type="gramStart"/>
      <w:r w:rsidR="005D12D4">
        <w:rPr>
          <w:rFonts w:eastAsiaTheme="minorHAnsi"/>
          <w:color w:val="002060"/>
          <w:szCs w:val="24"/>
        </w:rPr>
        <w:t>minimising</w:t>
      </w:r>
      <w:proofErr w:type="gramEnd"/>
      <w:r w:rsidR="00DA5ECF">
        <w:rPr>
          <w:rFonts w:eastAsiaTheme="minorHAnsi"/>
          <w:color w:val="002060"/>
          <w:szCs w:val="24"/>
        </w:rPr>
        <w:t xml:space="preserve"> and </w:t>
      </w:r>
      <w:r w:rsidR="005D12D4">
        <w:rPr>
          <w:rFonts w:eastAsiaTheme="minorHAnsi"/>
          <w:color w:val="002060"/>
          <w:szCs w:val="24"/>
        </w:rPr>
        <w:t xml:space="preserve">responding </w:t>
      </w:r>
      <w:r w:rsidR="00DA5ECF">
        <w:rPr>
          <w:rFonts w:eastAsiaTheme="minorHAnsi"/>
          <w:color w:val="002060"/>
          <w:szCs w:val="24"/>
        </w:rPr>
        <w:t>to backlash. More broadly, t</w:t>
      </w:r>
      <w:r w:rsidR="00A53D34" w:rsidRPr="006C38A4">
        <w:rPr>
          <w:rFonts w:eastAsiaTheme="minorHAnsi"/>
          <w:color w:val="002060"/>
          <w:szCs w:val="24"/>
        </w:rPr>
        <w:t xml:space="preserve">here are opportunities for </w:t>
      </w:r>
      <w:r w:rsidR="00A53D34" w:rsidRPr="006C38A4">
        <w:rPr>
          <w:rStyle w:val="ui-provider"/>
        </w:rPr>
        <w:t>further research on</w:t>
      </w:r>
      <w:r w:rsidR="00A53D34" w:rsidRPr="006C38A4">
        <w:rPr>
          <w:rFonts w:eastAsiaTheme="minorHAnsi"/>
          <w:color w:val="002060"/>
          <w:szCs w:val="24"/>
        </w:rPr>
        <w:t xml:space="preserve"> backlash and resistance to intersectional gendered approaches to violence prevention</w:t>
      </w:r>
      <w:r w:rsidR="005137E0">
        <w:rPr>
          <w:rFonts w:eastAsiaTheme="minorHAnsi"/>
          <w:color w:val="002060"/>
          <w:szCs w:val="24"/>
        </w:rPr>
        <w:t>.</w:t>
      </w:r>
      <w:r w:rsidR="00A53D34" w:rsidRPr="006C38A4">
        <w:rPr>
          <w:rFonts w:eastAsiaTheme="minorHAnsi"/>
          <w:color w:val="002060"/>
          <w:szCs w:val="24"/>
        </w:rPr>
        <w:t xml:space="preserve"> </w:t>
      </w:r>
      <w:r w:rsidR="00C327BB">
        <w:rPr>
          <w:rFonts w:eastAsiaTheme="minorHAnsi"/>
          <w:color w:val="002060"/>
          <w:szCs w:val="24"/>
        </w:rPr>
        <w:t>It is important to understand more about</w:t>
      </w:r>
      <w:r w:rsidR="00A53D34" w:rsidRPr="006C38A4">
        <w:rPr>
          <w:rFonts w:eastAsiaTheme="minorHAnsi"/>
          <w:color w:val="002060"/>
          <w:szCs w:val="24"/>
        </w:rPr>
        <w:t xml:space="preserve"> the</w:t>
      </w:r>
      <w:r w:rsidR="00F17B9E">
        <w:rPr>
          <w:rFonts w:eastAsiaTheme="minorHAnsi"/>
          <w:color w:val="002060"/>
          <w:szCs w:val="24"/>
        </w:rPr>
        <w:t xml:space="preserve"> ways in which backlash and resistance manifest to inform ongoing work to address it, including </w:t>
      </w:r>
      <w:r w:rsidR="00C90C80">
        <w:rPr>
          <w:rStyle w:val="ui-provider"/>
        </w:rPr>
        <w:t>developing</w:t>
      </w:r>
      <w:r w:rsidR="00A53D34">
        <w:rPr>
          <w:rStyle w:val="ui-provider"/>
        </w:rPr>
        <w:t xml:space="preserve"> messages to ensure people are receiving evidence</w:t>
      </w:r>
      <w:r w:rsidR="00E9062D">
        <w:rPr>
          <w:rStyle w:val="ui-provider"/>
        </w:rPr>
        <w:t>-</w:t>
      </w:r>
      <w:r w:rsidR="00A53D34">
        <w:rPr>
          <w:rStyle w:val="ui-provider"/>
        </w:rPr>
        <w:t xml:space="preserve">based and </w:t>
      </w:r>
      <w:proofErr w:type="gramStart"/>
      <w:r w:rsidR="00A53D34">
        <w:rPr>
          <w:rStyle w:val="ui-provider"/>
        </w:rPr>
        <w:t>factual information</w:t>
      </w:r>
      <w:proofErr w:type="gramEnd"/>
      <w:r w:rsidR="00A53D34">
        <w:rPr>
          <w:rStyle w:val="ui-provider"/>
        </w:rPr>
        <w:t xml:space="preserve"> about trans and gender diverse people.  </w:t>
      </w:r>
    </w:p>
    <w:p w14:paraId="61EFFFD3" w14:textId="6F926C37" w:rsidR="00C1655A" w:rsidRPr="00CF4F5F" w:rsidRDefault="00C01202" w:rsidP="00B64D9A">
      <w:pPr>
        <w:pStyle w:val="Heading1"/>
      </w:pPr>
      <w:r>
        <w:br w:type="page"/>
      </w:r>
      <w:r w:rsidR="00337FC5">
        <w:lastRenderedPageBreak/>
        <w:t>References</w:t>
      </w:r>
    </w:p>
    <w:sectPr w:rsidR="00C1655A" w:rsidRPr="00CF4F5F" w:rsidSect="00C60ABE">
      <w:footerReference w:type="default" r:id="rId31"/>
      <w:headerReference w:type="first" r:id="rId32"/>
      <w:footerReference w:type="first" r:id="rId33"/>
      <w:endnotePr>
        <w:numFmt w:val="decimal"/>
      </w:endnotePr>
      <w:type w:val="continuous"/>
      <w:pgSz w:w="11906" w:h="16838"/>
      <w:pgMar w:top="1134" w:right="1274" w:bottom="1134"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CC2E2" w14:textId="77777777" w:rsidR="00C60ABE" w:rsidRDefault="00C60ABE" w:rsidP="00B4211E">
      <w:r>
        <w:separator/>
      </w:r>
    </w:p>
    <w:p w14:paraId="344D1C10" w14:textId="77777777" w:rsidR="00C60ABE" w:rsidRDefault="00C60ABE" w:rsidP="00B4211E"/>
  </w:endnote>
  <w:endnote w:type="continuationSeparator" w:id="0">
    <w:p w14:paraId="13CDE807" w14:textId="77777777" w:rsidR="00C60ABE" w:rsidRDefault="00C60ABE" w:rsidP="00B4211E">
      <w:r>
        <w:continuationSeparator/>
      </w:r>
    </w:p>
    <w:p w14:paraId="5D4B0219" w14:textId="77777777" w:rsidR="00C60ABE" w:rsidRDefault="00C60ABE" w:rsidP="00B4211E"/>
  </w:endnote>
  <w:endnote w:type="continuationNotice" w:id="1">
    <w:p w14:paraId="07A9DC71" w14:textId="77777777" w:rsidR="00C60ABE" w:rsidRDefault="00C60ABE">
      <w:pPr>
        <w:spacing w:after="0"/>
      </w:pPr>
    </w:p>
  </w:endnote>
  <w:endnote w:id="2">
    <w:p w14:paraId="28F868FC" w14:textId="739CBF66" w:rsidR="008012DA" w:rsidRPr="004F0A2C" w:rsidRDefault="008012DA"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Carman, M., Fairchild, J., Parsons, M., Farrugia, C., Power, J., &amp; Bourne, A. (2020</w:t>
      </w:r>
      <w:hyperlink r:id="rId1" w:history="1">
        <w:r w:rsidRPr="004F0A2C">
          <w:rPr>
            <w:rStyle w:val="Hyperlink"/>
            <w:rFonts w:ascii="Roboto" w:hAnsi="Roboto"/>
            <w:sz w:val="22"/>
            <w:szCs w:val="22"/>
          </w:rPr>
          <w:t xml:space="preserve">). </w:t>
        </w:r>
        <w:r w:rsidRPr="004F0A2C">
          <w:rPr>
            <w:rStyle w:val="Hyperlink"/>
            <w:rFonts w:ascii="Roboto" w:hAnsi="Roboto"/>
            <w:i/>
            <w:iCs/>
            <w:sz w:val="22"/>
            <w:szCs w:val="22"/>
          </w:rPr>
          <w:t>Pride in prevention: A guide to primary prevention of family violence experienced by LGBTIQ communities</w:t>
        </w:r>
      </w:hyperlink>
      <w:r w:rsidRPr="004F0A2C">
        <w:rPr>
          <w:rFonts w:ascii="Roboto" w:hAnsi="Roboto"/>
          <w:color w:val="002060"/>
          <w:sz w:val="22"/>
          <w:szCs w:val="22"/>
        </w:rPr>
        <w:t>. Rainbow Health Victoria, La Trobe University.</w:t>
      </w:r>
    </w:p>
  </w:endnote>
  <w:endnote w:id="3">
    <w:p w14:paraId="4D96BCAF" w14:textId="77777777" w:rsidR="00EE5AC9" w:rsidRPr="004F0A2C" w:rsidRDefault="00EE5AC9"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Hill, A. O., Bourne, A., McNair, R., Carman, M., &amp; Lyons, A. (2020). </w:t>
      </w:r>
      <w:hyperlink r:id="rId2" w:history="1">
        <w:r w:rsidRPr="004F0A2C">
          <w:rPr>
            <w:rStyle w:val="Hyperlink"/>
            <w:i/>
            <w:sz w:val="22"/>
            <w:szCs w:val="22"/>
          </w:rPr>
          <w:t>Private lives 3: The health and wellbeing of LGBTIQ people in Australia</w:t>
        </w:r>
      </w:hyperlink>
      <w:r w:rsidRPr="004F0A2C">
        <w:rPr>
          <w:color w:val="002060"/>
          <w:sz w:val="22"/>
          <w:szCs w:val="22"/>
        </w:rPr>
        <w:t xml:space="preserve"> (ARCSHS Monograph series no. 122). Australian Research Centre in Sex, Health and Society, La Trobe University; Hill AO, Lyons A, Jones J, McGowan I, Carman M, Parsons M, Power J, Bourne A. (2021). </w:t>
      </w:r>
      <w:hyperlink r:id="rId3" w:history="1">
        <w:r w:rsidRPr="004F0A2C">
          <w:rPr>
            <w:rStyle w:val="Hyperlink"/>
            <w:i/>
            <w:color w:val="002060"/>
            <w:sz w:val="22"/>
            <w:szCs w:val="22"/>
          </w:rPr>
          <w:t>Writing Themselves In 4: The health and wellbeing of LGBTQA+ young people in Australia. National report</w:t>
        </w:r>
      </w:hyperlink>
      <w:r w:rsidRPr="004F0A2C">
        <w:rPr>
          <w:i/>
          <w:color w:val="002060"/>
          <w:sz w:val="22"/>
          <w:szCs w:val="22"/>
        </w:rPr>
        <w:t>,</w:t>
      </w:r>
      <w:r w:rsidRPr="004F0A2C">
        <w:rPr>
          <w:color w:val="002060"/>
          <w:sz w:val="22"/>
          <w:szCs w:val="22"/>
        </w:rPr>
        <w:t xml:space="preserve"> monograph series number 124. Melbourne: Australian Research Centre in Sex, Health and Society, La Trobe University; Amos, N., Lim, G., Buckingham, P., Lin, A., Liddelow-Hunt, S., Mooney-Somers, J., Bourne, A., on behalf of the Private Lives 3, Writing Themselves In 4, SWASH, Trans Pathways, Walkern Katatdjin, and Pride and Pandemic teams. (2023). </w:t>
      </w:r>
      <w:hyperlink r:id="rId4" w:history="1">
        <w:r w:rsidRPr="004F0A2C">
          <w:rPr>
            <w:rStyle w:val="Hyperlink"/>
            <w:i/>
            <w:color w:val="002060"/>
            <w:sz w:val="22"/>
            <w:szCs w:val="22"/>
          </w:rPr>
          <w:t>Rainbow Realities: In-depth analyses of large-scale LGBTQA+ health and wellbeing data in Australia.</w:t>
        </w:r>
      </w:hyperlink>
      <w:r w:rsidRPr="004F0A2C">
        <w:rPr>
          <w:i/>
          <w:color w:val="002060"/>
          <w:sz w:val="22"/>
          <w:szCs w:val="22"/>
        </w:rPr>
        <w:t xml:space="preserve"> </w:t>
      </w:r>
      <w:r w:rsidRPr="004F0A2C">
        <w:rPr>
          <w:color w:val="002060"/>
          <w:sz w:val="22"/>
          <w:szCs w:val="22"/>
        </w:rPr>
        <w:t>Melbourne, Australia: Australian Research Centre in Sex, Health and Society, La Trobe University.</w:t>
      </w:r>
    </w:p>
  </w:endnote>
  <w:endnote w:id="4">
    <w:p w14:paraId="2AD17751" w14:textId="77777777" w:rsidR="00EE5AC9" w:rsidRPr="004F0A2C" w:rsidRDefault="00EE5AC9"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Department of Social Services. (2023). </w:t>
      </w:r>
      <w:hyperlink r:id="rId5" w:history="1">
        <w:r w:rsidRPr="004F0A2C">
          <w:rPr>
            <w:rStyle w:val="Hyperlink"/>
            <w:rFonts w:ascii="Roboto" w:hAnsi="Roboto"/>
            <w:i/>
            <w:sz w:val="22"/>
            <w:szCs w:val="22"/>
          </w:rPr>
          <w:t>Aboriginal and Torres Strait Islander Action Plan to End Violence Against Women and Children</w:t>
        </w:r>
      </w:hyperlink>
      <w:r w:rsidRPr="004F0A2C">
        <w:rPr>
          <w:rFonts w:ascii="Roboto" w:hAnsi="Roboto"/>
          <w:color w:val="002060"/>
          <w:sz w:val="22"/>
          <w:szCs w:val="22"/>
        </w:rPr>
        <w:t xml:space="preserve">. Commonwealth of Australia, pp. 41-42; Our Watch. (2020). </w:t>
      </w:r>
      <w:hyperlink r:id="rId6" w:history="1">
        <w:r w:rsidRPr="004F0A2C">
          <w:rPr>
            <w:rStyle w:val="Hyperlink"/>
            <w:rFonts w:ascii="Roboto" w:hAnsi="Roboto"/>
            <w:i/>
            <w:sz w:val="22"/>
            <w:szCs w:val="22"/>
          </w:rPr>
          <w:t>Change the story: A shared framework for the primary prevention of violence against women in Australia (2nd ed.)</w:t>
        </w:r>
      </w:hyperlink>
      <w:r w:rsidRPr="004F0A2C">
        <w:rPr>
          <w:rFonts w:ascii="Roboto" w:hAnsi="Roboto"/>
          <w:color w:val="002060"/>
          <w:sz w:val="22"/>
          <w:szCs w:val="22"/>
        </w:rPr>
        <w:t>. Melbourne, Australia, p. 45.</w:t>
      </w:r>
    </w:p>
  </w:endnote>
  <w:endnote w:id="5">
    <w:p w14:paraId="5E4318A4" w14:textId="19CF3BD5" w:rsidR="005B50FF" w:rsidRPr="004F0A2C" w:rsidRDefault="005B50FF"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w:t>
      </w:r>
      <w:r w:rsidR="00EC54A9" w:rsidRPr="004F0A2C">
        <w:rPr>
          <w:color w:val="002060"/>
          <w:sz w:val="22"/>
          <w:szCs w:val="22"/>
        </w:rPr>
        <w:t xml:space="preserve">Our Watch. (2024). </w:t>
      </w:r>
      <w:hyperlink r:id="rId7" w:history="1">
        <w:r w:rsidR="00EC54A9" w:rsidRPr="004F0A2C">
          <w:rPr>
            <w:rStyle w:val="Hyperlink"/>
            <w:i/>
            <w:iCs/>
            <w:color w:val="002060"/>
            <w:sz w:val="22"/>
            <w:szCs w:val="22"/>
          </w:rPr>
          <w:t>Guide for media reporting on Violence against transgender and gender diverse communities</w:t>
        </w:r>
      </w:hyperlink>
      <w:r w:rsidR="00733272" w:rsidRPr="004F0A2C">
        <w:rPr>
          <w:i/>
          <w:iCs/>
          <w:color w:val="002060"/>
          <w:sz w:val="22"/>
          <w:szCs w:val="22"/>
        </w:rPr>
        <w:t>.</w:t>
      </w:r>
      <w:r w:rsidR="00932C80" w:rsidRPr="004F0A2C">
        <w:rPr>
          <w:color w:val="002060"/>
          <w:sz w:val="22"/>
          <w:szCs w:val="22"/>
        </w:rPr>
        <w:t xml:space="preserve"> Melbourne, Australia,</w:t>
      </w:r>
      <w:r w:rsidR="00EC54A9" w:rsidRPr="004F0A2C">
        <w:rPr>
          <w:i/>
          <w:iCs/>
          <w:color w:val="002060"/>
          <w:sz w:val="22"/>
          <w:szCs w:val="22"/>
        </w:rPr>
        <w:t xml:space="preserve"> </w:t>
      </w:r>
      <w:r w:rsidR="00EC54A9" w:rsidRPr="004F0A2C">
        <w:rPr>
          <w:color w:val="002060"/>
          <w:sz w:val="22"/>
          <w:szCs w:val="22"/>
        </w:rPr>
        <w:t>p. 9.</w:t>
      </w:r>
    </w:p>
  </w:endnote>
  <w:endnote w:id="6">
    <w:p w14:paraId="250EE171" w14:textId="02294C78" w:rsidR="00C24C33" w:rsidRPr="004F0A2C" w:rsidRDefault="00C24C33"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w:t>
      </w:r>
      <w:r w:rsidR="004E0420" w:rsidRPr="004F0A2C">
        <w:rPr>
          <w:color w:val="002060"/>
          <w:sz w:val="22"/>
          <w:szCs w:val="22"/>
        </w:rPr>
        <w:t xml:space="preserve">Our Watch. (2024). </w:t>
      </w:r>
      <w:hyperlink r:id="rId8" w:history="1">
        <w:r w:rsidR="004E0420" w:rsidRPr="004F0A2C">
          <w:rPr>
            <w:rStyle w:val="Hyperlink"/>
            <w:color w:val="002060"/>
            <w:sz w:val="22"/>
            <w:szCs w:val="22"/>
          </w:rPr>
          <w:t>Preventing violence against LGBTIQA+ people</w:t>
        </w:r>
      </w:hyperlink>
      <w:r w:rsidR="00996174" w:rsidRPr="004F0A2C">
        <w:rPr>
          <w:color w:val="002060"/>
          <w:sz w:val="22"/>
          <w:szCs w:val="22"/>
        </w:rPr>
        <w:t xml:space="preserve">; </w:t>
      </w:r>
      <w:r w:rsidRPr="004F0A2C">
        <w:rPr>
          <w:color w:val="002060"/>
          <w:sz w:val="22"/>
          <w:szCs w:val="22"/>
        </w:rPr>
        <w:t xml:space="preserve">Hill, A. O., Bourne, A., McNair, R., Carman, M., &amp; Lyons, A. (2020). </w:t>
      </w:r>
      <w:hyperlink r:id="rId9" w:history="1">
        <w:r w:rsidR="00C97E88" w:rsidRPr="004F0A2C">
          <w:rPr>
            <w:rStyle w:val="Hyperlink"/>
            <w:i/>
            <w:sz w:val="22"/>
            <w:szCs w:val="22"/>
          </w:rPr>
          <w:t>Private lives 3</w:t>
        </w:r>
      </w:hyperlink>
      <w:r w:rsidR="00C97E88" w:rsidRPr="004F0A2C">
        <w:rPr>
          <w:i/>
          <w:color w:val="002060"/>
          <w:sz w:val="22"/>
          <w:szCs w:val="22"/>
        </w:rPr>
        <w:t>.</w:t>
      </w:r>
    </w:p>
  </w:endnote>
  <w:endnote w:id="7">
    <w:p w14:paraId="4BBE2E30" w14:textId="07264250" w:rsidR="007F06B7" w:rsidRPr="004F0A2C" w:rsidRDefault="007F06B7" w:rsidP="00E1186D">
      <w:pPr>
        <w:pStyle w:val="NoSpacing"/>
        <w:spacing w:after="120"/>
        <w:rPr>
          <w:rStyle w:val="EndnoteReference"/>
          <w:rFonts w:ascii="Roboto" w:hAnsi="Roboto"/>
          <w:color w:val="002060"/>
          <w:sz w:val="22"/>
          <w:szCs w:val="22"/>
        </w:rPr>
      </w:pPr>
      <w:r w:rsidRPr="004F0A2C">
        <w:rPr>
          <w:rStyle w:val="EndnoteReference"/>
          <w:rFonts w:ascii="Roboto" w:hAnsi="Roboto"/>
          <w:color w:val="002060"/>
          <w:sz w:val="22"/>
          <w:szCs w:val="22"/>
        </w:rPr>
        <w:endnoteRef/>
      </w:r>
      <w:r w:rsidRPr="004F0A2C">
        <w:rPr>
          <w:rStyle w:val="EndnoteReference"/>
          <w:rFonts w:ascii="Roboto" w:hAnsi="Roboto"/>
          <w:color w:val="002060"/>
          <w:sz w:val="22"/>
          <w:szCs w:val="22"/>
        </w:rPr>
        <w:t xml:space="preserve"> Trans </w:t>
      </w:r>
      <w:r w:rsidR="00BE4BA2" w:rsidRPr="004F0A2C">
        <w:rPr>
          <w:rFonts w:ascii="Roboto" w:hAnsi="Roboto"/>
          <w:color w:val="002060"/>
          <w:sz w:val="22"/>
          <w:szCs w:val="22"/>
        </w:rPr>
        <w:t>J</w:t>
      </w:r>
      <w:r w:rsidRPr="004F0A2C">
        <w:rPr>
          <w:rStyle w:val="EndnoteReference"/>
          <w:rFonts w:ascii="Roboto" w:hAnsi="Roboto"/>
          <w:color w:val="002060"/>
          <w:sz w:val="22"/>
          <w:szCs w:val="22"/>
        </w:rPr>
        <w:t xml:space="preserve">ustice </w:t>
      </w:r>
      <w:r w:rsidR="00BE4BA2" w:rsidRPr="004F0A2C">
        <w:rPr>
          <w:rFonts w:ascii="Roboto" w:hAnsi="Roboto"/>
          <w:color w:val="002060"/>
          <w:sz w:val="22"/>
          <w:szCs w:val="22"/>
        </w:rPr>
        <w:t>P</w:t>
      </w:r>
      <w:r w:rsidRPr="004F0A2C">
        <w:rPr>
          <w:rStyle w:val="EndnoteReference"/>
          <w:rFonts w:ascii="Roboto" w:hAnsi="Roboto"/>
          <w:color w:val="002060"/>
          <w:sz w:val="22"/>
          <w:szCs w:val="22"/>
        </w:rPr>
        <w:t>roject</w:t>
      </w:r>
      <w:r w:rsidR="00051A03" w:rsidRPr="004F0A2C">
        <w:rPr>
          <w:rStyle w:val="EndnoteReference"/>
          <w:rFonts w:ascii="Roboto" w:hAnsi="Roboto"/>
          <w:color w:val="002060"/>
          <w:sz w:val="22"/>
          <w:szCs w:val="22"/>
        </w:rPr>
        <w:t xml:space="preserve"> </w:t>
      </w:r>
      <w:r w:rsidR="00051A03" w:rsidRPr="004F0A2C">
        <w:rPr>
          <w:rFonts w:ascii="Roboto" w:hAnsi="Roboto"/>
          <w:color w:val="002060"/>
          <w:sz w:val="22"/>
          <w:szCs w:val="22"/>
        </w:rPr>
        <w:t>and Victorian Pride Lobby. (2023</w:t>
      </w:r>
      <w:r w:rsidR="00153398" w:rsidRPr="004F0A2C">
        <w:rPr>
          <w:rFonts w:ascii="Roboto" w:hAnsi="Roboto"/>
          <w:color w:val="002060"/>
          <w:sz w:val="22"/>
          <w:szCs w:val="22"/>
        </w:rPr>
        <w:t xml:space="preserve">). </w:t>
      </w:r>
      <w:hyperlink r:id="rId10" w:history="1">
        <w:r w:rsidR="00051A03" w:rsidRPr="004F0A2C">
          <w:rPr>
            <w:rStyle w:val="Hyperlink"/>
            <w:rFonts w:ascii="Roboto" w:hAnsi="Roboto"/>
            <w:i/>
            <w:iCs/>
            <w:sz w:val="22"/>
            <w:szCs w:val="22"/>
          </w:rPr>
          <w:t>Fuelling Hate: Anti-Trans Abuse, Harassment and Vilification</w:t>
        </w:r>
      </w:hyperlink>
      <w:r w:rsidR="00051A03" w:rsidRPr="004F0A2C">
        <w:rPr>
          <w:rFonts w:ascii="Roboto" w:hAnsi="Roboto"/>
          <w:color w:val="002060"/>
          <w:sz w:val="22"/>
          <w:szCs w:val="22"/>
        </w:rPr>
        <w:t>.</w:t>
      </w:r>
    </w:p>
  </w:endnote>
  <w:endnote w:id="8">
    <w:p w14:paraId="61D897BD" w14:textId="45964B5B" w:rsidR="00CF4F5F" w:rsidRPr="004F0A2C" w:rsidRDefault="00CF4F5F" w:rsidP="00E1186D">
      <w:pPr>
        <w:pStyle w:val="EndnoteText"/>
        <w:spacing w:after="120"/>
        <w:rPr>
          <w:sz w:val="22"/>
          <w:szCs w:val="22"/>
        </w:rPr>
      </w:pPr>
      <w:r w:rsidRPr="004F0A2C">
        <w:rPr>
          <w:rStyle w:val="EndnoteReference"/>
          <w:rFonts w:ascii="Roboto" w:hAnsi="Roboto"/>
          <w:sz w:val="22"/>
          <w:szCs w:val="22"/>
        </w:rPr>
        <w:endnoteRef/>
      </w:r>
      <w:r w:rsidRPr="004F0A2C">
        <w:rPr>
          <w:sz w:val="22"/>
          <w:szCs w:val="22"/>
        </w:rPr>
        <w:t xml:space="preserve"> </w:t>
      </w:r>
      <w:r w:rsidRPr="004F0A2C">
        <w:rPr>
          <w:rStyle w:val="EndnoteReference"/>
          <w:rFonts w:ascii="Roboto" w:hAnsi="Roboto"/>
          <w:color w:val="002060"/>
          <w:sz w:val="22"/>
          <w:szCs w:val="22"/>
        </w:rPr>
        <w:t xml:space="preserve">Trans </w:t>
      </w:r>
      <w:r w:rsidRPr="004F0A2C">
        <w:rPr>
          <w:color w:val="002060"/>
          <w:sz w:val="22"/>
          <w:szCs w:val="22"/>
        </w:rPr>
        <w:t>J</w:t>
      </w:r>
      <w:r w:rsidRPr="004F0A2C">
        <w:rPr>
          <w:rStyle w:val="EndnoteReference"/>
          <w:rFonts w:ascii="Roboto" w:hAnsi="Roboto"/>
          <w:color w:val="002060"/>
          <w:sz w:val="22"/>
          <w:szCs w:val="22"/>
        </w:rPr>
        <w:t xml:space="preserve">ustice </w:t>
      </w:r>
      <w:r w:rsidRPr="004F0A2C">
        <w:rPr>
          <w:color w:val="002060"/>
          <w:sz w:val="22"/>
          <w:szCs w:val="22"/>
        </w:rPr>
        <w:t>P</w:t>
      </w:r>
      <w:r w:rsidRPr="004F0A2C">
        <w:rPr>
          <w:rStyle w:val="EndnoteReference"/>
          <w:rFonts w:ascii="Roboto" w:hAnsi="Roboto"/>
          <w:color w:val="002060"/>
          <w:sz w:val="22"/>
          <w:szCs w:val="22"/>
        </w:rPr>
        <w:t xml:space="preserve">roject </w:t>
      </w:r>
      <w:r w:rsidRPr="004F0A2C">
        <w:rPr>
          <w:color w:val="002060"/>
          <w:sz w:val="22"/>
          <w:szCs w:val="22"/>
        </w:rPr>
        <w:t xml:space="preserve">and Victorian Pride Lobby. (2023). </w:t>
      </w:r>
      <w:hyperlink r:id="rId11" w:history="1">
        <w:r w:rsidRPr="004F0A2C">
          <w:rPr>
            <w:rStyle w:val="Hyperlink"/>
            <w:i/>
            <w:iCs/>
            <w:sz w:val="22"/>
            <w:szCs w:val="22"/>
          </w:rPr>
          <w:t>Fuelling Hate: Anti-Trans Abuse, Harassment and Vilification</w:t>
        </w:r>
      </w:hyperlink>
      <w:r w:rsidRPr="004F0A2C">
        <w:rPr>
          <w:color w:val="002060"/>
          <w:sz w:val="22"/>
          <w:szCs w:val="22"/>
        </w:rPr>
        <w:t>.</w:t>
      </w:r>
    </w:p>
  </w:endnote>
  <w:endnote w:id="9">
    <w:p w14:paraId="43191BFE" w14:textId="71592776" w:rsidR="00EC54A9" w:rsidRPr="004F0A2C" w:rsidRDefault="00EC54A9"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Our Watch. (2024). </w:t>
      </w:r>
      <w:hyperlink r:id="rId12" w:history="1">
        <w:r w:rsidRPr="004F0A2C">
          <w:rPr>
            <w:rStyle w:val="Hyperlink"/>
            <w:i/>
            <w:iCs/>
            <w:color w:val="002060"/>
            <w:sz w:val="22"/>
            <w:szCs w:val="22"/>
          </w:rPr>
          <w:t>Guide for media reporting on Violence against transgender and gender diverse communities</w:t>
        </w:r>
      </w:hyperlink>
      <w:r w:rsidRPr="004F0A2C">
        <w:rPr>
          <w:i/>
          <w:iCs/>
          <w:color w:val="002060"/>
          <w:sz w:val="22"/>
          <w:szCs w:val="22"/>
        </w:rPr>
        <w:t xml:space="preserve">, </w:t>
      </w:r>
      <w:r w:rsidRPr="004F0A2C">
        <w:rPr>
          <w:color w:val="002060"/>
          <w:sz w:val="22"/>
          <w:szCs w:val="22"/>
        </w:rPr>
        <w:t xml:space="preserve">p. 9. </w:t>
      </w:r>
    </w:p>
  </w:endnote>
  <w:endnote w:id="10">
    <w:p w14:paraId="6BE4D754" w14:textId="2329EEDD" w:rsidR="00F441BB" w:rsidRPr="004F0A2C" w:rsidRDefault="00F441BB"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Hill, A. O., Bourne, A., McNair, R., Carman, M., &amp; Lyons, A. (2020). </w:t>
      </w:r>
      <w:hyperlink r:id="rId13" w:history="1">
        <w:r w:rsidRPr="004F0A2C">
          <w:rPr>
            <w:rStyle w:val="Hyperlink"/>
            <w:rFonts w:ascii="Roboto" w:hAnsi="Roboto"/>
            <w:i/>
            <w:sz w:val="22"/>
            <w:szCs w:val="22"/>
          </w:rPr>
          <w:t>Private lives 3</w:t>
        </w:r>
      </w:hyperlink>
      <w:r w:rsidRPr="004F0A2C">
        <w:rPr>
          <w:rFonts w:ascii="Roboto" w:hAnsi="Roboto"/>
          <w:i/>
          <w:color w:val="002060"/>
          <w:sz w:val="22"/>
          <w:szCs w:val="22"/>
        </w:rPr>
        <w:t xml:space="preserve">; </w:t>
      </w:r>
      <w:r w:rsidR="00AA0424" w:rsidRPr="004F0A2C">
        <w:rPr>
          <w:rFonts w:ascii="Roboto" w:hAnsi="Roboto"/>
          <w:color w:val="002060"/>
          <w:sz w:val="22"/>
          <w:szCs w:val="22"/>
        </w:rPr>
        <w:t xml:space="preserve">Hill AO, Lyons A, Jones J, McGowan I, Carman M, Parsons M, Power J, Bourne A. (2021). </w:t>
      </w:r>
      <w:hyperlink r:id="rId14" w:history="1">
        <w:r w:rsidR="00AA0424" w:rsidRPr="004F0A2C">
          <w:rPr>
            <w:rStyle w:val="Hyperlink"/>
            <w:rFonts w:ascii="Roboto" w:hAnsi="Roboto"/>
            <w:i/>
            <w:color w:val="002060"/>
            <w:sz w:val="22"/>
            <w:szCs w:val="22"/>
          </w:rPr>
          <w:t>Writing Themselves In 4</w:t>
        </w:r>
      </w:hyperlink>
      <w:r w:rsidR="00AA0424" w:rsidRPr="004F0A2C">
        <w:rPr>
          <w:rStyle w:val="Hyperlink"/>
          <w:rFonts w:ascii="Roboto" w:hAnsi="Roboto"/>
          <w:i/>
          <w:color w:val="002060"/>
          <w:sz w:val="22"/>
          <w:szCs w:val="22"/>
        </w:rPr>
        <w:t xml:space="preserve">; </w:t>
      </w:r>
      <w:r w:rsidRPr="004F0A2C">
        <w:rPr>
          <w:rFonts w:ascii="Roboto" w:hAnsi="Roboto"/>
          <w:color w:val="002060"/>
          <w:sz w:val="22"/>
          <w:szCs w:val="22"/>
          <w:shd w:val="clear" w:color="auto" w:fill="FFFFFF"/>
        </w:rPr>
        <w:t xml:space="preserve">Strauss, P., Cook, A., Winter, S., Watson, V., Wright Toussaint, D., Lin, A. (2017). </w:t>
      </w:r>
      <w:hyperlink r:id="rId15" w:history="1">
        <w:r w:rsidRPr="004F0A2C">
          <w:rPr>
            <w:rStyle w:val="Hyperlink"/>
            <w:rFonts w:ascii="Roboto" w:hAnsi="Roboto"/>
            <w:i/>
            <w:iCs/>
            <w:sz w:val="22"/>
            <w:szCs w:val="22"/>
            <w:shd w:val="clear" w:color="auto" w:fill="FFFFFF"/>
          </w:rPr>
          <w:t>Trans Pathways: the mental health experiences and care pathways of trans young people. Summary of results</w:t>
        </w:r>
      </w:hyperlink>
      <w:r w:rsidRPr="004F0A2C">
        <w:rPr>
          <w:rFonts w:ascii="Roboto" w:hAnsi="Roboto"/>
          <w:i/>
          <w:iCs/>
          <w:color w:val="002060"/>
          <w:sz w:val="22"/>
          <w:szCs w:val="22"/>
          <w:shd w:val="clear" w:color="auto" w:fill="FFFFFF"/>
        </w:rPr>
        <w:t>.</w:t>
      </w:r>
      <w:r w:rsidRPr="004F0A2C">
        <w:rPr>
          <w:rFonts w:ascii="Roboto" w:hAnsi="Roboto"/>
          <w:color w:val="002060"/>
          <w:sz w:val="22"/>
          <w:szCs w:val="22"/>
          <w:shd w:val="clear" w:color="auto" w:fill="FFFFFF"/>
        </w:rPr>
        <w:t xml:space="preserve"> Telethon Kids Institute, Perth, Australia. </w:t>
      </w:r>
    </w:p>
  </w:endnote>
  <w:endnote w:id="11">
    <w:p w14:paraId="42F10632" w14:textId="1AC30B96" w:rsidR="00984C55" w:rsidRPr="004F0A2C" w:rsidRDefault="00984C55"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w:t>
      </w:r>
      <w:r w:rsidR="00A06490" w:rsidRPr="004F0A2C">
        <w:rPr>
          <w:color w:val="002060"/>
          <w:sz w:val="22"/>
          <w:szCs w:val="22"/>
        </w:rPr>
        <w:t xml:space="preserve">Our Watch and </w:t>
      </w:r>
      <w:r w:rsidR="00AD22DE" w:rsidRPr="004F0A2C">
        <w:rPr>
          <w:color w:val="002060"/>
          <w:sz w:val="22"/>
          <w:szCs w:val="22"/>
        </w:rPr>
        <w:t>GLHV@ARCSHS, La Trobe University</w:t>
      </w:r>
      <w:r w:rsidR="00A06490" w:rsidRPr="004F0A2C">
        <w:rPr>
          <w:color w:val="002060"/>
          <w:sz w:val="22"/>
          <w:szCs w:val="22"/>
        </w:rPr>
        <w:t>. (2017</w:t>
      </w:r>
      <w:r w:rsidR="00A06490" w:rsidRPr="004F0A2C">
        <w:rPr>
          <w:i/>
          <w:iCs/>
          <w:color w:val="002060"/>
          <w:sz w:val="22"/>
          <w:szCs w:val="22"/>
        </w:rPr>
        <w:t>)</w:t>
      </w:r>
      <w:r w:rsidR="00AD22DE" w:rsidRPr="004F0A2C">
        <w:rPr>
          <w:i/>
          <w:iCs/>
          <w:color w:val="002060"/>
          <w:sz w:val="22"/>
          <w:szCs w:val="22"/>
        </w:rPr>
        <w:t xml:space="preserve">. </w:t>
      </w:r>
      <w:hyperlink r:id="rId16" w:history="1">
        <w:r w:rsidR="00A06490" w:rsidRPr="004F0A2C">
          <w:rPr>
            <w:rStyle w:val="Hyperlink"/>
            <w:i/>
            <w:iCs/>
            <w:sz w:val="22"/>
            <w:szCs w:val="22"/>
          </w:rPr>
          <w:t>Primary prevention of family violence against people from LGBTI communities: an analysis of existing research</w:t>
        </w:r>
      </w:hyperlink>
      <w:r w:rsidR="00A06490" w:rsidRPr="004F0A2C">
        <w:rPr>
          <w:color w:val="002060"/>
          <w:sz w:val="22"/>
          <w:szCs w:val="22"/>
        </w:rPr>
        <w:t>. Melbourne: Our Watch</w:t>
      </w:r>
      <w:r w:rsidR="00AD22DE" w:rsidRPr="004F0A2C">
        <w:rPr>
          <w:color w:val="002060"/>
          <w:sz w:val="22"/>
          <w:szCs w:val="22"/>
        </w:rPr>
        <w:t>.</w:t>
      </w:r>
    </w:p>
  </w:endnote>
  <w:endnote w:id="12">
    <w:p w14:paraId="34A2BE7A" w14:textId="77777777" w:rsidR="007F06B7" w:rsidRPr="004F0A2C" w:rsidRDefault="007F06B7"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w:t>
      </w:r>
      <w:r w:rsidRPr="004F0A2C">
        <w:rPr>
          <w:rFonts w:ascii="Roboto" w:hAnsi="Roboto" w:cs="Arial"/>
          <w:color w:val="002060"/>
          <w:sz w:val="22"/>
          <w:szCs w:val="22"/>
          <w:shd w:val="clear" w:color="auto" w:fill="FFFFFF"/>
        </w:rPr>
        <w:t>Amos, N., Hill, A., Donovan, C., Carman, M., Parsons, M., McNair, R., ... &amp; Bourne, A. (2023). Family violence within LGBTQ communities in Australia: intersectional experiences and associations with mental health outcomes. </w:t>
      </w:r>
      <w:r w:rsidRPr="004F0A2C">
        <w:rPr>
          <w:rFonts w:ascii="Roboto" w:hAnsi="Roboto" w:cs="Arial"/>
          <w:i/>
          <w:iCs/>
          <w:color w:val="002060"/>
          <w:sz w:val="22"/>
          <w:szCs w:val="22"/>
          <w:shd w:val="clear" w:color="auto" w:fill="FFFFFF"/>
        </w:rPr>
        <w:t>Sexuality research and social policy</w:t>
      </w:r>
      <w:r w:rsidRPr="004F0A2C">
        <w:rPr>
          <w:rFonts w:ascii="Roboto" w:hAnsi="Roboto" w:cs="Arial"/>
          <w:color w:val="002060"/>
          <w:sz w:val="22"/>
          <w:szCs w:val="22"/>
          <w:shd w:val="clear" w:color="auto" w:fill="FFFFFF"/>
        </w:rPr>
        <w:t>, </w:t>
      </w:r>
      <w:r w:rsidRPr="004F0A2C">
        <w:rPr>
          <w:rFonts w:ascii="Roboto" w:hAnsi="Roboto" w:cs="Arial"/>
          <w:i/>
          <w:iCs/>
          <w:color w:val="002060"/>
          <w:sz w:val="22"/>
          <w:szCs w:val="22"/>
          <w:shd w:val="clear" w:color="auto" w:fill="FFFFFF"/>
        </w:rPr>
        <w:t>20</w:t>
      </w:r>
      <w:r w:rsidRPr="004F0A2C">
        <w:rPr>
          <w:rFonts w:ascii="Roboto" w:hAnsi="Roboto" w:cs="Arial"/>
          <w:color w:val="002060"/>
          <w:sz w:val="22"/>
          <w:szCs w:val="22"/>
          <w:shd w:val="clear" w:color="auto" w:fill="FFFFFF"/>
        </w:rPr>
        <w:t>(4), 1316-1327;</w:t>
      </w:r>
      <w:r w:rsidRPr="004F0A2C">
        <w:rPr>
          <w:rFonts w:ascii="Roboto" w:hAnsi="Roboto"/>
          <w:color w:val="002060"/>
          <w:sz w:val="22"/>
          <w:szCs w:val="22"/>
        </w:rPr>
        <w:t xml:space="preserve"> Australia’s National Research Organisation for Women’s Safety. (2020). </w:t>
      </w:r>
      <w:hyperlink r:id="rId17" w:history="1">
        <w:r w:rsidRPr="004F0A2C">
          <w:rPr>
            <w:rStyle w:val="Hyperlink"/>
            <w:rFonts w:ascii="Roboto" w:hAnsi="Roboto"/>
            <w:i/>
            <w:iCs/>
            <w:color w:val="002060"/>
            <w:sz w:val="22"/>
            <w:szCs w:val="22"/>
          </w:rPr>
          <w:t>Crossing the line: Lived experience of sexual violence among trans women of colour from culturally and linguistically diverse (CALD) backgrounds in Australia</w:t>
        </w:r>
      </w:hyperlink>
      <w:r w:rsidRPr="004F0A2C">
        <w:rPr>
          <w:rFonts w:ascii="Roboto" w:hAnsi="Roboto"/>
          <w:color w:val="002060"/>
          <w:sz w:val="22"/>
          <w:szCs w:val="22"/>
        </w:rPr>
        <w:t xml:space="preserve"> (Research to policy and practice, 14/2020). Sydney: ANROWS. </w:t>
      </w:r>
    </w:p>
  </w:endnote>
  <w:endnote w:id="13">
    <w:p w14:paraId="62720C95" w14:textId="143F7CB8" w:rsidR="007F06B7" w:rsidRPr="004F0A2C" w:rsidRDefault="007F06B7"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w:t>
      </w:r>
      <w:r w:rsidR="00BE4BA2" w:rsidRPr="004F0A2C">
        <w:rPr>
          <w:rFonts w:ascii="Roboto" w:hAnsi="Roboto"/>
          <w:color w:val="002060"/>
          <w:sz w:val="22"/>
          <w:szCs w:val="22"/>
        </w:rPr>
        <w:t xml:space="preserve">Department of Social Services. (2023). </w:t>
      </w:r>
      <w:hyperlink r:id="rId18" w:history="1">
        <w:r w:rsidR="00BE4BA2" w:rsidRPr="004F0A2C">
          <w:rPr>
            <w:rStyle w:val="Hyperlink"/>
            <w:rFonts w:ascii="Roboto" w:hAnsi="Roboto"/>
            <w:i/>
            <w:iCs/>
            <w:color w:val="002060"/>
            <w:sz w:val="22"/>
            <w:szCs w:val="22"/>
          </w:rPr>
          <w:t>Aboriginal and Torres Strait Islander Action Plan to End Violence Against Women and Children</w:t>
        </w:r>
      </w:hyperlink>
      <w:r w:rsidRPr="004F0A2C">
        <w:rPr>
          <w:rFonts w:ascii="Roboto" w:hAnsi="Roboto"/>
          <w:color w:val="002060"/>
          <w:sz w:val="22"/>
          <w:szCs w:val="22"/>
        </w:rPr>
        <w:t xml:space="preserve">, pp. 41-42; </w:t>
      </w:r>
      <w:r w:rsidR="00BE4BA2" w:rsidRPr="004F0A2C">
        <w:rPr>
          <w:rFonts w:ascii="Roboto" w:hAnsi="Roboto"/>
          <w:color w:val="002060"/>
          <w:sz w:val="22"/>
          <w:szCs w:val="22"/>
        </w:rPr>
        <w:t xml:space="preserve">Our Watch. (2020). </w:t>
      </w:r>
      <w:hyperlink r:id="rId19" w:history="1">
        <w:r w:rsidR="00BE4BA2" w:rsidRPr="004F0A2C">
          <w:rPr>
            <w:rStyle w:val="Hyperlink"/>
            <w:rFonts w:ascii="Roboto" w:hAnsi="Roboto"/>
            <w:i/>
            <w:iCs/>
            <w:color w:val="002060"/>
            <w:sz w:val="22"/>
            <w:szCs w:val="22"/>
          </w:rPr>
          <w:t>Change the story</w:t>
        </w:r>
      </w:hyperlink>
      <w:r w:rsidRPr="004F0A2C">
        <w:rPr>
          <w:rFonts w:ascii="Roboto" w:hAnsi="Roboto"/>
          <w:color w:val="002060"/>
          <w:sz w:val="22"/>
          <w:szCs w:val="22"/>
        </w:rPr>
        <w:t>, p. 45</w:t>
      </w:r>
      <w:r w:rsidR="00EE0897" w:rsidRPr="004F0A2C">
        <w:rPr>
          <w:rFonts w:ascii="Roboto" w:hAnsi="Roboto"/>
          <w:color w:val="002060"/>
          <w:sz w:val="22"/>
          <w:szCs w:val="22"/>
        </w:rPr>
        <w:t>.</w:t>
      </w:r>
    </w:p>
  </w:endnote>
  <w:endnote w:id="14">
    <w:p w14:paraId="103CC5DC" w14:textId="77777777" w:rsidR="00D77FD4" w:rsidRPr="004F0A2C" w:rsidRDefault="00D77FD4"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Australia’s National Research Organisation for Women’s Safety. (2020). </w:t>
      </w:r>
      <w:r w:rsidRPr="004F0A2C">
        <w:rPr>
          <w:i/>
          <w:iCs/>
          <w:color w:val="002060"/>
          <w:sz w:val="22"/>
          <w:szCs w:val="22"/>
        </w:rPr>
        <w:t>Crossing the line: Lived experience of sexual violence among trans women of colour from culturally and linguistically diverse (CALD) backgrounds in Australia</w:t>
      </w:r>
      <w:r w:rsidRPr="004F0A2C">
        <w:rPr>
          <w:color w:val="002060"/>
          <w:sz w:val="22"/>
          <w:szCs w:val="22"/>
        </w:rPr>
        <w:t xml:space="preserve"> (Research to policy and practice, 14/2020). Sydney: ANROWS.</w:t>
      </w:r>
    </w:p>
  </w:endnote>
  <w:endnote w:id="15">
    <w:p w14:paraId="4C59AE28" w14:textId="77777777" w:rsidR="007F06B7" w:rsidRPr="004F0A2C" w:rsidRDefault="007F06B7"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w:t>
      </w:r>
      <w:r w:rsidRPr="004F0A2C">
        <w:rPr>
          <w:rFonts w:ascii="Roboto" w:hAnsi="Roboto" w:cs="Arial"/>
          <w:color w:val="002060"/>
          <w:sz w:val="22"/>
          <w:szCs w:val="22"/>
          <w:shd w:val="clear" w:color="auto" w:fill="FFFFFF"/>
        </w:rPr>
        <w:t xml:space="preserve">Strauss, P., Cook, A., Winter, S., Watson, V., Wright Toussaint, D., &amp; Lin, A. (2020). </w:t>
      </w:r>
      <w:r w:rsidRPr="004F0A2C">
        <w:rPr>
          <w:rFonts w:ascii="Roboto" w:hAnsi="Roboto" w:cs="Arial"/>
          <w:i/>
          <w:iCs/>
          <w:color w:val="002060"/>
          <w:sz w:val="22"/>
          <w:szCs w:val="22"/>
          <w:shd w:val="clear" w:color="auto" w:fill="FFFFFF"/>
        </w:rPr>
        <w:t>Mental health issues and complex experiences of abuse among trans and gender diverse young people: Findings from Trans Pathways</w:t>
      </w:r>
      <w:r w:rsidRPr="004F0A2C">
        <w:rPr>
          <w:rFonts w:ascii="Roboto" w:hAnsi="Roboto" w:cs="Arial"/>
          <w:color w:val="002060"/>
          <w:sz w:val="22"/>
          <w:szCs w:val="22"/>
          <w:shd w:val="clear" w:color="auto" w:fill="FFFFFF"/>
        </w:rPr>
        <w:t>. </w:t>
      </w:r>
      <w:r w:rsidRPr="004F0A2C">
        <w:rPr>
          <w:rFonts w:ascii="Roboto" w:hAnsi="Roboto" w:cs="Arial"/>
          <w:i/>
          <w:iCs/>
          <w:color w:val="002060"/>
          <w:sz w:val="22"/>
          <w:szCs w:val="22"/>
          <w:shd w:val="clear" w:color="auto" w:fill="FFFFFF"/>
        </w:rPr>
        <w:t>LGBT health</w:t>
      </w:r>
      <w:r w:rsidRPr="004F0A2C">
        <w:rPr>
          <w:rFonts w:ascii="Roboto" w:hAnsi="Roboto" w:cs="Arial"/>
          <w:color w:val="002060"/>
          <w:sz w:val="22"/>
          <w:szCs w:val="22"/>
          <w:shd w:val="clear" w:color="auto" w:fill="FFFFFF"/>
        </w:rPr>
        <w:t>, </w:t>
      </w:r>
      <w:r w:rsidRPr="004F0A2C">
        <w:rPr>
          <w:rFonts w:ascii="Roboto" w:hAnsi="Roboto" w:cs="Arial"/>
          <w:i/>
          <w:iCs/>
          <w:color w:val="002060"/>
          <w:sz w:val="22"/>
          <w:szCs w:val="22"/>
          <w:shd w:val="clear" w:color="auto" w:fill="FFFFFF"/>
        </w:rPr>
        <w:t>7</w:t>
      </w:r>
      <w:r w:rsidRPr="004F0A2C">
        <w:rPr>
          <w:rFonts w:ascii="Roboto" w:hAnsi="Roboto" w:cs="Arial"/>
          <w:color w:val="002060"/>
          <w:sz w:val="22"/>
          <w:szCs w:val="22"/>
          <w:shd w:val="clear" w:color="auto" w:fill="FFFFFF"/>
        </w:rPr>
        <w:t>(3), 128-136.</w:t>
      </w:r>
    </w:p>
  </w:endnote>
  <w:endnote w:id="16">
    <w:p w14:paraId="0C907B87" w14:textId="5FB3C3E8" w:rsidR="00701921" w:rsidRPr="00507E12" w:rsidRDefault="00701921" w:rsidP="00E1186D">
      <w:pPr>
        <w:pStyle w:val="EndnoteText"/>
        <w:spacing w:after="120"/>
        <w:rPr>
          <w:sz w:val="22"/>
          <w:szCs w:val="22"/>
        </w:rPr>
      </w:pPr>
      <w:r w:rsidRPr="00507E12">
        <w:rPr>
          <w:rStyle w:val="EndnoteReference"/>
          <w:rFonts w:ascii="Roboto" w:hAnsi="Roboto"/>
          <w:sz w:val="22"/>
          <w:szCs w:val="22"/>
        </w:rPr>
        <w:endnoteRef/>
      </w:r>
      <w:r w:rsidRPr="00507E12">
        <w:rPr>
          <w:sz w:val="22"/>
          <w:szCs w:val="22"/>
        </w:rPr>
        <w:t xml:space="preserve"> </w:t>
      </w:r>
      <w:r w:rsidR="00507E12" w:rsidRPr="00507E12">
        <w:rPr>
          <w:color w:val="002060"/>
          <w:sz w:val="22"/>
          <w:szCs w:val="22"/>
        </w:rPr>
        <w:t xml:space="preserve">Our Watch. (2020). </w:t>
      </w:r>
      <w:hyperlink r:id="rId20" w:history="1">
        <w:r w:rsidR="00507E12" w:rsidRPr="00507E12">
          <w:rPr>
            <w:rStyle w:val="Hyperlink"/>
            <w:i/>
            <w:iCs/>
            <w:color w:val="002060"/>
            <w:sz w:val="22"/>
            <w:szCs w:val="22"/>
          </w:rPr>
          <w:t>Change the story</w:t>
        </w:r>
      </w:hyperlink>
      <w:r w:rsidR="00507E12" w:rsidRPr="00507E12">
        <w:rPr>
          <w:i/>
          <w:iCs/>
          <w:color w:val="002060"/>
          <w:sz w:val="22"/>
          <w:szCs w:val="22"/>
        </w:rPr>
        <w:t xml:space="preserve">, </w:t>
      </w:r>
      <w:r w:rsidR="00507E12" w:rsidRPr="00507E12">
        <w:rPr>
          <w:color w:val="002060"/>
          <w:sz w:val="22"/>
          <w:szCs w:val="22"/>
        </w:rPr>
        <w:t>p. 126.</w:t>
      </w:r>
    </w:p>
  </w:endnote>
  <w:endnote w:id="17">
    <w:p w14:paraId="66222639" w14:textId="51751042" w:rsidR="00A53D34" w:rsidRPr="004F0A2C" w:rsidRDefault="00A53D34"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w:t>
      </w:r>
      <w:r w:rsidR="00BA4268" w:rsidRPr="004F0A2C">
        <w:rPr>
          <w:rFonts w:ascii="Roboto" w:hAnsi="Roboto"/>
          <w:color w:val="002060"/>
          <w:sz w:val="22"/>
          <w:szCs w:val="22"/>
        </w:rPr>
        <w:t>Our Watch and GLHV@ARCSHS, La Trobe University. (2017</w:t>
      </w:r>
      <w:r w:rsidR="00BA4268" w:rsidRPr="004F0A2C">
        <w:rPr>
          <w:rFonts w:ascii="Roboto" w:hAnsi="Roboto"/>
          <w:i/>
          <w:iCs/>
          <w:color w:val="002060"/>
          <w:sz w:val="22"/>
          <w:szCs w:val="22"/>
        </w:rPr>
        <w:t xml:space="preserve">). </w:t>
      </w:r>
      <w:hyperlink r:id="rId21" w:history="1">
        <w:r w:rsidR="00BA4268" w:rsidRPr="004F0A2C">
          <w:rPr>
            <w:rStyle w:val="Hyperlink"/>
            <w:rFonts w:ascii="Roboto" w:hAnsi="Roboto"/>
            <w:i/>
            <w:iCs/>
            <w:color w:val="002060"/>
            <w:sz w:val="22"/>
            <w:szCs w:val="22"/>
          </w:rPr>
          <w:t>Primary prevention of family violence against people from LGBTI communities.</w:t>
        </w:r>
      </w:hyperlink>
      <w:r w:rsidR="00BA4268" w:rsidRPr="004F0A2C">
        <w:rPr>
          <w:rFonts w:ascii="Roboto" w:hAnsi="Roboto"/>
          <w:color w:val="002060"/>
          <w:sz w:val="22"/>
          <w:szCs w:val="22"/>
        </w:rPr>
        <w:t xml:space="preserve"> </w:t>
      </w:r>
    </w:p>
  </w:endnote>
  <w:endnote w:id="18">
    <w:p w14:paraId="42D90D9A" w14:textId="2FC738EB" w:rsidR="00A53D34" w:rsidRPr="004F0A2C" w:rsidRDefault="00A53D34" w:rsidP="00E1186D">
      <w:pPr>
        <w:pStyle w:val="NoSpacing"/>
        <w:spacing w:after="120"/>
        <w:rPr>
          <w:rFonts w:ascii="Roboto" w:eastAsia="Arial" w:hAnsi="Roboto"/>
          <w:color w:val="002060"/>
          <w:sz w:val="22"/>
          <w:szCs w:val="22"/>
        </w:rPr>
      </w:pPr>
      <w:r w:rsidRPr="004F0A2C">
        <w:rPr>
          <w:rStyle w:val="EndnoteReference"/>
          <w:rFonts w:ascii="Roboto" w:eastAsiaTheme="majorEastAsia" w:hAnsi="Roboto"/>
          <w:color w:val="002060"/>
          <w:sz w:val="22"/>
          <w:szCs w:val="22"/>
        </w:rPr>
        <w:endnoteRef/>
      </w:r>
      <w:r w:rsidRPr="004F0A2C">
        <w:rPr>
          <w:rFonts w:ascii="Roboto" w:eastAsia="Arial" w:hAnsi="Roboto"/>
          <w:color w:val="002060"/>
          <w:sz w:val="22"/>
          <w:szCs w:val="22"/>
        </w:rPr>
        <w:t xml:space="preserve"> </w:t>
      </w:r>
      <w:r w:rsidRPr="004F0A2C">
        <w:rPr>
          <w:rFonts w:ascii="Roboto" w:hAnsi="Roboto"/>
          <w:color w:val="002060"/>
          <w:sz w:val="22"/>
          <w:szCs w:val="22"/>
        </w:rPr>
        <w:t xml:space="preserve">Carman, M., Fairchild, J., Parsons, M., Farrugia, C., Power, J., &amp; Bourne, A. (2020). </w:t>
      </w:r>
      <w:hyperlink r:id="rId22" w:history="1">
        <w:r w:rsidR="00BE4BA2" w:rsidRPr="004F0A2C">
          <w:rPr>
            <w:rStyle w:val="Hyperlink"/>
            <w:rFonts w:ascii="Roboto" w:hAnsi="Roboto"/>
            <w:i/>
            <w:color w:val="002060"/>
            <w:sz w:val="22"/>
            <w:szCs w:val="22"/>
          </w:rPr>
          <w:t>Pride in prevention</w:t>
        </w:r>
      </w:hyperlink>
      <w:r w:rsidR="00BE4BA2" w:rsidRPr="004F0A2C">
        <w:rPr>
          <w:rFonts w:ascii="Roboto" w:hAnsi="Roboto"/>
          <w:color w:val="002060"/>
          <w:sz w:val="22"/>
          <w:szCs w:val="22"/>
        </w:rPr>
        <w:t>.</w:t>
      </w:r>
    </w:p>
  </w:endnote>
  <w:endnote w:id="19">
    <w:p w14:paraId="78B1CD24" w14:textId="599F9007" w:rsidR="00A53D34" w:rsidRPr="004F0A2C" w:rsidRDefault="00A53D34" w:rsidP="00E1186D">
      <w:pPr>
        <w:pStyle w:val="NoSpacing"/>
        <w:spacing w:after="120"/>
        <w:rPr>
          <w:rFonts w:ascii="Roboto" w:hAnsi="Roboto"/>
          <w:color w:val="002060"/>
          <w:sz w:val="22"/>
          <w:szCs w:val="22"/>
        </w:rPr>
      </w:pPr>
      <w:r w:rsidRPr="004F0A2C">
        <w:rPr>
          <w:rStyle w:val="EndnoteReference"/>
          <w:rFonts w:ascii="Roboto" w:eastAsiaTheme="majorEastAsia" w:hAnsi="Roboto"/>
          <w:color w:val="002060"/>
          <w:sz w:val="22"/>
          <w:szCs w:val="22"/>
        </w:rPr>
        <w:endnoteRef/>
      </w:r>
      <w:r w:rsidRPr="004F0A2C">
        <w:rPr>
          <w:rFonts w:ascii="Roboto" w:hAnsi="Roboto"/>
          <w:color w:val="002060"/>
          <w:sz w:val="22"/>
          <w:szCs w:val="22"/>
        </w:rPr>
        <w:t xml:space="preserve"> Hill, A. O., Bourne, A., McNair, R., Carman, M., &amp; Lyons, A. (2020). </w:t>
      </w:r>
      <w:hyperlink r:id="rId23" w:history="1">
        <w:r w:rsidR="00A52D21" w:rsidRPr="004F0A2C">
          <w:rPr>
            <w:rStyle w:val="Hyperlink"/>
            <w:rFonts w:ascii="Roboto" w:hAnsi="Roboto"/>
            <w:i/>
            <w:sz w:val="22"/>
            <w:szCs w:val="22"/>
          </w:rPr>
          <w:t>Private lives 3</w:t>
        </w:r>
      </w:hyperlink>
      <w:r w:rsidR="00A52D21" w:rsidRPr="004F0A2C">
        <w:rPr>
          <w:rFonts w:ascii="Roboto" w:hAnsi="Roboto"/>
          <w:i/>
          <w:color w:val="002060"/>
          <w:sz w:val="22"/>
          <w:szCs w:val="22"/>
        </w:rPr>
        <w:t>.</w:t>
      </w:r>
      <w:r w:rsidR="00BE4BA2" w:rsidRPr="004F0A2C">
        <w:rPr>
          <w:rFonts w:ascii="Roboto" w:hAnsi="Roboto"/>
          <w:i/>
          <w:color w:val="002060"/>
          <w:sz w:val="22"/>
          <w:szCs w:val="22"/>
        </w:rPr>
        <w:t>.</w:t>
      </w:r>
    </w:p>
  </w:endnote>
  <w:endnote w:id="20">
    <w:p w14:paraId="0222529A" w14:textId="25EE28D0" w:rsidR="0032680D" w:rsidRPr="00F80F31" w:rsidRDefault="0032680D" w:rsidP="00E1186D">
      <w:pPr>
        <w:pStyle w:val="EndnoteText"/>
        <w:spacing w:after="120"/>
        <w:rPr>
          <w:color w:val="002060"/>
          <w:sz w:val="22"/>
          <w:szCs w:val="22"/>
        </w:rPr>
      </w:pPr>
      <w:r w:rsidRPr="00F80F31">
        <w:rPr>
          <w:rStyle w:val="EndnoteReference"/>
          <w:rFonts w:ascii="Roboto" w:hAnsi="Roboto"/>
          <w:color w:val="002060"/>
          <w:sz w:val="22"/>
          <w:szCs w:val="22"/>
        </w:rPr>
        <w:endnoteRef/>
      </w:r>
      <w:r w:rsidRPr="00F80F31">
        <w:rPr>
          <w:color w:val="002060"/>
          <w:sz w:val="22"/>
          <w:szCs w:val="22"/>
        </w:rPr>
        <w:t xml:space="preserve"> </w:t>
      </w:r>
      <w:r w:rsidR="00BE4BA2" w:rsidRPr="00F80F31">
        <w:rPr>
          <w:color w:val="002060"/>
          <w:sz w:val="22"/>
          <w:szCs w:val="22"/>
        </w:rPr>
        <w:t xml:space="preserve">Our Watch. (2020). </w:t>
      </w:r>
      <w:hyperlink r:id="rId24" w:history="1">
        <w:r w:rsidR="00BE4BA2" w:rsidRPr="00F80F31">
          <w:rPr>
            <w:rStyle w:val="Hyperlink"/>
            <w:i/>
            <w:iCs/>
            <w:color w:val="002060"/>
            <w:sz w:val="22"/>
            <w:szCs w:val="22"/>
          </w:rPr>
          <w:t>Change the story</w:t>
        </w:r>
      </w:hyperlink>
      <w:r w:rsidR="00BA4268" w:rsidRPr="00F80F31">
        <w:rPr>
          <w:i/>
          <w:iCs/>
          <w:color w:val="002060"/>
          <w:sz w:val="22"/>
          <w:szCs w:val="22"/>
        </w:rPr>
        <w:t>,</w:t>
      </w:r>
      <w:r w:rsidR="00BE4BA2" w:rsidRPr="00F80F31">
        <w:rPr>
          <w:i/>
          <w:iCs/>
          <w:color w:val="002060"/>
          <w:sz w:val="22"/>
          <w:szCs w:val="22"/>
        </w:rPr>
        <w:t xml:space="preserve"> </w:t>
      </w:r>
      <w:r w:rsidR="00040CA7" w:rsidRPr="00F80F31">
        <w:rPr>
          <w:color w:val="002060"/>
          <w:sz w:val="22"/>
          <w:szCs w:val="22"/>
        </w:rPr>
        <w:t xml:space="preserve">p. 54. </w:t>
      </w:r>
    </w:p>
  </w:endnote>
  <w:endnote w:id="21">
    <w:p w14:paraId="2DD6002A" w14:textId="3F9E080D" w:rsidR="00771DD4" w:rsidRPr="00F80F31" w:rsidRDefault="00771DD4" w:rsidP="00E1186D">
      <w:pPr>
        <w:pStyle w:val="EndnoteText"/>
        <w:spacing w:after="120"/>
        <w:rPr>
          <w:sz w:val="22"/>
          <w:szCs w:val="22"/>
        </w:rPr>
      </w:pPr>
      <w:r w:rsidRPr="00F80F31">
        <w:rPr>
          <w:rStyle w:val="EndnoteReference"/>
          <w:rFonts w:ascii="Roboto" w:hAnsi="Roboto"/>
          <w:sz w:val="22"/>
          <w:szCs w:val="22"/>
        </w:rPr>
        <w:endnoteRef/>
      </w:r>
      <w:r w:rsidRPr="00F80F31">
        <w:rPr>
          <w:sz w:val="22"/>
          <w:szCs w:val="22"/>
        </w:rPr>
        <w:t xml:space="preserve"> </w:t>
      </w:r>
      <w:r w:rsidRPr="00F80F31">
        <w:rPr>
          <w:color w:val="002060"/>
          <w:sz w:val="22"/>
          <w:szCs w:val="22"/>
        </w:rPr>
        <w:t xml:space="preserve">Our Watch. (2020). </w:t>
      </w:r>
      <w:hyperlink r:id="rId25" w:history="1">
        <w:r w:rsidRPr="00F80F31">
          <w:rPr>
            <w:rStyle w:val="Hyperlink"/>
            <w:i/>
            <w:iCs/>
            <w:color w:val="002060"/>
            <w:sz w:val="22"/>
            <w:szCs w:val="22"/>
          </w:rPr>
          <w:t>Change the story</w:t>
        </w:r>
      </w:hyperlink>
      <w:r w:rsidRPr="00F80F31">
        <w:rPr>
          <w:i/>
          <w:iCs/>
          <w:color w:val="002060"/>
          <w:sz w:val="22"/>
          <w:szCs w:val="22"/>
        </w:rPr>
        <w:t>,</w:t>
      </w:r>
      <w:r w:rsidR="00F80F31" w:rsidRPr="00F80F31">
        <w:rPr>
          <w:i/>
          <w:iCs/>
          <w:color w:val="002060"/>
          <w:sz w:val="22"/>
          <w:szCs w:val="22"/>
        </w:rPr>
        <w:t xml:space="preserve"> </w:t>
      </w:r>
      <w:r w:rsidR="00F80F31" w:rsidRPr="00F80F31">
        <w:rPr>
          <w:color w:val="002060"/>
          <w:sz w:val="22"/>
          <w:szCs w:val="22"/>
        </w:rPr>
        <w:t>pp. 52-54</w:t>
      </w:r>
      <w:r w:rsidR="00E1186D">
        <w:rPr>
          <w:color w:val="002060"/>
          <w:sz w:val="22"/>
          <w:szCs w:val="22"/>
        </w:rPr>
        <w:t>.</w:t>
      </w:r>
    </w:p>
  </w:endnote>
  <w:endnote w:id="22">
    <w:p w14:paraId="1107D27B" w14:textId="6D662EC1" w:rsidR="00031433" w:rsidRPr="004F0A2C" w:rsidRDefault="00031433" w:rsidP="00E1186D">
      <w:pPr>
        <w:pStyle w:val="EndnoteText"/>
        <w:spacing w:after="120"/>
        <w:rPr>
          <w:color w:val="002060"/>
          <w:sz w:val="22"/>
          <w:szCs w:val="22"/>
        </w:rPr>
      </w:pPr>
      <w:r w:rsidRPr="00F80F31">
        <w:rPr>
          <w:rStyle w:val="EndnoteReference"/>
          <w:rFonts w:ascii="Roboto" w:hAnsi="Roboto"/>
          <w:color w:val="002060"/>
          <w:sz w:val="22"/>
          <w:szCs w:val="22"/>
        </w:rPr>
        <w:endnoteRef/>
      </w:r>
      <w:r w:rsidRPr="00F80F31">
        <w:rPr>
          <w:color w:val="002060"/>
          <w:sz w:val="22"/>
          <w:szCs w:val="22"/>
        </w:rPr>
        <w:t xml:space="preserve"> </w:t>
      </w:r>
      <w:r w:rsidR="00B56382" w:rsidRPr="00F80F31">
        <w:rPr>
          <w:rFonts w:eastAsiaTheme="minorHAnsi" w:cstheme="minorHAnsi"/>
          <w:color w:val="002060"/>
          <w:sz w:val="22"/>
          <w:szCs w:val="22"/>
        </w:rPr>
        <w:t>Our Watch</w:t>
      </w:r>
      <w:r w:rsidR="00C65B17" w:rsidRPr="00F80F31">
        <w:rPr>
          <w:rFonts w:eastAsiaTheme="minorHAnsi" w:cstheme="minorHAnsi"/>
          <w:color w:val="002060"/>
          <w:sz w:val="22"/>
          <w:szCs w:val="22"/>
        </w:rPr>
        <w:t>.</w:t>
      </w:r>
      <w:r w:rsidR="00B56382" w:rsidRPr="00F80F31">
        <w:rPr>
          <w:rFonts w:eastAsiaTheme="minorHAnsi" w:cstheme="minorHAnsi"/>
          <w:color w:val="002060"/>
          <w:sz w:val="22"/>
          <w:szCs w:val="22"/>
        </w:rPr>
        <w:t xml:space="preserve"> (2022)</w:t>
      </w:r>
      <w:r w:rsidR="00C65B17" w:rsidRPr="00F80F31">
        <w:rPr>
          <w:rFonts w:eastAsiaTheme="minorHAnsi" w:cstheme="minorHAnsi"/>
          <w:color w:val="002060"/>
          <w:sz w:val="22"/>
          <w:szCs w:val="22"/>
        </w:rPr>
        <w:t>.</w:t>
      </w:r>
      <w:r w:rsidR="00B56382" w:rsidRPr="00F80F31">
        <w:rPr>
          <w:rFonts w:eastAsiaTheme="minorHAnsi" w:cstheme="minorHAnsi"/>
          <w:color w:val="002060"/>
          <w:sz w:val="22"/>
          <w:szCs w:val="22"/>
        </w:rPr>
        <w:t xml:space="preserve"> </w:t>
      </w:r>
      <w:hyperlink r:id="rId26" w:history="1">
        <w:r w:rsidR="00B56382" w:rsidRPr="00F80F31">
          <w:rPr>
            <w:rStyle w:val="Hyperlink"/>
            <w:rFonts w:eastAsiaTheme="minorHAnsi" w:cstheme="minorHAnsi"/>
            <w:i/>
            <w:iCs/>
            <w:color w:val="002060"/>
            <w:sz w:val="22"/>
            <w:szCs w:val="22"/>
          </w:rPr>
          <w:t>Understanding, monitoring and responding to resistance and backlash</w:t>
        </w:r>
      </w:hyperlink>
      <w:r w:rsidR="00B56382" w:rsidRPr="004F0A2C">
        <w:rPr>
          <w:rFonts w:eastAsiaTheme="minorHAnsi" w:cstheme="minorHAnsi"/>
          <w:color w:val="002060"/>
          <w:sz w:val="22"/>
          <w:szCs w:val="22"/>
        </w:rPr>
        <w:t>. Melbourne, Respect Victoria and Our Watch.</w:t>
      </w:r>
    </w:p>
  </w:endnote>
  <w:endnote w:id="23">
    <w:p w14:paraId="28A1178B" w14:textId="65CA12C8" w:rsidR="00A53D34" w:rsidRPr="004F0A2C" w:rsidRDefault="00A53D34"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Amnesty International</w:t>
      </w:r>
      <w:r w:rsidR="00E56C7B" w:rsidRPr="004F0A2C">
        <w:rPr>
          <w:rFonts w:ascii="Roboto" w:hAnsi="Roboto"/>
          <w:color w:val="002060"/>
          <w:sz w:val="22"/>
          <w:szCs w:val="22"/>
        </w:rPr>
        <w:t>. (</w:t>
      </w:r>
      <w:r w:rsidRPr="004F0A2C">
        <w:rPr>
          <w:rFonts w:ascii="Roboto" w:hAnsi="Roboto"/>
          <w:color w:val="002060"/>
          <w:sz w:val="22"/>
          <w:szCs w:val="22"/>
        </w:rPr>
        <w:t>2024</w:t>
      </w:r>
      <w:r w:rsidR="00E56C7B" w:rsidRPr="004F0A2C">
        <w:rPr>
          <w:rFonts w:ascii="Roboto" w:hAnsi="Roboto"/>
          <w:color w:val="002060"/>
          <w:sz w:val="22"/>
          <w:szCs w:val="22"/>
        </w:rPr>
        <w:t xml:space="preserve">). </w:t>
      </w:r>
      <w:hyperlink r:id="rId27" w:history="1">
        <w:r w:rsidR="00E56C7B" w:rsidRPr="004F0A2C">
          <w:rPr>
            <w:rStyle w:val="Hyperlink"/>
            <w:rFonts w:ascii="Roboto" w:hAnsi="Roboto"/>
            <w:sz w:val="22"/>
            <w:szCs w:val="22"/>
          </w:rPr>
          <w:t>Africa: Barrage of discriminatory laws stoking hate against LGBTI persons</w:t>
        </w:r>
      </w:hyperlink>
      <w:r w:rsidRPr="004F0A2C">
        <w:rPr>
          <w:rFonts w:ascii="Roboto" w:hAnsi="Roboto"/>
          <w:color w:val="002060"/>
          <w:sz w:val="22"/>
          <w:szCs w:val="22"/>
        </w:rPr>
        <w:t>; GLAAD</w:t>
      </w:r>
      <w:r w:rsidR="00E02D6A" w:rsidRPr="004F0A2C">
        <w:rPr>
          <w:rFonts w:ascii="Roboto" w:hAnsi="Roboto"/>
          <w:color w:val="002060"/>
          <w:sz w:val="22"/>
          <w:szCs w:val="22"/>
        </w:rPr>
        <w:t>. (</w:t>
      </w:r>
      <w:r w:rsidRPr="004F0A2C">
        <w:rPr>
          <w:rFonts w:ascii="Roboto" w:hAnsi="Roboto"/>
          <w:color w:val="002060"/>
          <w:sz w:val="22"/>
          <w:szCs w:val="22"/>
        </w:rPr>
        <w:t>2023</w:t>
      </w:r>
      <w:r w:rsidR="00502CEF" w:rsidRPr="004F0A2C">
        <w:rPr>
          <w:rFonts w:ascii="Roboto" w:hAnsi="Roboto"/>
          <w:color w:val="002060"/>
          <w:sz w:val="22"/>
          <w:szCs w:val="22"/>
        </w:rPr>
        <w:t>).</w:t>
      </w:r>
      <w:hyperlink r:id="rId28" w:history="1">
        <w:r w:rsidR="00502CEF" w:rsidRPr="004F0A2C">
          <w:rPr>
            <w:rStyle w:val="Hyperlink"/>
            <w:rFonts w:ascii="Roboto" w:hAnsi="Roboto"/>
            <w:sz w:val="22"/>
            <w:szCs w:val="22"/>
          </w:rPr>
          <w:t xml:space="preserve"> </w:t>
        </w:r>
        <w:r w:rsidR="00E02D6A" w:rsidRPr="004F0A2C">
          <w:rPr>
            <w:rStyle w:val="Hyperlink"/>
            <w:rFonts w:ascii="Roboto" w:hAnsi="Roboto"/>
            <w:sz w:val="22"/>
            <w:szCs w:val="22"/>
          </w:rPr>
          <w:t>2023 Year in Review: Anti-LGBTQ Online Hate and Disinformation</w:t>
        </w:r>
      </w:hyperlink>
      <w:r w:rsidRPr="004F0A2C">
        <w:rPr>
          <w:rFonts w:ascii="Roboto" w:hAnsi="Roboto"/>
          <w:color w:val="002060"/>
          <w:sz w:val="22"/>
          <w:szCs w:val="22"/>
        </w:rPr>
        <w:t>; Wells</w:t>
      </w:r>
      <w:r w:rsidR="00282836" w:rsidRPr="004F0A2C">
        <w:rPr>
          <w:rFonts w:ascii="Roboto" w:hAnsi="Roboto"/>
          <w:color w:val="002060"/>
          <w:sz w:val="22"/>
          <w:szCs w:val="22"/>
        </w:rPr>
        <w:t>, K.(</w:t>
      </w:r>
      <w:r w:rsidRPr="004F0A2C">
        <w:rPr>
          <w:rFonts w:ascii="Roboto" w:hAnsi="Roboto"/>
          <w:color w:val="002060"/>
          <w:sz w:val="22"/>
          <w:szCs w:val="22"/>
        </w:rPr>
        <w:t>2023</w:t>
      </w:r>
      <w:r w:rsidR="00282836" w:rsidRPr="004F0A2C">
        <w:rPr>
          <w:rFonts w:ascii="Roboto" w:hAnsi="Roboto"/>
          <w:color w:val="002060"/>
          <w:sz w:val="22"/>
          <w:szCs w:val="22"/>
        </w:rPr>
        <w:t>)</w:t>
      </w:r>
      <w:r w:rsidR="00EA7F4F" w:rsidRPr="004F0A2C">
        <w:rPr>
          <w:rFonts w:ascii="Roboto" w:hAnsi="Roboto"/>
          <w:color w:val="002060"/>
          <w:sz w:val="22"/>
          <w:szCs w:val="22"/>
        </w:rPr>
        <w:t>.</w:t>
      </w:r>
      <w:r w:rsidR="00EA7F4F" w:rsidRPr="004F0A2C">
        <w:rPr>
          <w:rFonts w:ascii="Roboto" w:hAnsi="Roboto"/>
          <w:sz w:val="22"/>
          <w:szCs w:val="22"/>
        </w:rPr>
        <w:t xml:space="preserve"> </w:t>
      </w:r>
      <w:hyperlink r:id="rId29" w:history="1">
        <w:r w:rsidR="00EA7F4F" w:rsidRPr="004F0A2C">
          <w:rPr>
            <w:rStyle w:val="Hyperlink"/>
            <w:rFonts w:ascii="Roboto" w:hAnsi="Roboto"/>
            <w:sz w:val="22"/>
            <w:szCs w:val="22"/>
          </w:rPr>
          <w:t>We must all speak out to stop anti-LGBTQ legislation</w:t>
        </w:r>
      </w:hyperlink>
      <w:r w:rsidR="00EA7F4F" w:rsidRPr="004F0A2C">
        <w:rPr>
          <w:rFonts w:ascii="Roboto" w:hAnsi="Roboto"/>
          <w:color w:val="002060"/>
          <w:sz w:val="22"/>
          <w:szCs w:val="22"/>
        </w:rPr>
        <w:t xml:space="preserve">, </w:t>
      </w:r>
      <w:r w:rsidR="00EA7F4F" w:rsidRPr="004F0A2C">
        <w:rPr>
          <w:rFonts w:ascii="Roboto" w:hAnsi="Roboto"/>
          <w:i/>
          <w:iCs/>
          <w:color w:val="002060"/>
          <w:sz w:val="22"/>
          <w:szCs w:val="22"/>
        </w:rPr>
        <w:t>The Conversation</w:t>
      </w:r>
      <w:r w:rsidRPr="004F0A2C">
        <w:rPr>
          <w:rFonts w:ascii="Roboto" w:hAnsi="Roboto"/>
          <w:color w:val="002060"/>
          <w:sz w:val="22"/>
          <w:szCs w:val="22"/>
        </w:rPr>
        <w:t>; Trans Legislation Tracker</w:t>
      </w:r>
      <w:r w:rsidR="00C406D1" w:rsidRPr="004F0A2C">
        <w:rPr>
          <w:rFonts w:ascii="Roboto" w:hAnsi="Roboto"/>
          <w:color w:val="002060"/>
          <w:sz w:val="22"/>
          <w:szCs w:val="22"/>
        </w:rPr>
        <w:t>. (</w:t>
      </w:r>
      <w:r w:rsidRPr="004F0A2C">
        <w:rPr>
          <w:rFonts w:ascii="Roboto" w:hAnsi="Roboto"/>
          <w:color w:val="002060"/>
          <w:sz w:val="22"/>
          <w:szCs w:val="22"/>
        </w:rPr>
        <w:t>2024</w:t>
      </w:r>
      <w:r w:rsidR="00C406D1" w:rsidRPr="004F0A2C">
        <w:rPr>
          <w:rFonts w:ascii="Roboto" w:hAnsi="Roboto"/>
          <w:color w:val="002060"/>
          <w:sz w:val="22"/>
          <w:szCs w:val="22"/>
        </w:rPr>
        <w:t>)</w:t>
      </w:r>
      <w:r w:rsidRPr="004F0A2C">
        <w:rPr>
          <w:rFonts w:ascii="Roboto" w:hAnsi="Roboto"/>
          <w:color w:val="002060"/>
          <w:sz w:val="22"/>
          <w:szCs w:val="22"/>
        </w:rPr>
        <w:t>.</w:t>
      </w:r>
      <w:r w:rsidR="00737586" w:rsidRPr="004F0A2C">
        <w:rPr>
          <w:rFonts w:ascii="Roboto" w:hAnsi="Roboto"/>
          <w:color w:val="002060"/>
          <w:sz w:val="22"/>
          <w:szCs w:val="22"/>
        </w:rPr>
        <w:t xml:space="preserve"> </w:t>
      </w:r>
      <w:hyperlink r:id="rId30" w:history="1">
        <w:r w:rsidR="00737586" w:rsidRPr="004F0A2C">
          <w:rPr>
            <w:rStyle w:val="Hyperlink"/>
            <w:rFonts w:ascii="Roboto" w:hAnsi="Roboto"/>
            <w:sz w:val="22"/>
            <w:szCs w:val="22"/>
          </w:rPr>
          <w:t>2024 anti-trans bill tracker</w:t>
        </w:r>
      </w:hyperlink>
      <w:r w:rsidR="00737586" w:rsidRPr="004F0A2C">
        <w:rPr>
          <w:rFonts w:ascii="Roboto" w:hAnsi="Roboto"/>
          <w:color w:val="002060"/>
          <w:sz w:val="22"/>
          <w:szCs w:val="22"/>
        </w:rPr>
        <w:t xml:space="preserve">. </w:t>
      </w:r>
    </w:p>
  </w:endnote>
  <w:endnote w:id="24">
    <w:p w14:paraId="4710E705" w14:textId="3209C8A6" w:rsidR="00A53D34" w:rsidRPr="004F0A2C" w:rsidRDefault="00A53D34" w:rsidP="00E1186D">
      <w:pPr>
        <w:pStyle w:val="NoSpacing"/>
        <w:spacing w:after="120"/>
        <w:rPr>
          <w:rFonts w:ascii="Roboto" w:hAnsi="Roboto"/>
          <w:color w:val="002060"/>
          <w:sz w:val="22"/>
          <w:szCs w:val="22"/>
        </w:rPr>
      </w:pPr>
      <w:r w:rsidRPr="004F0A2C">
        <w:rPr>
          <w:rStyle w:val="EndnoteReference"/>
          <w:rFonts w:ascii="Roboto" w:hAnsi="Roboto"/>
          <w:color w:val="002060"/>
          <w:sz w:val="22"/>
          <w:szCs w:val="22"/>
        </w:rPr>
        <w:endnoteRef/>
      </w:r>
      <w:r w:rsidRPr="004F0A2C">
        <w:rPr>
          <w:rFonts w:ascii="Roboto" w:hAnsi="Roboto"/>
          <w:color w:val="002060"/>
          <w:sz w:val="22"/>
          <w:szCs w:val="22"/>
        </w:rPr>
        <w:t xml:space="preserve"> Turner, J. (2023). </w:t>
      </w:r>
      <w:hyperlink r:id="rId31" w:history="1">
        <w:r w:rsidRPr="004F0A2C">
          <w:rPr>
            <w:rStyle w:val="Hyperlink"/>
            <w:rFonts w:ascii="Roboto" w:hAnsi="Roboto"/>
            <w:color w:val="002060"/>
            <w:sz w:val="22"/>
            <w:szCs w:val="22"/>
          </w:rPr>
          <w:t>The Anti-Trans Movement Framework</w:t>
        </w:r>
      </w:hyperlink>
      <w:r w:rsidRPr="004F0A2C">
        <w:rPr>
          <w:rFonts w:ascii="Roboto" w:hAnsi="Roboto"/>
          <w:color w:val="002060"/>
          <w:sz w:val="22"/>
          <w:szCs w:val="22"/>
        </w:rPr>
        <w:t xml:space="preserve">, The Commons Social Change Library. </w:t>
      </w:r>
      <w:r w:rsidR="00EE0897" w:rsidRPr="004F0A2C">
        <w:rPr>
          <w:rFonts w:ascii="Roboto" w:hAnsi="Roboto"/>
          <w:color w:val="002060"/>
          <w:sz w:val="22"/>
          <w:szCs w:val="22"/>
        </w:rPr>
        <w:t>GLAAD. (2023).</w:t>
      </w:r>
      <w:hyperlink r:id="rId32" w:history="1">
        <w:r w:rsidR="00EE0897" w:rsidRPr="004F0A2C">
          <w:rPr>
            <w:rStyle w:val="Hyperlink"/>
            <w:rFonts w:ascii="Roboto" w:hAnsi="Roboto"/>
            <w:sz w:val="22"/>
            <w:szCs w:val="22"/>
          </w:rPr>
          <w:t xml:space="preserve"> 2023 Year in Review: Anti-LGBTQ Online Hate and Disinformation</w:t>
        </w:r>
      </w:hyperlink>
      <w:r w:rsidR="00EE0897" w:rsidRPr="004F0A2C">
        <w:rPr>
          <w:rFonts w:ascii="Roboto" w:hAnsi="Roboto"/>
          <w:color w:val="002060"/>
          <w:sz w:val="22"/>
          <w:szCs w:val="22"/>
        </w:rPr>
        <w:t>;</w:t>
      </w:r>
      <w:r w:rsidRPr="004F0A2C">
        <w:rPr>
          <w:rFonts w:ascii="Roboto" w:hAnsi="Roboto"/>
          <w:color w:val="002060"/>
          <w:sz w:val="22"/>
          <w:szCs w:val="22"/>
        </w:rPr>
        <w:t xml:space="preserve"> Southern Poverty Law Centre</w:t>
      </w:r>
      <w:r w:rsidR="00707423" w:rsidRPr="004F0A2C">
        <w:rPr>
          <w:rFonts w:ascii="Roboto" w:hAnsi="Roboto"/>
          <w:color w:val="002060"/>
          <w:sz w:val="22"/>
          <w:szCs w:val="22"/>
        </w:rPr>
        <w:t>.</w:t>
      </w:r>
      <w:r w:rsidRPr="004F0A2C">
        <w:rPr>
          <w:rFonts w:ascii="Roboto" w:hAnsi="Roboto"/>
          <w:color w:val="002060"/>
          <w:sz w:val="22"/>
          <w:szCs w:val="22"/>
        </w:rPr>
        <w:t xml:space="preserve"> </w:t>
      </w:r>
      <w:r w:rsidR="00AF4FAE" w:rsidRPr="004F0A2C">
        <w:rPr>
          <w:rFonts w:ascii="Roboto" w:hAnsi="Roboto"/>
          <w:color w:val="002060"/>
          <w:sz w:val="22"/>
          <w:szCs w:val="22"/>
        </w:rPr>
        <w:t>(</w:t>
      </w:r>
      <w:r w:rsidRPr="004F0A2C">
        <w:rPr>
          <w:rFonts w:ascii="Roboto" w:hAnsi="Roboto"/>
          <w:color w:val="002060"/>
          <w:sz w:val="22"/>
          <w:szCs w:val="22"/>
        </w:rPr>
        <w:t>202</w:t>
      </w:r>
      <w:r w:rsidR="00707423" w:rsidRPr="004F0A2C">
        <w:rPr>
          <w:rFonts w:ascii="Roboto" w:hAnsi="Roboto"/>
          <w:color w:val="002060"/>
          <w:sz w:val="22"/>
          <w:szCs w:val="22"/>
        </w:rPr>
        <w:t>4</w:t>
      </w:r>
      <w:r w:rsidRPr="004F0A2C">
        <w:rPr>
          <w:rFonts w:ascii="Roboto" w:hAnsi="Roboto"/>
          <w:color w:val="002060"/>
          <w:sz w:val="22"/>
          <w:szCs w:val="22"/>
        </w:rPr>
        <w:t>).</w:t>
      </w:r>
      <w:r w:rsidR="00707423" w:rsidRPr="004F0A2C">
        <w:rPr>
          <w:rFonts w:ascii="Roboto" w:hAnsi="Roboto"/>
          <w:color w:val="002060"/>
          <w:sz w:val="22"/>
          <w:szCs w:val="22"/>
        </w:rPr>
        <w:t xml:space="preserve"> </w:t>
      </w:r>
      <w:hyperlink r:id="rId33" w:history="1">
        <w:r w:rsidR="00707423" w:rsidRPr="004F0A2C">
          <w:rPr>
            <w:rStyle w:val="Hyperlink"/>
            <w:rFonts w:ascii="Roboto" w:hAnsi="Roboto"/>
            <w:sz w:val="22"/>
            <w:szCs w:val="22"/>
          </w:rPr>
          <w:t>Anti-LGBT</w:t>
        </w:r>
        <w:r w:rsidR="005A306F" w:rsidRPr="004F0A2C">
          <w:rPr>
            <w:rStyle w:val="Hyperlink"/>
            <w:rFonts w:ascii="Roboto" w:hAnsi="Roboto"/>
            <w:sz w:val="22"/>
            <w:szCs w:val="22"/>
          </w:rPr>
          <w:t>Q</w:t>
        </w:r>
      </w:hyperlink>
      <w:r w:rsidR="005A306F" w:rsidRPr="004F0A2C">
        <w:rPr>
          <w:rFonts w:ascii="Roboto" w:hAnsi="Roboto"/>
          <w:color w:val="002060"/>
          <w:sz w:val="22"/>
          <w:szCs w:val="22"/>
        </w:rPr>
        <w:t xml:space="preserve">. </w:t>
      </w:r>
    </w:p>
  </w:endnote>
  <w:endnote w:id="25">
    <w:p w14:paraId="4C1D9AA2" w14:textId="3FE9894E" w:rsidR="005F0FA2" w:rsidRPr="004F0A2C" w:rsidRDefault="005F0FA2" w:rsidP="00E1186D">
      <w:pPr>
        <w:pStyle w:val="EndnoteText"/>
        <w:spacing w:after="120"/>
        <w:rPr>
          <w:color w:val="002060"/>
          <w:sz w:val="22"/>
          <w:szCs w:val="22"/>
        </w:rPr>
      </w:pPr>
      <w:r w:rsidRPr="004F0A2C">
        <w:rPr>
          <w:rStyle w:val="EndnoteReference"/>
          <w:rFonts w:ascii="Roboto" w:hAnsi="Roboto"/>
          <w:color w:val="002060"/>
          <w:sz w:val="22"/>
          <w:szCs w:val="22"/>
        </w:rPr>
        <w:endnoteRef/>
      </w:r>
      <w:r w:rsidRPr="004F0A2C">
        <w:rPr>
          <w:color w:val="002060"/>
          <w:sz w:val="22"/>
          <w:szCs w:val="22"/>
        </w:rPr>
        <w:t xml:space="preserve"> Our Watch. (2024). </w:t>
      </w:r>
      <w:hyperlink r:id="rId34" w:history="1">
        <w:r w:rsidRPr="004F0A2C">
          <w:rPr>
            <w:rStyle w:val="Hyperlink"/>
            <w:i/>
            <w:iCs/>
            <w:color w:val="002060"/>
            <w:sz w:val="22"/>
            <w:szCs w:val="22"/>
          </w:rPr>
          <w:t>Guide for media reporting on Violence against transgender and gender diverse communities</w:t>
        </w:r>
      </w:hyperlink>
      <w:r w:rsidRPr="004F0A2C">
        <w:rPr>
          <w:i/>
          <w:iCs/>
          <w:color w:val="002060"/>
          <w:sz w:val="22"/>
          <w:szCs w:val="22"/>
        </w:rPr>
        <w:t xml:space="preserve">, </w:t>
      </w:r>
      <w:r w:rsidRPr="004F0A2C">
        <w:rPr>
          <w:color w:val="002060"/>
          <w:sz w:val="22"/>
          <w:szCs w:val="22"/>
        </w:rPr>
        <w:t>p. 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cumin Pro Medium">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roman"/>
    <w:notTrueType/>
    <w:pitch w:val="default"/>
  </w:font>
  <w:font w:name="Poppins">
    <w:altName w:val="Nirmala UI"/>
    <w:charset w:val="00"/>
    <w:family w:val="auto"/>
    <w:pitch w:val="variable"/>
    <w:sig w:usb0="00008007" w:usb1="00000000" w:usb2="00000000" w:usb3="00000000" w:csb0="00000093" w:csb1="00000000"/>
  </w:font>
  <w:font w:name="ZWAdobeF">
    <w:panose1 w:val="00000000000000000000"/>
    <w:charset w:val="00"/>
    <w:family w:val="auto"/>
    <w:pitch w:val="variable"/>
    <w:sig w:usb0="20002A87" w:usb1="00000000" w:usb2="00000000" w:usb3="00000000" w:csb0="000001FF" w:csb1="00000000"/>
  </w:font>
  <w:font w:name="Acumin Pro">
    <w:altName w:val="Acumin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058393504"/>
      <w:docPartObj>
        <w:docPartGallery w:val="Page Numbers (Bottom of Page)"/>
        <w:docPartUnique/>
      </w:docPartObj>
    </w:sdtPr>
    <w:sdtEndPr/>
    <w:sdtContent>
      <w:sdt>
        <w:sdtPr>
          <w:rPr>
            <w:sz w:val="18"/>
            <w:szCs w:val="18"/>
          </w:rPr>
          <w:id w:val="-312180022"/>
          <w:docPartObj>
            <w:docPartGallery w:val="Page Numbers (Top of Page)"/>
            <w:docPartUnique/>
          </w:docPartObj>
        </w:sdtPr>
        <w:sdtEndPr/>
        <w:sdtContent>
          <w:p w14:paraId="0B8DC411" w14:textId="77777777" w:rsidR="00DE5C7B" w:rsidRPr="00560A03" w:rsidRDefault="00DE5C7B" w:rsidP="00DB7087">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rsidRPr="000D05B7">
              <w:rPr>
                <w:noProof/>
              </w:rPr>
              <w:t>5</w:t>
            </w:r>
            <w:r w:rsidRPr="000D05B7">
              <w:rPr>
                <w:color w:val="2B579A"/>
                <w:shd w:val="clear" w:color="auto" w:fill="E6E6E6"/>
              </w:rPr>
              <w:fldChar w:fldCharType="end"/>
            </w:r>
            <w:r w:rsidRPr="000D05B7">
              <w:t xml:space="preserve"> of </w:t>
            </w:r>
            <w:r>
              <w:fldChar w:fldCharType="begin"/>
            </w:r>
            <w:r>
              <w:instrText>NUMPAGES</w:instrText>
            </w:r>
            <w:r>
              <w:fldChar w:fldCharType="separate"/>
            </w:r>
            <w:r w:rsidRPr="000D05B7">
              <w:rPr>
                <w:noProof/>
              </w:rPr>
              <w:t>5</w:t>
            </w:r>
            <w:r>
              <w:fldChar w:fldCharType="end"/>
            </w:r>
            <w:r w:rsidRPr="00990FD7">
              <w:rPr>
                <w:noProof/>
              </w:rPr>
              <w:drawing>
                <wp:anchor distT="0" distB="0" distL="114300" distR="114300" simplePos="0" relativeHeight="251658241" behindDoc="1" locked="1" layoutInCell="1" allowOverlap="1" wp14:anchorId="5AEC450C" wp14:editId="3521D552">
                  <wp:simplePos x="0" y="0"/>
                  <wp:positionH relativeFrom="page">
                    <wp:align>right</wp:align>
                  </wp:positionH>
                  <wp:positionV relativeFrom="page">
                    <wp:align>bottom</wp:align>
                  </wp:positionV>
                  <wp:extent cx="1594800" cy="712800"/>
                  <wp:effectExtent l="0" t="0" r="0" b="0"/>
                  <wp:wrapNone/>
                  <wp:docPr id="98241247" name="Picture 9824124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71E62" w14:textId="77777777" w:rsidR="00DE5C7B" w:rsidRPr="00560A03" w:rsidRDefault="00DE5C7B" w:rsidP="00F043B8">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t>2</w:t>
    </w:r>
    <w:r w:rsidRPr="000D05B7">
      <w:rPr>
        <w:color w:val="2B579A"/>
        <w:shd w:val="clear" w:color="auto" w:fill="E6E6E6"/>
      </w:rPr>
      <w:fldChar w:fldCharType="end"/>
    </w:r>
    <w:r w:rsidRPr="000D05B7">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2572A" w14:textId="77777777" w:rsidR="00C60ABE" w:rsidRDefault="00C60ABE" w:rsidP="00B4211E">
      <w:r>
        <w:separator/>
      </w:r>
    </w:p>
    <w:p w14:paraId="4DD6A4D3" w14:textId="77777777" w:rsidR="00C60ABE" w:rsidRDefault="00C60ABE" w:rsidP="00B4211E"/>
  </w:footnote>
  <w:footnote w:type="continuationSeparator" w:id="0">
    <w:p w14:paraId="02CC454E" w14:textId="77777777" w:rsidR="00C60ABE" w:rsidRDefault="00C60ABE" w:rsidP="00B4211E">
      <w:r>
        <w:continuationSeparator/>
      </w:r>
    </w:p>
    <w:p w14:paraId="718B7A47" w14:textId="77777777" w:rsidR="00C60ABE" w:rsidRDefault="00C60ABE" w:rsidP="00B4211E"/>
  </w:footnote>
  <w:footnote w:type="continuationNotice" w:id="1">
    <w:p w14:paraId="1AD51D36" w14:textId="77777777" w:rsidR="00C60ABE" w:rsidRDefault="00C60A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559E9" w14:textId="17BE4A9A" w:rsidR="00DE5C7B" w:rsidRDefault="00DE5C7B" w:rsidP="00B4211E">
    <w:pPr>
      <w:pStyle w:val="Header"/>
    </w:pPr>
    <w:r w:rsidRPr="00313324">
      <w:rPr>
        <w:noProof/>
      </w:rPr>
      <w:drawing>
        <wp:anchor distT="0" distB="0" distL="114300" distR="114300" simplePos="0" relativeHeight="251658240" behindDoc="1" locked="1" layoutInCell="1" allowOverlap="1" wp14:anchorId="47D4992F" wp14:editId="7A40A406">
          <wp:simplePos x="0" y="0"/>
          <wp:positionH relativeFrom="leftMargin">
            <wp:posOffset>467995</wp:posOffset>
          </wp:positionH>
          <wp:positionV relativeFrom="page">
            <wp:align>top</wp:align>
          </wp:positionV>
          <wp:extent cx="2138400" cy="2044800"/>
          <wp:effectExtent l="0" t="0" r="0" b="0"/>
          <wp:wrapNone/>
          <wp:docPr id="683320478" name="Picture 683320478">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8820E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06B8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810E52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386C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5E53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2A702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9459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0A2B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D4D7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08DD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06F46"/>
    <w:multiLevelType w:val="hybridMultilevel"/>
    <w:tmpl w:val="82F8C17A"/>
    <w:lvl w:ilvl="0" w:tplc="96A0E012">
      <w:start w:val="1"/>
      <w:numFmt w:val="bullet"/>
      <w:pStyle w:val="Bulletedlist"/>
      <w:lvlText w:val=""/>
      <w:lvlJc w:val="left"/>
      <w:pPr>
        <w:ind w:left="720" w:hanging="360"/>
      </w:pPr>
      <w:rPr>
        <w:rFonts w:ascii="Wingdings" w:hAnsi="Wingdings" w:hint="default"/>
        <w:b w:val="0"/>
        <w:bCs/>
      </w:rPr>
    </w:lvl>
    <w:lvl w:ilvl="1" w:tplc="0C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8A56AE"/>
    <w:multiLevelType w:val="hybridMultilevel"/>
    <w:tmpl w:val="5AE22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206D2"/>
    <w:multiLevelType w:val="multilevel"/>
    <w:tmpl w:val="012C31A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7C2BB2"/>
    <w:multiLevelType w:val="hybridMultilevel"/>
    <w:tmpl w:val="D982ECE2"/>
    <w:lvl w:ilvl="0" w:tplc="96A0E012">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CB6770"/>
    <w:multiLevelType w:val="hybridMultilevel"/>
    <w:tmpl w:val="44F03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ED1BC7"/>
    <w:multiLevelType w:val="hybridMultilevel"/>
    <w:tmpl w:val="B156E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263E52"/>
    <w:multiLevelType w:val="hybridMultilevel"/>
    <w:tmpl w:val="ACB06D7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696F54"/>
    <w:multiLevelType w:val="hybridMultilevel"/>
    <w:tmpl w:val="4DDC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95B50"/>
    <w:multiLevelType w:val="hybridMultilevel"/>
    <w:tmpl w:val="232A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30687"/>
    <w:multiLevelType w:val="hybridMultilevel"/>
    <w:tmpl w:val="EB5CA8D0"/>
    <w:lvl w:ilvl="0" w:tplc="BE181F92">
      <w:start w:val="1"/>
      <w:numFmt w:val="decimal"/>
      <w:lvlText w:val="%1."/>
      <w:lvlJc w:val="lef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1B551B"/>
    <w:multiLevelType w:val="hybridMultilevel"/>
    <w:tmpl w:val="54467B4A"/>
    <w:lvl w:ilvl="0" w:tplc="1218A1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E7003"/>
    <w:multiLevelType w:val="hybridMultilevel"/>
    <w:tmpl w:val="D3669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EF5BB6"/>
    <w:multiLevelType w:val="hybridMultilevel"/>
    <w:tmpl w:val="4E92921E"/>
    <w:lvl w:ilvl="0" w:tplc="BE181F9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832149"/>
    <w:multiLevelType w:val="hybridMultilevel"/>
    <w:tmpl w:val="502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C67F40"/>
    <w:multiLevelType w:val="hybridMultilevel"/>
    <w:tmpl w:val="279CEA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67660F86"/>
    <w:multiLevelType w:val="hybridMultilevel"/>
    <w:tmpl w:val="35706276"/>
    <w:lvl w:ilvl="0" w:tplc="0C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DC0D26"/>
    <w:multiLevelType w:val="hybridMultilevel"/>
    <w:tmpl w:val="4D88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8B34ED"/>
    <w:multiLevelType w:val="hybridMultilevel"/>
    <w:tmpl w:val="35DC8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A382F"/>
    <w:multiLevelType w:val="hybridMultilevel"/>
    <w:tmpl w:val="4FF4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9179D8"/>
    <w:multiLevelType w:val="hybridMultilevel"/>
    <w:tmpl w:val="6EE48F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4A23BA4"/>
    <w:multiLevelType w:val="hybridMultilevel"/>
    <w:tmpl w:val="A8A2D37A"/>
    <w:lvl w:ilvl="0" w:tplc="2B061292">
      <w:numFmt w:val="bullet"/>
      <w:lvlText w:val="-"/>
      <w:lvlJc w:val="left"/>
      <w:pPr>
        <w:ind w:left="720" w:hanging="360"/>
      </w:pPr>
      <w:rPr>
        <w:rFonts w:ascii="Roboto" w:eastAsiaTheme="minorHAnsi" w:hAnsi="Robo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AA5DD4"/>
    <w:multiLevelType w:val="hybridMultilevel"/>
    <w:tmpl w:val="C4AA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9046230">
    <w:abstractNumId w:val="16"/>
  </w:num>
  <w:num w:numId="2" w16cid:durableId="1731923966">
    <w:abstractNumId w:val="12"/>
  </w:num>
  <w:num w:numId="3" w16cid:durableId="1046023255">
    <w:abstractNumId w:val="8"/>
  </w:num>
  <w:num w:numId="4" w16cid:durableId="1551065729">
    <w:abstractNumId w:val="3"/>
  </w:num>
  <w:num w:numId="5" w16cid:durableId="651176553">
    <w:abstractNumId w:val="0"/>
  </w:num>
  <w:num w:numId="6" w16cid:durableId="484857147">
    <w:abstractNumId w:val="1"/>
  </w:num>
  <w:num w:numId="7" w16cid:durableId="1715276474">
    <w:abstractNumId w:val="2"/>
  </w:num>
  <w:num w:numId="8" w16cid:durableId="776483117">
    <w:abstractNumId w:val="4"/>
  </w:num>
  <w:num w:numId="9" w16cid:durableId="1636370022">
    <w:abstractNumId w:val="5"/>
  </w:num>
  <w:num w:numId="10" w16cid:durableId="40905775">
    <w:abstractNumId w:val="6"/>
  </w:num>
  <w:num w:numId="11" w16cid:durableId="1989556895">
    <w:abstractNumId w:val="7"/>
  </w:num>
  <w:num w:numId="12" w16cid:durableId="1784881790">
    <w:abstractNumId w:val="9"/>
  </w:num>
  <w:num w:numId="13" w16cid:durableId="290214143">
    <w:abstractNumId w:val="0"/>
  </w:num>
  <w:num w:numId="14" w16cid:durableId="1370765791">
    <w:abstractNumId w:val="1"/>
  </w:num>
  <w:num w:numId="15" w16cid:durableId="1634940016">
    <w:abstractNumId w:val="2"/>
  </w:num>
  <w:num w:numId="16" w16cid:durableId="688608893">
    <w:abstractNumId w:val="4"/>
  </w:num>
  <w:num w:numId="17" w16cid:durableId="165246795">
    <w:abstractNumId w:val="5"/>
  </w:num>
  <w:num w:numId="18" w16cid:durableId="1394693747">
    <w:abstractNumId w:val="6"/>
  </w:num>
  <w:num w:numId="19" w16cid:durableId="1334062576">
    <w:abstractNumId w:val="7"/>
  </w:num>
  <w:num w:numId="20" w16cid:durableId="81146908">
    <w:abstractNumId w:val="9"/>
  </w:num>
  <w:num w:numId="21" w16cid:durableId="2046516910">
    <w:abstractNumId w:val="0"/>
  </w:num>
  <w:num w:numId="22" w16cid:durableId="542062508">
    <w:abstractNumId w:val="1"/>
  </w:num>
  <w:num w:numId="23" w16cid:durableId="1990017937">
    <w:abstractNumId w:val="2"/>
  </w:num>
  <w:num w:numId="24" w16cid:durableId="1183016020">
    <w:abstractNumId w:val="4"/>
  </w:num>
  <w:num w:numId="25" w16cid:durableId="828402501">
    <w:abstractNumId w:val="5"/>
  </w:num>
  <w:num w:numId="26" w16cid:durableId="23600188">
    <w:abstractNumId w:val="6"/>
  </w:num>
  <w:num w:numId="27" w16cid:durableId="1792894011">
    <w:abstractNumId w:val="7"/>
  </w:num>
  <w:num w:numId="28" w16cid:durableId="1791825853">
    <w:abstractNumId w:val="9"/>
  </w:num>
  <w:num w:numId="29" w16cid:durableId="1281449627">
    <w:abstractNumId w:val="0"/>
  </w:num>
  <w:num w:numId="30" w16cid:durableId="1101728019">
    <w:abstractNumId w:val="1"/>
  </w:num>
  <w:num w:numId="31" w16cid:durableId="1123693589">
    <w:abstractNumId w:val="2"/>
  </w:num>
  <w:num w:numId="32" w16cid:durableId="609556781">
    <w:abstractNumId w:val="4"/>
  </w:num>
  <w:num w:numId="33" w16cid:durableId="1156459053">
    <w:abstractNumId w:val="5"/>
  </w:num>
  <w:num w:numId="34" w16cid:durableId="1523284052">
    <w:abstractNumId w:val="6"/>
  </w:num>
  <w:num w:numId="35" w16cid:durableId="1385834939">
    <w:abstractNumId w:val="7"/>
  </w:num>
  <w:num w:numId="36" w16cid:durableId="1438328842">
    <w:abstractNumId w:val="9"/>
  </w:num>
  <w:num w:numId="37" w16cid:durableId="1475104557">
    <w:abstractNumId w:val="19"/>
  </w:num>
  <w:num w:numId="38" w16cid:durableId="456992733">
    <w:abstractNumId w:val="17"/>
  </w:num>
  <w:num w:numId="39" w16cid:durableId="1869641912">
    <w:abstractNumId w:val="18"/>
  </w:num>
  <w:num w:numId="40" w16cid:durableId="1151941896">
    <w:abstractNumId w:val="26"/>
  </w:num>
  <w:num w:numId="41" w16cid:durableId="1310089907">
    <w:abstractNumId w:val="20"/>
  </w:num>
  <w:num w:numId="42" w16cid:durableId="222757649">
    <w:abstractNumId w:val="31"/>
  </w:num>
  <w:num w:numId="43" w16cid:durableId="865604352">
    <w:abstractNumId w:val="11"/>
  </w:num>
  <w:num w:numId="44" w16cid:durableId="1954556389">
    <w:abstractNumId w:val="27"/>
  </w:num>
  <w:num w:numId="45" w16cid:durableId="335380120">
    <w:abstractNumId w:val="29"/>
  </w:num>
  <w:num w:numId="46" w16cid:durableId="869301553">
    <w:abstractNumId w:val="15"/>
  </w:num>
  <w:num w:numId="47" w16cid:durableId="1923223224">
    <w:abstractNumId w:val="23"/>
  </w:num>
  <w:num w:numId="48" w16cid:durableId="718671332">
    <w:abstractNumId w:val="13"/>
  </w:num>
  <w:num w:numId="49" w16cid:durableId="497110963">
    <w:abstractNumId w:val="22"/>
  </w:num>
  <w:num w:numId="50" w16cid:durableId="380642156">
    <w:abstractNumId w:val="10"/>
  </w:num>
  <w:num w:numId="51" w16cid:durableId="834609015">
    <w:abstractNumId w:val="24"/>
  </w:num>
  <w:num w:numId="52" w16cid:durableId="823787626">
    <w:abstractNumId w:val="25"/>
  </w:num>
  <w:num w:numId="53" w16cid:durableId="936861577">
    <w:abstractNumId w:val="28"/>
  </w:num>
  <w:num w:numId="54" w16cid:durableId="1281719600">
    <w:abstractNumId w:val="14"/>
  </w:num>
  <w:num w:numId="55" w16cid:durableId="1823617446">
    <w:abstractNumId w:val="30"/>
  </w:num>
  <w:num w:numId="56" w16cid:durableId="464812699">
    <w:abstractNumId w:val="21"/>
  </w:num>
  <w:num w:numId="57" w16cid:durableId="942423393">
    <w:abstractNumId w:val="9"/>
  </w:num>
  <w:num w:numId="58" w16cid:durableId="401375010">
    <w:abstractNumId w:val="7"/>
  </w:num>
  <w:num w:numId="59" w16cid:durableId="1489860395">
    <w:abstractNumId w:val="6"/>
  </w:num>
  <w:num w:numId="60" w16cid:durableId="1914313486">
    <w:abstractNumId w:val="5"/>
  </w:num>
  <w:num w:numId="61" w16cid:durableId="1249851380">
    <w:abstractNumId w:val="4"/>
  </w:num>
  <w:num w:numId="62" w16cid:durableId="1216161234">
    <w:abstractNumId w:val="2"/>
  </w:num>
  <w:num w:numId="63" w16cid:durableId="887911737">
    <w:abstractNumId w:val="1"/>
  </w:num>
  <w:num w:numId="64" w16cid:durableId="175231203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F58"/>
    <w:rsid w:val="000002B2"/>
    <w:rsid w:val="00000FD3"/>
    <w:rsid w:val="0000107C"/>
    <w:rsid w:val="000033EC"/>
    <w:rsid w:val="000035B4"/>
    <w:rsid w:val="00003D3C"/>
    <w:rsid w:val="000048CD"/>
    <w:rsid w:val="00005E3B"/>
    <w:rsid w:val="000061E8"/>
    <w:rsid w:val="00006BDB"/>
    <w:rsid w:val="00012B80"/>
    <w:rsid w:val="00014606"/>
    <w:rsid w:val="00015E9B"/>
    <w:rsid w:val="00016985"/>
    <w:rsid w:val="00021EC4"/>
    <w:rsid w:val="000230BA"/>
    <w:rsid w:val="00024A07"/>
    <w:rsid w:val="00025735"/>
    <w:rsid w:val="00025787"/>
    <w:rsid w:val="000258D7"/>
    <w:rsid w:val="00025FA1"/>
    <w:rsid w:val="0002674E"/>
    <w:rsid w:val="00027F4D"/>
    <w:rsid w:val="00031433"/>
    <w:rsid w:val="00031E67"/>
    <w:rsid w:val="00032016"/>
    <w:rsid w:val="00032B9B"/>
    <w:rsid w:val="0003547E"/>
    <w:rsid w:val="000357D8"/>
    <w:rsid w:val="0003580D"/>
    <w:rsid w:val="00035BE6"/>
    <w:rsid w:val="000361F6"/>
    <w:rsid w:val="000367DA"/>
    <w:rsid w:val="00036897"/>
    <w:rsid w:val="00040CA7"/>
    <w:rsid w:val="00041B0C"/>
    <w:rsid w:val="00041DB8"/>
    <w:rsid w:val="0004320D"/>
    <w:rsid w:val="00043E5D"/>
    <w:rsid w:val="000445BC"/>
    <w:rsid w:val="000447D1"/>
    <w:rsid w:val="00044F9C"/>
    <w:rsid w:val="00046E11"/>
    <w:rsid w:val="000472D3"/>
    <w:rsid w:val="00050A0E"/>
    <w:rsid w:val="000510D1"/>
    <w:rsid w:val="00051A03"/>
    <w:rsid w:val="00051A58"/>
    <w:rsid w:val="00052DD4"/>
    <w:rsid w:val="00052DDF"/>
    <w:rsid w:val="00053216"/>
    <w:rsid w:val="00053607"/>
    <w:rsid w:val="00056A9B"/>
    <w:rsid w:val="00056AAE"/>
    <w:rsid w:val="00057044"/>
    <w:rsid w:val="00057D39"/>
    <w:rsid w:val="000605F2"/>
    <w:rsid w:val="00060D12"/>
    <w:rsid w:val="000614A7"/>
    <w:rsid w:val="00062084"/>
    <w:rsid w:val="0006230B"/>
    <w:rsid w:val="00063C4B"/>
    <w:rsid w:val="00063CDB"/>
    <w:rsid w:val="00064B3E"/>
    <w:rsid w:val="00065B1A"/>
    <w:rsid w:val="00070FBE"/>
    <w:rsid w:val="000727FC"/>
    <w:rsid w:val="000729B9"/>
    <w:rsid w:val="0007315F"/>
    <w:rsid w:val="0007337D"/>
    <w:rsid w:val="00076778"/>
    <w:rsid w:val="00077A8E"/>
    <w:rsid w:val="00080B58"/>
    <w:rsid w:val="000811A3"/>
    <w:rsid w:val="00081798"/>
    <w:rsid w:val="000826FC"/>
    <w:rsid w:val="00082B1E"/>
    <w:rsid w:val="00083339"/>
    <w:rsid w:val="000855CB"/>
    <w:rsid w:val="000856A3"/>
    <w:rsid w:val="00087185"/>
    <w:rsid w:val="00090666"/>
    <w:rsid w:val="00090746"/>
    <w:rsid w:val="000910E2"/>
    <w:rsid w:val="00091C62"/>
    <w:rsid w:val="0009205F"/>
    <w:rsid w:val="00092F04"/>
    <w:rsid w:val="00093B3E"/>
    <w:rsid w:val="0009593A"/>
    <w:rsid w:val="00097900"/>
    <w:rsid w:val="00097A07"/>
    <w:rsid w:val="000A0342"/>
    <w:rsid w:val="000A0FF5"/>
    <w:rsid w:val="000A1A63"/>
    <w:rsid w:val="000A41DE"/>
    <w:rsid w:val="000A46E6"/>
    <w:rsid w:val="000A4EBD"/>
    <w:rsid w:val="000A6DF7"/>
    <w:rsid w:val="000B0BE1"/>
    <w:rsid w:val="000B1BE6"/>
    <w:rsid w:val="000B2241"/>
    <w:rsid w:val="000B2C35"/>
    <w:rsid w:val="000B49DD"/>
    <w:rsid w:val="000B4CDB"/>
    <w:rsid w:val="000B545D"/>
    <w:rsid w:val="000B5E2C"/>
    <w:rsid w:val="000B79C5"/>
    <w:rsid w:val="000C035E"/>
    <w:rsid w:val="000C0F98"/>
    <w:rsid w:val="000C16AB"/>
    <w:rsid w:val="000C1710"/>
    <w:rsid w:val="000C1CFA"/>
    <w:rsid w:val="000C2F67"/>
    <w:rsid w:val="000C45F7"/>
    <w:rsid w:val="000C60DB"/>
    <w:rsid w:val="000C63FD"/>
    <w:rsid w:val="000C6777"/>
    <w:rsid w:val="000C6946"/>
    <w:rsid w:val="000C7D90"/>
    <w:rsid w:val="000D02FF"/>
    <w:rsid w:val="000D04E9"/>
    <w:rsid w:val="000D05B7"/>
    <w:rsid w:val="000D1044"/>
    <w:rsid w:val="000D10E0"/>
    <w:rsid w:val="000D23CE"/>
    <w:rsid w:val="000D3021"/>
    <w:rsid w:val="000D34C9"/>
    <w:rsid w:val="000D3585"/>
    <w:rsid w:val="000D4419"/>
    <w:rsid w:val="000D764E"/>
    <w:rsid w:val="000E037E"/>
    <w:rsid w:val="000E0E42"/>
    <w:rsid w:val="000E11EC"/>
    <w:rsid w:val="000E130D"/>
    <w:rsid w:val="000E1618"/>
    <w:rsid w:val="000E245E"/>
    <w:rsid w:val="000E3A9E"/>
    <w:rsid w:val="000F1583"/>
    <w:rsid w:val="000F1ED7"/>
    <w:rsid w:val="000F447C"/>
    <w:rsid w:val="000F51EA"/>
    <w:rsid w:val="000F53B0"/>
    <w:rsid w:val="000F57F2"/>
    <w:rsid w:val="000F6530"/>
    <w:rsid w:val="000F6C42"/>
    <w:rsid w:val="000F6F21"/>
    <w:rsid w:val="000F77C6"/>
    <w:rsid w:val="00100816"/>
    <w:rsid w:val="00101AD3"/>
    <w:rsid w:val="0010360D"/>
    <w:rsid w:val="00104EC8"/>
    <w:rsid w:val="00105CE3"/>
    <w:rsid w:val="001062E1"/>
    <w:rsid w:val="0010716C"/>
    <w:rsid w:val="001073EC"/>
    <w:rsid w:val="001100DF"/>
    <w:rsid w:val="00110212"/>
    <w:rsid w:val="00110693"/>
    <w:rsid w:val="00110CAD"/>
    <w:rsid w:val="00111B3F"/>
    <w:rsid w:val="0011259E"/>
    <w:rsid w:val="00115C6D"/>
    <w:rsid w:val="001164D1"/>
    <w:rsid w:val="00117456"/>
    <w:rsid w:val="00122D49"/>
    <w:rsid w:val="00123B51"/>
    <w:rsid w:val="00124D1B"/>
    <w:rsid w:val="00126A89"/>
    <w:rsid w:val="00126F8E"/>
    <w:rsid w:val="001276D2"/>
    <w:rsid w:val="00134870"/>
    <w:rsid w:val="00134D37"/>
    <w:rsid w:val="00134DFD"/>
    <w:rsid w:val="001353A2"/>
    <w:rsid w:val="0013630F"/>
    <w:rsid w:val="001364AB"/>
    <w:rsid w:val="00136B95"/>
    <w:rsid w:val="001417B8"/>
    <w:rsid w:val="00142E72"/>
    <w:rsid w:val="001439D6"/>
    <w:rsid w:val="00144372"/>
    <w:rsid w:val="0014612E"/>
    <w:rsid w:val="00146A2C"/>
    <w:rsid w:val="00146C19"/>
    <w:rsid w:val="0014713A"/>
    <w:rsid w:val="001503BF"/>
    <w:rsid w:val="00150719"/>
    <w:rsid w:val="00150A79"/>
    <w:rsid w:val="00150B3E"/>
    <w:rsid w:val="001516DC"/>
    <w:rsid w:val="001531B5"/>
    <w:rsid w:val="0015331C"/>
    <w:rsid w:val="0015335A"/>
    <w:rsid w:val="00153398"/>
    <w:rsid w:val="00153E2E"/>
    <w:rsid w:val="00153FE1"/>
    <w:rsid w:val="00154095"/>
    <w:rsid w:val="0015425B"/>
    <w:rsid w:val="00154588"/>
    <w:rsid w:val="00155D95"/>
    <w:rsid w:val="00160237"/>
    <w:rsid w:val="00160FFE"/>
    <w:rsid w:val="00161656"/>
    <w:rsid w:val="00161FF1"/>
    <w:rsid w:val="00162228"/>
    <w:rsid w:val="001622DB"/>
    <w:rsid w:val="00164011"/>
    <w:rsid w:val="001668B7"/>
    <w:rsid w:val="00166E6D"/>
    <w:rsid w:val="001677D6"/>
    <w:rsid w:val="00170ACD"/>
    <w:rsid w:val="001725D5"/>
    <w:rsid w:val="00172E10"/>
    <w:rsid w:val="00172F3D"/>
    <w:rsid w:val="00174009"/>
    <w:rsid w:val="0017447B"/>
    <w:rsid w:val="00174919"/>
    <w:rsid w:val="00175D25"/>
    <w:rsid w:val="001762A4"/>
    <w:rsid w:val="001811D9"/>
    <w:rsid w:val="001820FE"/>
    <w:rsid w:val="001821C9"/>
    <w:rsid w:val="00182428"/>
    <w:rsid w:val="00182639"/>
    <w:rsid w:val="0018277C"/>
    <w:rsid w:val="0018485F"/>
    <w:rsid w:val="0018502E"/>
    <w:rsid w:val="001850EF"/>
    <w:rsid w:val="001858AE"/>
    <w:rsid w:val="001865F4"/>
    <w:rsid w:val="00186E14"/>
    <w:rsid w:val="00187E9F"/>
    <w:rsid w:val="00191AFE"/>
    <w:rsid w:val="00191D19"/>
    <w:rsid w:val="00192360"/>
    <w:rsid w:val="00192F50"/>
    <w:rsid w:val="001963D0"/>
    <w:rsid w:val="00196662"/>
    <w:rsid w:val="001968ED"/>
    <w:rsid w:val="00196C7D"/>
    <w:rsid w:val="00196D9F"/>
    <w:rsid w:val="00197968"/>
    <w:rsid w:val="00197AC5"/>
    <w:rsid w:val="001A18CC"/>
    <w:rsid w:val="001A3532"/>
    <w:rsid w:val="001A3E31"/>
    <w:rsid w:val="001A5882"/>
    <w:rsid w:val="001A6156"/>
    <w:rsid w:val="001B0CE4"/>
    <w:rsid w:val="001B11E0"/>
    <w:rsid w:val="001B137D"/>
    <w:rsid w:val="001B26AC"/>
    <w:rsid w:val="001B2E66"/>
    <w:rsid w:val="001B32C9"/>
    <w:rsid w:val="001B3E28"/>
    <w:rsid w:val="001B5219"/>
    <w:rsid w:val="001B5ACB"/>
    <w:rsid w:val="001B5F05"/>
    <w:rsid w:val="001B60E9"/>
    <w:rsid w:val="001B798E"/>
    <w:rsid w:val="001B7A61"/>
    <w:rsid w:val="001C0AB3"/>
    <w:rsid w:val="001C121F"/>
    <w:rsid w:val="001C1508"/>
    <w:rsid w:val="001C1D55"/>
    <w:rsid w:val="001C1E80"/>
    <w:rsid w:val="001C3F0C"/>
    <w:rsid w:val="001C4DD0"/>
    <w:rsid w:val="001C4F9D"/>
    <w:rsid w:val="001C5973"/>
    <w:rsid w:val="001C643B"/>
    <w:rsid w:val="001C7A05"/>
    <w:rsid w:val="001C7D58"/>
    <w:rsid w:val="001D0750"/>
    <w:rsid w:val="001D0CF7"/>
    <w:rsid w:val="001D437E"/>
    <w:rsid w:val="001D6159"/>
    <w:rsid w:val="001D6A39"/>
    <w:rsid w:val="001D6AE2"/>
    <w:rsid w:val="001D6BA6"/>
    <w:rsid w:val="001D71C7"/>
    <w:rsid w:val="001E000C"/>
    <w:rsid w:val="001E0DF5"/>
    <w:rsid w:val="001E34B6"/>
    <w:rsid w:val="001E507B"/>
    <w:rsid w:val="001E535D"/>
    <w:rsid w:val="001E6C61"/>
    <w:rsid w:val="001E7170"/>
    <w:rsid w:val="001E753E"/>
    <w:rsid w:val="001F04C3"/>
    <w:rsid w:val="001F0514"/>
    <w:rsid w:val="001F15F8"/>
    <w:rsid w:val="001F1AEA"/>
    <w:rsid w:val="001F2DD9"/>
    <w:rsid w:val="001F3551"/>
    <w:rsid w:val="001F359F"/>
    <w:rsid w:val="001F4057"/>
    <w:rsid w:val="001F570B"/>
    <w:rsid w:val="001F5E89"/>
    <w:rsid w:val="001F6057"/>
    <w:rsid w:val="001F6254"/>
    <w:rsid w:val="001F6D54"/>
    <w:rsid w:val="001F70DC"/>
    <w:rsid w:val="001F74E2"/>
    <w:rsid w:val="00201271"/>
    <w:rsid w:val="00202001"/>
    <w:rsid w:val="00202914"/>
    <w:rsid w:val="00203EC7"/>
    <w:rsid w:val="00203F18"/>
    <w:rsid w:val="002042A0"/>
    <w:rsid w:val="0020446C"/>
    <w:rsid w:val="002052C4"/>
    <w:rsid w:val="00205663"/>
    <w:rsid w:val="00205DEE"/>
    <w:rsid w:val="0021000E"/>
    <w:rsid w:val="002100AA"/>
    <w:rsid w:val="0021196E"/>
    <w:rsid w:val="00211A3C"/>
    <w:rsid w:val="002128EB"/>
    <w:rsid w:val="00212D03"/>
    <w:rsid w:val="00212E87"/>
    <w:rsid w:val="002131B4"/>
    <w:rsid w:val="00213DA1"/>
    <w:rsid w:val="00213F25"/>
    <w:rsid w:val="00216016"/>
    <w:rsid w:val="002174A0"/>
    <w:rsid w:val="00217840"/>
    <w:rsid w:val="002179F2"/>
    <w:rsid w:val="00217D9B"/>
    <w:rsid w:val="00221327"/>
    <w:rsid w:val="002219EC"/>
    <w:rsid w:val="00222EE4"/>
    <w:rsid w:val="00223CDD"/>
    <w:rsid w:val="00225412"/>
    <w:rsid w:val="00225434"/>
    <w:rsid w:val="00225A8E"/>
    <w:rsid w:val="00226304"/>
    <w:rsid w:val="0022725D"/>
    <w:rsid w:val="00232C37"/>
    <w:rsid w:val="0023367C"/>
    <w:rsid w:val="002359A8"/>
    <w:rsid w:val="0024178B"/>
    <w:rsid w:val="002426CE"/>
    <w:rsid w:val="002429FB"/>
    <w:rsid w:val="00242EC2"/>
    <w:rsid w:val="002434E8"/>
    <w:rsid w:val="0024360C"/>
    <w:rsid w:val="0024422A"/>
    <w:rsid w:val="00247B10"/>
    <w:rsid w:val="00247EAE"/>
    <w:rsid w:val="00250944"/>
    <w:rsid w:val="00250ADD"/>
    <w:rsid w:val="00252651"/>
    <w:rsid w:val="002527FE"/>
    <w:rsid w:val="0025360F"/>
    <w:rsid w:val="002606B4"/>
    <w:rsid w:val="002607F6"/>
    <w:rsid w:val="00260DB7"/>
    <w:rsid w:val="00261486"/>
    <w:rsid w:val="00262AA3"/>
    <w:rsid w:val="00262F1C"/>
    <w:rsid w:val="00263DB1"/>
    <w:rsid w:val="0026581A"/>
    <w:rsid w:val="00265B22"/>
    <w:rsid w:val="002666BD"/>
    <w:rsid w:val="00266BDD"/>
    <w:rsid w:val="00267502"/>
    <w:rsid w:val="00272081"/>
    <w:rsid w:val="002735D4"/>
    <w:rsid w:val="00273ECC"/>
    <w:rsid w:val="00273ED9"/>
    <w:rsid w:val="0027449B"/>
    <w:rsid w:val="00275094"/>
    <w:rsid w:val="00275A5E"/>
    <w:rsid w:val="00276049"/>
    <w:rsid w:val="002761CF"/>
    <w:rsid w:val="00276ACE"/>
    <w:rsid w:val="00280037"/>
    <w:rsid w:val="00282836"/>
    <w:rsid w:val="00284F95"/>
    <w:rsid w:val="002854D2"/>
    <w:rsid w:val="0028557C"/>
    <w:rsid w:val="0028592F"/>
    <w:rsid w:val="002859CD"/>
    <w:rsid w:val="002867BC"/>
    <w:rsid w:val="002869E8"/>
    <w:rsid w:val="00287B8E"/>
    <w:rsid w:val="00290DCF"/>
    <w:rsid w:val="002915AD"/>
    <w:rsid w:val="0029221A"/>
    <w:rsid w:val="00296B1A"/>
    <w:rsid w:val="00296CA4"/>
    <w:rsid w:val="002975E6"/>
    <w:rsid w:val="00297F17"/>
    <w:rsid w:val="002A006B"/>
    <w:rsid w:val="002A0072"/>
    <w:rsid w:val="002A2358"/>
    <w:rsid w:val="002A2D83"/>
    <w:rsid w:val="002A31BF"/>
    <w:rsid w:val="002A41DE"/>
    <w:rsid w:val="002A5B34"/>
    <w:rsid w:val="002A79D9"/>
    <w:rsid w:val="002A7F13"/>
    <w:rsid w:val="002B13FF"/>
    <w:rsid w:val="002B2CB9"/>
    <w:rsid w:val="002B727C"/>
    <w:rsid w:val="002C12D3"/>
    <w:rsid w:val="002C1784"/>
    <w:rsid w:val="002C416A"/>
    <w:rsid w:val="002C5378"/>
    <w:rsid w:val="002C6972"/>
    <w:rsid w:val="002D05E9"/>
    <w:rsid w:val="002D07D8"/>
    <w:rsid w:val="002D0A70"/>
    <w:rsid w:val="002D0DDB"/>
    <w:rsid w:val="002D122F"/>
    <w:rsid w:val="002D169E"/>
    <w:rsid w:val="002D1985"/>
    <w:rsid w:val="002D2614"/>
    <w:rsid w:val="002D2844"/>
    <w:rsid w:val="002D4D43"/>
    <w:rsid w:val="002E0652"/>
    <w:rsid w:val="002E0C93"/>
    <w:rsid w:val="002E1119"/>
    <w:rsid w:val="002E1EE6"/>
    <w:rsid w:val="002E22EA"/>
    <w:rsid w:val="002E2CE6"/>
    <w:rsid w:val="002E2FEB"/>
    <w:rsid w:val="002E31C8"/>
    <w:rsid w:val="002E4035"/>
    <w:rsid w:val="002E47FE"/>
    <w:rsid w:val="002E4F7D"/>
    <w:rsid w:val="002E620A"/>
    <w:rsid w:val="002E66A0"/>
    <w:rsid w:val="002E6923"/>
    <w:rsid w:val="002E6BA6"/>
    <w:rsid w:val="002E77A9"/>
    <w:rsid w:val="002F0CE8"/>
    <w:rsid w:val="002F1BBC"/>
    <w:rsid w:val="002F1D85"/>
    <w:rsid w:val="002F1FB1"/>
    <w:rsid w:val="002F393F"/>
    <w:rsid w:val="002F4093"/>
    <w:rsid w:val="002F4517"/>
    <w:rsid w:val="002F5F1E"/>
    <w:rsid w:val="002F6638"/>
    <w:rsid w:val="002F6A26"/>
    <w:rsid w:val="0030122C"/>
    <w:rsid w:val="00302C71"/>
    <w:rsid w:val="00304B3F"/>
    <w:rsid w:val="00304DD7"/>
    <w:rsid w:val="003074F3"/>
    <w:rsid w:val="003104F2"/>
    <w:rsid w:val="003113DF"/>
    <w:rsid w:val="003119ED"/>
    <w:rsid w:val="00311B4E"/>
    <w:rsid w:val="003132AE"/>
    <w:rsid w:val="00316439"/>
    <w:rsid w:val="0031645A"/>
    <w:rsid w:val="00317011"/>
    <w:rsid w:val="00320465"/>
    <w:rsid w:val="00321CA2"/>
    <w:rsid w:val="00322033"/>
    <w:rsid w:val="0032268E"/>
    <w:rsid w:val="00322AEC"/>
    <w:rsid w:val="00322D6B"/>
    <w:rsid w:val="00322E91"/>
    <w:rsid w:val="0032680D"/>
    <w:rsid w:val="00327643"/>
    <w:rsid w:val="003279CE"/>
    <w:rsid w:val="00331FB8"/>
    <w:rsid w:val="003322BE"/>
    <w:rsid w:val="00333487"/>
    <w:rsid w:val="003335D0"/>
    <w:rsid w:val="00333634"/>
    <w:rsid w:val="00333ABA"/>
    <w:rsid w:val="003344A7"/>
    <w:rsid w:val="003350DD"/>
    <w:rsid w:val="003352C0"/>
    <w:rsid w:val="003352EC"/>
    <w:rsid w:val="00335312"/>
    <w:rsid w:val="00336452"/>
    <w:rsid w:val="00336539"/>
    <w:rsid w:val="00336DC8"/>
    <w:rsid w:val="00337650"/>
    <w:rsid w:val="00337FC5"/>
    <w:rsid w:val="00340041"/>
    <w:rsid w:val="0034083A"/>
    <w:rsid w:val="0034261A"/>
    <w:rsid w:val="003432CB"/>
    <w:rsid w:val="00343855"/>
    <w:rsid w:val="00343D3F"/>
    <w:rsid w:val="0034467C"/>
    <w:rsid w:val="00344750"/>
    <w:rsid w:val="0034546F"/>
    <w:rsid w:val="00345D79"/>
    <w:rsid w:val="00345E82"/>
    <w:rsid w:val="0034623D"/>
    <w:rsid w:val="003465B2"/>
    <w:rsid w:val="00346A42"/>
    <w:rsid w:val="003508C3"/>
    <w:rsid w:val="00350D32"/>
    <w:rsid w:val="00351C34"/>
    <w:rsid w:val="00353DC0"/>
    <w:rsid w:val="00354613"/>
    <w:rsid w:val="00355F09"/>
    <w:rsid w:val="003571AD"/>
    <w:rsid w:val="00360994"/>
    <w:rsid w:val="00360D50"/>
    <w:rsid w:val="00361585"/>
    <w:rsid w:val="0036220A"/>
    <w:rsid w:val="003623E3"/>
    <w:rsid w:val="00362578"/>
    <w:rsid w:val="003627A3"/>
    <w:rsid w:val="003647B2"/>
    <w:rsid w:val="00364A9E"/>
    <w:rsid w:val="00364E66"/>
    <w:rsid w:val="003668CC"/>
    <w:rsid w:val="00366CF0"/>
    <w:rsid w:val="00367074"/>
    <w:rsid w:val="00375968"/>
    <w:rsid w:val="0037734A"/>
    <w:rsid w:val="003773D8"/>
    <w:rsid w:val="00377595"/>
    <w:rsid w:val="00377A91"/>
    <w:rsid w:val="00377C2F"/>
    <w:rsid w:val="003803A7"/>
    <w:rsid w:val="00380502"/>
    <w:rsid w:val="00380E6E"/>
    <w:rsid w:val="00380FA3"/>
    <w:rsid w:val="00382DD5"/>
    <w:rsid w:val="003834E1"/>
    <w:rsid w:val="00384210"/>
    <w:rsid w:val="003849F7"/>
    <w:rsid w:val="003856E5"/>
    <w:rsid w:val="0038772F"/>
    <w:rsid w:val="003879AD"/>
    <w:rsid w:val="00387B45"/>
    <w:rsid w:val="00387DDF"/>
    <w:rsid w:val="00390F9A"/>
    <w:rsid w:val="0039124E"/>
    <w:rsid w:val="00391379"/>
    <w:rsid w:val="00391C99"/>
    <w:rsid w:val="00391CE2"/>
    <w:rsid w:val="003923D3"/>
    <w:rsid w:val="00392584"/>
    <w:rsid w:val="00393A77"/>
    <w:rsid w:val="00394034"/>
    <w:rsid w:val="0039525A"/>
    <w:rsid w:val="00396202"/>
    <w:rsid w:val="003962ED"/>
    <w:rsid w:val="0039729B"/>
    <w:rsid w:val="00397BAC"/>
    <w:rsid w:val="003A1639"/>
    <w:rsid w:val="003A183D"/>
    <w:rsid w:val="003A1EEE"/>
    <w:rsid w:val="003A657E"/>
    <w:rsid w:val="003A7148"/>
    <w:rsid w:val="003A7225"/>
    <w:rsid w:val="003A7498"/>
    <w:rsid w:val="003B1D3B"/>
    <w:rsid w:val="003B2981"/>
    <w:rsid w:val="003B3FAF"/>
    <w:rsid w:val="003B4256"/>
    <w:rsid w:val="003B482A"/>
    <w:rsid w:val="003B4A6A"/>
    <w:rsid w:val="003C1006"/>
    <w:rsid w:val="003C2208"/>
    <w:rsid w:val="003C33C4"/>
    <w:rsid w:val="003C3DA6"/>
    <w:rsid w:val="003C52B4"/>
    <w:rsid w:val="003C550B"/>
    <w:rsid w:val="003C552F"/>
    <w:rsid w:val="003C5C18"/>
    <w:rsid w:val="003C62CD"/>
    <w:rsid w:val="003C689C"/>
    <w:rsid w:val="003C6D78"/>
    <w:rsid w:val="003C760B"/>
    <w:rsid w:val="003D07BE"/>
    <w:rsid w:val="003D094B"/>
    <w:rsid w:val="003D0B6C"/>
    <w:rsid w:val="003D16B7"/>
    <w:rsid w:val="003D1D44"/>
    <w:rsid w:val="003D2280"/>
    <w:rsid w:val="003D3107"/>
    <w:rsid w:val="003D3503"/>
    <w:rsid w:val="003D3604"/>
    <w:rsid w:val="003D65D1"/>
    <w:rsid w:val="003D73D8"/>
    <w:rsid w:val="003E0091"/>
    <w:rsid w:val="003E1466"/>
    <w:rsid w:val="003E177A"/>
    <w:rsid w:val="003E1ECB"/>
    <w:rsid w:val="003E1F35"/>
    <w:rsid w:val="003E3066"/>
    <w:rsid w:val="003E3864"/>
    <w:rsid w:val="003E5960"/>
    <w:rsid w:val="003E6C81"/>
    <w:rsid w:val="003E798F"/>
    <w:rsid w:val="003E7993"/>
    <w:rsid w:val="003E7C12"/>
    <w:rsid w:val="003F0CDD"/>
    <w:rsid w:val="003F0E03"/>
    <w:rsid w:val="003F11D7"/>
    <w:rsid w:val="003F2E6A"/>
    <w:rsid w:val="003F30FE"/>
    <w:rsid w:val="003F419B"/>
    <w:rsid w:val="003F4880"/>
    <w:rsid w:val="003F49B8"/>
    <w:rsid w:val="003F4B50"/>
    <w:rsid w:val="003F4F58"/>
    <w:rsid w:val="003F4F9C"/>
    <w:rsid w:val="003F5137"/>
    <w:rsid w:val="003F5352"/>
    <w:rsid w:val="003F7842"/>
    <w:rsid w:val="003F7ED0"/>
    <w:rsid w:val="0040017D"/>
    <w:rsid w:val="004005D0"/>
    <w:rsid w:val="00400AC1"/>
    <w:rsid w:val="00401807"/>
    <w:rsid w:val="00401E94"/>
    <w:rsid w:val="004020CE"/>
    <w:rsid w:val="0040411B"/>
    <w:rsid w:val="004041FD"/>
    <w:rsid w:val="004042EC"/>
    <w:rsid w:val="00404DE4"/>
    <w:rsid w:val="004055C1"/>
    <w:rsid w:val="004074F8"/>
    <w:rsid w:val="00410634"/>
    <w:rsid w:val="00410908"/>
    <w:rsid w:val="004117D7"/>
    <w:rsid w:val="004128B6"/>
    <w:rsid w:val="0041382A"/>
    <w:rsid w:val="004142DA"/>
    <w:rsid w:val="00414E5B"/>
    <w:rsid w:val="004177F3"/>
    <w:rsid w:val="00417959"/>
    <w:rsid w:val="004206ED"/>
    <w:rsid w:val="0042085F"/>
    <w:rsid w:val="00422CFE"/>
    <w:rsid w:val="00423048"/>
    <w:rsid w:val="00423539"/>
    <w:rsid w:val="0042375A"/>
    <w:rsid w:val="0042445E"/>
    <w:rsid w:val="00426372"/>
    <w:rsid w:val="0042642C"/>
    <w:rsid w:val="00426A6B"/>
    <w:rsid w:val="0043088F"/>
    <w:rsid w:val="004312E8"/>
    <w:rsid w:val="00432798"/>
    <w:rsid w:val="00432F19"/>
    <w:rsid w:val="00433101"/>
    <w:rsid w:val="004331DA"/>
    <w:rsid w:val="00433216"/>
    <w:rsid w:val="00433AAD"/>
    <w:rsid w:val="00434761"/>
    <w:rsid w:val="00435E14"/>
    <w:rsid w:val="00435FF2"/>
    <w:rsid w:val="004372FA"/>
    <w:rsid w:val="00437BAC"/>
    <w:rsid w:val="004405A2"/>
    <w:rsid w:val="004406A7"/>
    <w:rsid w:val="00442693"/>
    <w:rsid w:val="004452F0"/>
    <w:rsid w:val="00445488"/>
    <w:rsid w:val="004461B7"/>
    <w:rsid w:val="004461BC"/>
    <w:rsid w:val="00446E72"/>
    <w:rsid w:val="00447322"/>
    <w:rsid w:val="00450684"/>
    <w:rsid w:val="00450B28"/>
    <w:rsid w:val="00455C0C"/>
    <w:rsid w:val="00457EC8"/>
    <w:rsid w:val="0046187B"/>
    <w:rsid w:val="00462ED4"/>
    <w:rsid w:val="004636C1"/>
    <w:rsid w:val="00463F40"/>
    <w:rsid w:val="00464DF3"/>
    <w:rsid w:val="00465555"/>
    <w:rsid w:val="00466A71"/>
    <w:rsid w:val="00467202"/>
    <w:rsid w:val="004674DE"/>
    <w:rsid w:val="00467D10"/>
    <w:rsid w:val="00467DB7"/>
    <w:rsid w:val="00472383"/>
    <w:rsid w:val="004751EA"/>
    <w:rsid w:val="00476931"/>
    <w:rsid w:val="00477022"/>
    <w:rsid w:val="00477BA5"/>
    <w:rsid w:val="00477D2F"/>
    <w:rsid w:val="004806B5"/>
    <w:rsid w:val="0048099C"/>
    <w:rsid w:val="00481938"/>
    <w:rsid w:val="00481E80"/>
    <w:rsid w:val="0048326D"/>
    <w:rsid w:val="00484053"/>
    <w:rsid w:val="004861BB"/>
    <w:rsid w:val="00487B40"/>
    <w:rsid w:val="00487C59"/>
    <w:rsid w:val="00487F23"/>
    <w:rsid w:val="00491BEA"/>
    <w:rsid w:val="00493154"/>
    <w:rsid w:val="0049339F"/>
    <w:rsid w:val="004938FC"/>
    <w:rsid w:val="00493B1D"/>
    <w:rsid w:val="004970D8"/>
    <w:rsid w:val="0049724C"/>
    <w:rsid w:val="00497DF2"/>
    <w:rsid w:val="004A0600"/>
    <w:rsid w:val="004A07E5"/>
    <w:rsid w:val="004A1094"/>
    <w:rsid w:val="004A114E"/>
    <w:rsid w:val="004A13AD"/>
    <w:rsid w:val="004A153D"/>
    <w:rsid w:val="004A1766"/>
    <w:rsid w:val="004A3039"/>
    <w:rsid w:val="004A3529"/>
    <w:rsid w:val="004A3577"/>
    <w:rsid w:val="004A37A6"/>
    <w:rsid w:val="004A409E"/>
    <w:rsid w:val="004A4FD3"/>
    <w:rsid w:val="004A6D66"/>
    <w:rsid w:val="004B0871"/>
    <w:rsid w:val="004B2A37"/>
    <w:rsid w:val="004B32D3"/>
    <w:rsid w:val="004B3FB8"/>
    <w:rsid w:val="004B4E79"/>
    <w:rsid w:val="004B6905"/>
    <w:rsid w:val="004B6F7E"/>
    <w:rsid w:val="004B7F88"/>
    <w:rsid w:val="004B7FA9"/>
    <w:rsid w:val="004C0197"/>
    <w:rsid w:val="004C0960"/>
    <w:rsid w:val="004C2773"/>
    <w:rsid w:val="004C2A2E"/>
    <w:rsid w:val="004C37F0"/>
    <w:rsid w:val="004C3D34"/>
    <w:rsid w:val="004C43D0"/>
    <w:rsid w:val="004C5D51"/>
    <w:rsid w:val="004C6C6B"/>
    <w:rsid w:val="004C756B"/>
    <w:rsid w:val="004D040B"/>
    <w:rsid w:val="004D07AA"/>
    <w:rsid w:val="004D27CA"/>
    <w:rsid w:val="004D2DC0"/>
    <w:rsid w:val="004D4921"/>
    <w:rsid w:val="004D559C"/>
    <w:rsid w:val="004D5AFD"/>
    <w:rsid w:val="004D6246"/>
    <w:rsid w:val="004D78A8"/>
    <w:rsid w:val="004E0420"/>
    <w:rsid w:val="004E0CAB"/>
    <w:rsid w:val="004E1B54"/>
    <w:rsid w:val="004E2516"/>
    <w:rsid w:val="004E2645"/>
    <w:rsid w:val="004E2CB7"/>
    <w:rsid w:val="004E40B0"/>
    <w:rsid w:val="004E4BEF"/>
    <w:rsid w:val="004E51B4"/>
    <w:rsid w:val="004E7653"/>
    <w:rsid w:val="004F0262"/>
    <w:rsid w:val="004F0612"/>
    <w:rsid w:val="004F0A2C"/>
    <w:rsid w:val="004F3135"/>
    <w:rsid w:val="004F3145"/>
    <w:rsid w:val="004F4050"/>
    <w:rsid w:val="004F59C9"/>
    <w:rsid w:val="004F5AA4"/>
    <w:rsid w:val="004F5E6D"/>
    <w:rsid w:val="004F6734"/>
    <w:rsid w:val="0050059B"/>
    <w:rsid w:val="00500765"/>
    <w:rsid w:val="005015C5"/>
    <w:rsid w:val="005025B1"/>
    <w:rsid w:val="005028EC"/>
    <w:rsid w:val="00502CEF"/>
    <w:rsid w:val="00503A74"/>
    <w:rsid w:val="00503E5D"/>
    <w:rsid w:val="0050544E"/>
    <w:rsid w:val="00505A10"/>
    <w:rsid w:val="005069E7"/>
    <w:rsid w:val="0050751E"/>
    <w:rsid w:val="00507E12"/>
    <w:rsid w:val="005104BC"/>
    <w:rsid w:val="00510AC2"/>
    <w:rsid w:val="005137E0"/>
    <w:rsid w:val="005138E2"/>
    <w:rsid w:val="00515A5F"/>
    <w:rsid w:val="005162CE"/>
    <w:rsid w:val="00516D08"/>
    <w:rsid w:val="00517777"/>
    <w:rsid w:val="00520355"/>
    <w:rsid w:val="00520953"/>
    <w:rsid w:val="0052175E"/>
    <w:rsid w:val="00521A57"/>
    <w:rsid w:val="00521F72"/>
    <w:rsid w:val="005244B6"/>
    <w:rsid w:val="00525853"/>
    <w:rsid w:val="00525E52"/>
    <w:rsid w:val="00526780"/>
    <w:rsid w:val="005311DD"/>
    <w:rsid w:val="00532214"/>
    <w:rsid w:val="0053257C"/>
    <w:rsid w:val="00533549"/>
    <w:rsid w:val="00533AD2"/>
    <w:rsid w:val="00534F5A"/>
    <w:rsid w:val="005354BB"/>
    <w:rsid w:val="0053613B"/>
    <w:rsid w:val="00537A62"/>
    <w:rsid w:val="00541C11"/>
    <w:rsid w:val="00541EC5"/>
    <w:rsid w:val="00544066"/>
    <w:rsid w:val="005446EA"/>
    <w:rsid w:val="00546275"/>
    <w:rsid w:val="00546350"/>
    <w:rsid w:val="005464A7"/>
    <w:rsid w:val="00550034"/>
    <w:rsid w:val="00550A10"/>
    <w:rsid w:val="00551199"/>
    <w:rsid w:val="0055144A"/>
    <w:rsid w:val="005517B5"/>
    <w:rsid w:val="00551A70"/>
    <w:rsid w:val="00551DB2"/>
    <w:rsid w:val="0055309A"/>
    <w:rsid w:val="005530AF"/>
    <w:rsid w:val="00553F84"/>
    <w:rsid w:val="005549B9"/>
    <w:rsid w:val="0055535A"/>
    <w:rsid w:val="005559E6"/>
    <w:rsid w:val="00557CF8"/>
    <w:rsid w:val="00560836"/>
    <w:rsid w:val="00560A03"/>
    <w:rsid w:val="00561656"/>
    <w:rsid w:val="005624F0"/>
    <w:rsid w:val="00563647"/>
    <w:rsid w:val="00564CA7"/>
    <w:rsid w:val="00565D11"/>
    <w:rsid w:val="00566CF1"/>
    <w:rsid w:val="00566D40"/>
    <w:rsid w:val="00567997"/>
    <w:rsid w:val="00570BF0"/>
    <w:rsid w:val="00571015"/>
    <w:rsid w:val="00571549"/>
    <w:rsid w:val="005718F0"/>
    <w:rsid w:val="00572F16"/>
    <w:rsid w:val="00574B98"/>
    <w:rsid w:val="005758BF"/>
    <w:rsid w:val="00576A90"/>
    <w:rsid w:val="00576AEE"/>
    <w:rsid w:val="00577081"/>
    <w:rsid w:val="00577128"/>
    <w:rsid w:val="0057727F"/>
    <w:rsid w:val="00577747"/>
    <w:rsid w:val="0057779E"/>
    <w:rsid w:val="00581946"/>
    <w:rsid w:val="005820F6"/>
    <w:rsid w:val="00582C47"/>
    <w:rsid w:val="00583255"/>
    <w:rsid w:val="005834D7"/>
    <w:rsid w:val="005841C3"/>
    <w:rsid w:val="00585A2C"/>
    <w:rsid w:val="005866AC"/>
    <w:rsid w:val="00587450"/>
    <w:rsid w:val="00590CDF"/>
    <w:rsid w:val="00591C74"/>
    <w:rsid w:val="005926FA"/>
    <w:rsid w:val="00592C8B"/>
    <w:rsid w:val="00594915"/>
    <w:rsid w:val="00594CF2"/>
    <w:rsid w:val="00596F05"/>
    <w:rsid w:val="005A106C"/>
    <w:rsid w:val="005A154D"/>
    <w:rsid w:val="005A1716"/>
    <w:rsid w:val="005A306F"/>
    <w:rsid w:val="005A33BA"/>
    <w:rsid w:val="005A34D4"/>
    <w:rsid w:val="005A55E8"/>
    <w:rsid w:val="005A5603"/>
    <w:rsid w:val="005A656D"/>
    <w:rsid w:val="005B02E7"/>
    <w:rsid w:val="005B0798"/>
    <w:rsid w:val="005B1617"/>
    <w:rsid w:val="005B359A"/>
    <w:rsid w:val="005B50FF"/>
    <w:rsid w:val="005B5FAC"/>
    <w:rsid w:val="005B67DB"/>
    <w:rsid w:val="005B6CBB"/>
    <w:rsid w:val="005B7C82"/>
    <w:rsid w:val="005B7DD3"/>
    <w:rsid w:val="005C0C56"/>
    <w:rsid w:val="005C1653"/>
    <w:rsid w:val="005C16E8"/>
    <w:rsid w:val="005C17BE"/>
    <w:rsid w:val="005C2429"/>
    <w:rsid w:val="005C26AD"/>
    <w:rsid w:val="005C2966"/>
    <w:rsid w:val="005C2F1B"/>
    <w:rsid w:val="005C4149"/>
    <w:rsid w:val="005C4911"/>
    <w:rsid w:val="005C4C7E"/>
    <w:rsid w:val="005C59C5"/>
    <w:rsid w:val="005C5FEF"/>
    <w:rsid w:val="005C6815"/>
    <w:rsid w:val="005D0844"/>
    <w:rsid w:val="005D12D4"/>
    <w:rsid w:val="005D178F"/>
    <w:rsid w:val="005D23B7"/>
    <w:rsid w:val="005D2C56"/>
    <w:rsid w:val="005D38CF"/>
    <w:rsid w:val="005D402E"/>
    <w:rsid w:val="005D435E"/>
    <w:rsid w:val="005D6929"/>
    <w:rsid w:val="005E1D40"/>
    <w:rsid w:val="005E1DB1"/>
    <w:rsid w:val="005E254D"/>
    <w:rsid w:val="005E2DB3"/>
    <w:rsid w:val="005E349F"/>
    <w:rsid w:val="005E4F85"/>
    <w:rsid w:val="005E6CF4"/>
    <w:rsid w:val="005E716D"/>
    <w:rsid w:val="005E7E20"/>
    <w:rsid w:val="005F0BD9"/>
    <w:rsid w:val="005F0FA2"/>
    <w:rsid w:val="005F17F1"/>
    <w:rsid w:val="005F1CF3"/>
    <w:rsid w:val="005F48C8"/>
    <w:rsid w:val="005F4AE2"/>
    <w:rsid w:val="005F4B9C"/>
    <w:rsid w:val="005F4E2F"/>
    <w:rsid w:val="005F6E58"/>
    <w:rsid w:val="005F7BAD"/>
    <w:rsid w:val="005F7F01"/>
    <w:rsid w:val="00601381"/>
    <w:rsid w:val="006016F4"/>
    <w:rsid w:val="006019A0"/>
    <w:rsid w:val="00601CC9"/>
    <w:rsid w:val="00601E73"/>
    <w:rsid w:val="00602A37"/>
    <w:rsid w:val="00604259"/>
    <w:rsid w:val="00604D0E"/>
    <w:rsid w:val="00604E78"/>
    <w:rsid w:val="006072C6"/>
    <w:rsid w:val="00607709"/>
    <w:rsid w:val="00607F90"/>
    <w:rsid w:val="0061003E"/>
    <w:rsid w:val="0061074A"/>
    <w:rsid w:val="00610E36"/>
    <w:rsid w:val="006123AA"/>
    <w:rsid w:val="0061303C"/>
    <w:rsid w:val="00614D0F"/>
    <w:rsid w:val="00615E1D"/>
    <w:rsid w:val="00616806"/>
    <w:rsid w:val="00622042"/>
    <w:rsid w:val="00623F8E"/>
    <w:rsid w:val="00624546"/>
    <w:rsid w:val="00625C87"/>
    <w:rsid w:val="00627C54"/>
    <w:rsid w:val="00630046"/>
    <w:rsid w:val="0063228A"/>
    <w:rsid w:val="00633196"/>
    <w:rsid w:val="0063342A"/>
    <w:rsid w:val="006334DE"/>
    <w:rsid w:val="00634174"/>
    <w:rsid w:val="006347A6"/>
    <w:rsid w:val="006351CF"/>
    <w:rsid w:val="006359A8"/>
    <w:rsid w:val="00635DC2"/>
    <w:rsid w:val="00640A7C"/>
    <w:rsid w:val="006419F3"/>
    <w:rsid w:val="0064244F"/>
    <w:rsid w:val="00643061"/>
    <w:rsid w:val="006433FA"/>
    <w:rsid w:val="0064351F"/>
    <w:rsid w:val="00644C77"/>
    <w:rsid w:val="00646933"/>
    <w:rsid w:val="0064772D"/>
    <w:rsid w:val="00647857"/>
    <w:rsid w:val="006500C8"/>
    <w:rsid w:val="00650655"/>
    <w:rsid w:val="0065163D"/>
    <w:rsid w:val="00652A7D"/>
    <w:rsid w:val="00652E0C"/>
    <w:rsid w:val="00652F4E"/>
    <w:rsid w:val="00652F75"/>
    <w:rsid w:val="006536AE"/>
    <w:rsid w:val="006538E4"/>
    <w:rsid w:val="00653BED"/>
    <w:rsid w:val="0065498A"/>
    <w:rsid w:val="00654B4C"/>
    <w:rsid w:val="006552DB"/>
    <w:rsid w:val="00655999"/>
    <w:rsid w:val="0065663B"/>
    <w:rsid w:val="00656BD7"/>
    <w:rsid w:val="00656F97"/>
    <w:rsid w:val="00656FF8"/>
    <w:rsid w:val="006570B5"/>
    <w:rsid w:val="00657191"/>
    <w:rsid w:val="00657941"/>
    <w:rsid w:val="0066009C"/>
    <w:rsid w:val="006601C7"/>
    <w:rsid w:val="00660804"/>
    <w:rsid w:val="0066098C"/>
    <w:rsid w:val="00661D57"/>
    <w:rsid w:val="00662F41"/>
    <w:rsid w:val="00663103"/>
    <w:rsid w:val="00664612"/>
    <w:rsid w:val="00665679"/>
    <w:rsid w:val="006656F8"/>
    <w:rsid w:val="0066674F"/>
    <w:rsid w:val="006673AD"/>
    <w:rsid w:val="00667579"/>
    <w:rsid w:val="006675DA"/>
    <w:rsid w:val="00667909"/>
    <w:rsid w:val="00671122"/>
    <w:rsid w:val="006719A6"/>
    <w:rsid w:val="006729E5"/>
    <w:rsid w:val="00673BDA"/>
    <w:rsid w:val="00674A90"/>
    <w:rsid w:val="00675104"/>
    <w:rsid w:val="006751C4"/>
    <w:rsid w:val="00676033"/>
    <w:rsid w:val="00676D9C"/>
    <w:rsid w:val="0067750C"/>
    <w:rsid w:val="006778FD"/>
    <w:rsid w:val="0068061C"/>
    <w:rsid w:val="00681489"/>
    <w:rsid w:val="00682536"/>
    <w:rsid w:val="006828D1"/>
    <w:rsid w:val="00682CA5"/>
    <w:rsid w:val="0068305B"/>
    <w:rsid w:val="0068413A"/>
    <w:rsid w:val="0068424E"/>
    <w:rsid w:val="00684ACA"/>
    <w:rsid w:val="0068538C"/>
    <w:rsid w:val="006854C5"/>
    <w:rsid w:val="006856DF"/>
    <w:rsid w:val="0068752E"/>
    <w:rsid w:val="00690E28"/>
    <w:rsid w:val="00691388"/>
    <w:rsid w:val="00691881"/>
    <w:rsid w:val="00692396"/>
    <w:rsid w:val="00692C2B"/>
    <w:rsid w:val="00693021"/>
    <w:rsid w:val="00693550"/>
    <w:rsid w:val="00693666"/>
    <w:rsid w:val="00693CA7"/>
    <w:rsid w:val="0069465D"/>
    <w:rsid w:val="00694CAE"/>
    <w:rsid w:val="00695BCA"/>
    <w:rsid w:val="006967AE"/>
    <w:rsid w:val="00696B9B"/>
    <w:rsid w:val="00696D7D"/>
    <w:rsid w:val="00697C66"/>
    <w:rsid w:val="006A03BE"/>
    <w:rsid w:val="006A049F"/>
    <w:rsid w:val="006A18BD"/>
    <w:rsid w:val="006A2871"/>
    <w:rsid w:val="006A287D"/>
    <w:rsid w:val="006A3072"/>
    <w:rsid w:val="006A3494"/>
    <w:rsid w:val="006A3725"/>
    <w:rsid w:val="006A4AD2"/>
    <w:rsid w:val="006A5206"/>
    <w:rsid w:val="006A52EF"/>
    <w:rsid w:val="006A79D5"/>
    <w:rsid w:val="006A7C4D"/>
    <w:rsid w:val="006A7F3F"/>
    <w:rsid w:val="006B0AA0"/>
    <w:rsid w:val="006B1E06"/>
    <w:rsid w:val="006B21CE"/>
    <w:rsid w:val="006B28B3"/>
    <w:rsid w:val="006B3B85"/>
    <w:rsid w:val="006B5744"/>
    <w:rsid w:val="006B7168"/>
    <w:rsid w:val="006B71B5"/>
    <w:rsid w:val="006B7FA4"/>
    <w:rsid w:val="006C06CE"/>
    <w:rsid w:val="006C09E1"/>
    <w:rsid w:val="006C1282"/>
    <w:rsid w:val="006C1716"/>
    <w:rsid w:val="006C2607"/>
    <w:rsid w:val="006C29A6"/>
    <w:rsid w:val="006C38A4"/>
    <w:rsid w:val="006C44BE"/>
    <w:rsid w:val="006C491F"/>
    <w:rsid w:val="006C51F2"/>
    <w:rsid w:val="006C6F09"/>
    <w:rsid w:val="006C7045"/>
    <w:rsid w:val="006C73FF"/>
    <w:rsid w:val="006C7D32"/>
    <w:rsid w:val="006D2D2F"/>
    <w:rsid w:val="006D3373"/>
    <w:rsid w:val="006D47EC"/>
    <w:rsid w:val="006D617A"/>
    <w:rsid w:val="006D66D5"/>
    <w:rsid w:val="006D6812"/>
    <w:rsid w:val="006D6840"/>
    <w:rsid w:val="006D6A54"/>
    <w:rsid w:val="006D6BD2"/>
    <w:rsid w:val="006D7CD5"/>
    <w:rsid w:val="006E0BBB"/>
    <w:rsid w:val="006E0BDE"/>
    <w:rsid w:val="006E13DE"/>
    <w:rsid w:val="006E1854"/>
    <w:rsid w:val="006E1FB6"/>
    <w:rsid w:val="006E22D1"/>
    <w:rsid w:val="006E3562"/>
    <w:rsid w:val="006E3AC7"/>
    <w:rsid w:val="006E3EE0"/>
    <w:rsid w:val="006E4101"/>
    <w:rsid w:val="006E5018"/>
    <w:rsid w:val="006E58FA"/>
    <w:rsid w:val="006E6F10"/>
    <w:rsid w:val="006F00AA"/>
    <w:rsid w:val="006F0968"/>
    <w:rsid w:val="006F26C7"/>
    <w:rsid w:val="006F299D"/>
    <w:rsid w:val="006F300E"/>
    <w:rsid w:val="006F30C4"/>
    <w:rsid w:val="006F32B7"/>
    <w:rsid w:val="006F3BB1"/>
    <w:rsid w:val="006F6729"/>
    <w:rsid w:val="006F6C28"/>
    <w:rsid w:val="007001A0"/>
    <w:rsid w:val="007004F2"/>
    <w:rsid w:val="007013FB"/>
    <w:rsid w:val="00701921"/>
    <w:rsid w:val="00701A13"/>
    <w:rsid w:val="00703157"/>
    <w:rsid w:val="007032FF"/>
    <w:rsid w:val="007037E0"/>
    <w:rsid w:val="007040B6"/>
    <w:rsid w:val="007041DE"/>
    <w:rsid w:val="00704EF8"/>
    <w:rsid w:val="00705D69"/>
    <w:rsid w:val="0070607A"/>
    <w:rsid w:val="00707423"/>
    <w:rsid w:val="00707434"/>
    <w:rsid w:val="00707D8F"/>
    <w:rsid w:val="00707F18"/>
    <w:rsid w:val="007104A7"/>
    <w:rsid w:val="00711CA8"/>
    <w:rsid w:val="00711E3D"/>
    <w:rsid w:val="00711FF6"/>
    <w:rsid w:val="00712BD7"/>
    <w:rsid w:val="007132BA"/>
    <w:rsid w:val="00713B32"/>
    <w:rsid w:val="00713E9D"/>
    <w:rsid w:val="00715D75"/>
    <w:rsid w:val="00716AB0"/>
    <w:rsid w:val="00716C19"/>
    <w:rsid w:val="00717865"/>
    <w:rsid w:val="00722734"/>
    <w:rsid w:val="0072308F"/>
    <w:rsid w:val="00723975"/>
    <w:rsid w:val="007245D9"/>
    <w:rsid w:val="00724CF9"/>
    <w:rsid w:val="007266C2"/>
    <w:rsid w:val="00726BC6"/>
    <w:rsid w:val="007274B4"/>
    <w:rsid w:val="0072780C"/>
    <w:rsid w:val="00727B71"/>
    <w:rsid w:val="00731217"/>
    <w:rsid w:val="007313FC"/>
    <w:rsid w:val="007316F0"/>
    <w:rsid w:val="00732A6E"/>
    <w:rsid w:val="00733272"/>
    <w:rsid w:val="00733D88"/>
    <w:rsid w:val="00734359"/>
    <w:rsid w:val="00735DED"/>
    <w:rsid w:val="00737576"/>
    <w:rsid w:val="00737586"/>
    <w:rsid w:val="00737F60"/>
    <w:rsid w:val="007402E0"/>
    <w:rsid w:val="007417A9"/>
    <w:rsid w:val="00741854"/>
    <w:rsid w:val="0074270F"/>
    <w:rsid w:val="0074438D"/>
    <w:rsid w:val="0074584F"/>
    <w:rsid w:val="00745BE9"/>
    <w:rsid w:val="0074618E"/>
    <w:rsid w:val="00746A68"/>
    <w:rsid w:val="0075144C"/>
    <w:rsid w:val="007514E3"/>
    <w:rsid w:val="00751824"/>
    <w:rsid w:val="00754C62"/>
    <w:rsid w:val="00755175"/>
    <w:rsid w:val="007564A5"/>
    <w:rsid w:val="00756598"/>
    <w:rsid w:val="00756EAA"/>
    <w:rsid w:val="007571BF"/>
    <w:rsid w:val="00760ABE"/>
    <w:rsid w:val="00760CA4"/>
    <w:rsid w:val="007612D5"/>
    <w:rsid w:val="00761751"/>
    <w:rsid w:val="007621B1"/>
    <w:rsid w:val="00762487"/>
    <w:rsid w:val="00762960"/>
    <w:rsid w:val="00765D8F"/>
    <w:rsid w:val="00765DE2"/>
    <w:rsid w:val="0076660A"/>
    <w:rsid w:val="007669EC"/>
    <w:rsid w:val="00766D0D"/>
    <w:rsid w:val="0076794F"/>
    <w:rsid w:val="00770936"/>
    <w:rsid w:val="0077120B"/>
    <w:rsid w:val="007712A6"/>
    <w:rsid w:val="00771D0B"/>
    <w:rsid w:val="00771DD4"/>
    <w:rsid w:val="0077213E"/>
    <w:rsid w:val="007729FC"/>
    <w:rsid w:val="0077371A"/>
    <w:rsid w:val="00774918"/>
    <w:rsid w:val="00774FE2"/>
    <w:rsid w:val="0077537C"/>
    <w:rsid w:val="007767DE"/>
    <w:rsid w:val="00783336"/>
    <w:rsid w:val="007835E4"/>
    <w:rsid w:val="00783641"/>
    <w:rsid w:val="00783E81"/>
    <w:rsid w:val="0078511E"/>
    <w:rsid w:val="00785E18"/>
    <w:rsid w:val="0078708D"/>
    <w:rsid w:val="00787A03"/>
    <w:rsid w:val="00787A28"/>
    <w:rsid w:val="00793811"/>
    <w:rsid w:val="0079396E"/>
    <w:rsid w:val="00793F34"/>
    <w:rsid w:val="0079548E"/>
    <w:rsid w:val="00796A32"/>
    <w:rsid w:val="007A04D1"/>
    <w:rsid w:val="007A330F"/>
    <w:rsid w:val="007A4B66"/>
    <w:rsid w:val="007A66CE"/>
    <w:rsid w:val="007A6F1D"/>
    <w:rsid w:val="007A7550"/>
    <w:rsid w:val="007B02DF"/>
    <w:rsid w:val="007B1098"/>
    <w:rsid w:val="007B17D9"/>
    <w:rsid w:val="007B2148"/>
    <w:rsid w:val="007B2365"/>
    <w:rsid w:val="007B25D8"/>
    <w:rsid w:val="007B3321"/>
    <w:rsid w:val="007B3FBF"/>
    <w:rsid w:val="007B40A0"/>
    <w:rsid w:val="007B6736"/>
    <w:rsid w:val="007B71EA"/>
    <w:rsid w:val="007C1D6C"/>
    <w:rsid w:val="007C2686"/>
    <w:rsid w:val="007C2ABA"/>
    <w:rsid w:val="007C2D1F"/>
    <w:rsid w:val="007C3CFE"/>
    <w:rsid w:val="007C3DE4"/>
    <w:rsid w:val="007C4C77"/>
    <w:rsid w:val="007C5480"/>
    <w:rsid w:val="007C58C5"/>
    <w:rsid w:val="007C6082"/>
    <w:rsid w:val="007C6A06"/>
    <w:rsid w:val="007C7A1F"/>
    <w:rsid w:val="007C7F3D"/>
    <w:rsid w:val="007D0E17"/>
    <w:rsid w:val="007D1B84"/>
    <w:rsid w:val="007D2725"/>
    <w:rsid w:val="007D2D17"/>
    <w:rsid w:val="007D3EC1"/>
    <w:rsid w:val="007D60DC"/>
    <w:rsid w:val="007D7C99"/>
    <w:rsid w:val="007D8D4F"/>
    <w:rsid w:val="007E078A"/>
    <w:rsid w:val="007E1925"/>
    <w:rsid w:val="007E1929"/>
    <w:rsid w:val="007E1E19"/>
    <w:rsid w:val="007E2025"/>
    <w:rsid w:val="007E2673"/>
    <w:rsid w:val="007E334B"/>
    <w:rsid w:val="007E445D"/>
    <w:rsid w:val="007E4CB1"/>
    <w:rsid w:val="007E52BA"/>
    <w:rsid w:val="007E5B1F"/>
    <w:rsid w:val="007E6513"/>
    <w:rsid w:val="007E6B06"/>
    <w:rsid w:val="007E710A"/>
    <w:rsid w:val="007F06B7"/>
    <w:rsid w:val="007F197F"/>
    <w:rsid w:val="007F2455"/>
    <w:rsid w:val="007F27BF"/>
    <w:rsid w:val="007F2B3D"/>
    <w:rsid w:val="007F4274"/>
    <w:rsid w:val="007F50DB"/>
    <w:rsid w:val="007F7275"/>
    <w:rsid w:val="007F7CD0"/>
    <w:rsid w:val="00800FE3"/>
    <w:rsid w:val="008012DA"/>
    <w:rsid w:val="0080147C"/>
    <w:rsid w:val="00801A82"/>
    <w:rsid w:val="00801BCC"/>
    <w:rsid w:val="00805B8B"/>
    <w:rsid w:val="00805E44"/>
    <w:rsid w:val="00806F68"/>
    <w:rsid w:val="00807279"/>
    <w:rsid w:val="008075AE"/>
    <w:rsid w:val="00810668"/>
    <w:rsid w:val="00810D91"/>
    <w:rsid w:val="008115BB"/>
    <w:rsid w:val="00811BAA"/>
    <w:rsid w:val="00812429"/>
    <w:rsid w:val="00813A8F"/>
    <w:rsid w:val="00813FD3"/>
    <w:rsid w:val="0081455A"/>
    <w:rsid w:val="0081470B"/>
    <w:rsid w:val="00814AB9"/>
    <w:rsid w:val="00814F14"/>
    <w:rsid w:val="008150BD"/>
    <w:rsid w:val="00815309"/>
    <w:rsid w:val="0081591C"/>
    <w:rsid w:val="00815B6B"/>
    <w:rsid w:val="008174B4"/>
    <w:rsid w:val="00817A95"/>
    <w:rsid w:val="00821153"/>
    <w:rsid w:val="0082198F"/>
    <w:rsid w:val="00821A2D"/>
    <w:rsid w:val="00821D74"/>
    <w:rsid w:val="0082243C"/>
    <w:rsid w:val="0082478F"/>
    <w:rsid w:val="00824B30"/>
    <w:rsid w:val="00825E00"/>
    <w:rsid w:val="00826438"/>
    <w:rsid w:val="00826583"/>
    <w:rsid w:val="0083089E"/>
    <w:rsid w:val="00830A8A"/>
    <w:rsid w:val="008312CF"/>
    <w:rsid w:val="00833F1A"/>
    <w:rsid w:val="008348FD"/>
    <w:rsid w:val="0083670C"/>
    <w:rsid w:val="00837274"/>
    <w:rsid w:val="0084156C"/>
    <w:rsid w:val="00841DFC"/>
    <w:rsid w:val="008427E6"/>
    <w:rsid w:val="0084319B"/>
    <w:rsid w:val="00844E25"/>
    <w:rsid w:val="00846002"/>
    <w:rsid w:val="00846407"/>
    <w:rsid w:val="008503FC"/>
    <w:rsid w:val="00850CAC"/>
    <w:rsid w:val="00851461"/>
    <w:rsid w:val="00851AE7"/>
    <w:rsid w:val="00854098"/>
    <w:rsid w:val="00854416"/>
    <w:rsid w:val="00854692"/>
    <w:rsid w:val="008546E9"/>
    <w:rsid w:val="008546EF"/>
    <w:rsid w:val="008549DA"/>
    <w:rsid w:val="00854D7F"/>
    <w:rsid w:val="008553E5"/>
    <w:rsid w:val="008564C8"/>
    <w:rsid w:val="00856F09"/>
    <w:rsid w:val="00857158"/>
    <w:rsid w:val="00862478"/>
    <w:rsid w:val="00862C24"/>
    <w:rsid w:val="008638C5"/>
    <w:rsid w:val="00863B04"/>
    <w:rsid w:val="00864225"/>
    <w:rsid w:val="00864F53"/>
    <w:rsid w:val="00865143"/>
    <w:rsid w:val="008662E8"/>
    <w:rsid w:val="00870419"/>
    <w:rsid w:val="00870FFC"/>
    <w:rsid w:val="00872A8F"/>
    <w:rsid w:val="0087415E"/>
    <w:rsid w:val="00874776"/>
    <w:rsid w:val="008748F9"/>
    <w:rsid w:val="00874A21"/>
    <w:rsid w:val="0087562F"/>
    <w:rsid w:val="008756BF"/>
    <w:rsid w:val="008757D2"/>
    <w:rsid w:val="00875AC5"/>
    <w:rsid w:val="00876151"/>
    <w:rsid w:val="008764D9"/>
    <w:rsid w:val="00876735"/>
    <w:rsid w:val="00876DA9"/>
    <w:rsid w:val="00877B29"/>
    <w:rsid w:val="00877D9F"/>
    <w:rsid w:val="00881A45"/>
    <w:rsid w:val="008830D1"/>
    <w:rsid w:val="00884F3A"/>
    <w:rsid w:val="008866CD"/>
    <w:rsid w:val="008900E4"/>
    <w:rsid w:val="0089087D"/>
    <w:rsid w:val="00890CA4"/>
    <w:rsid w:val="00890F00"/>
    <w:rsid w:val="00892274"/>
    <w:rsid w:val="00893CAE"/>
    <w:rsid w:val="00894058"/>
    <w:rsid w:val="00895F77"/>
    <w:rsid w:val="00895F85"/>
    <w:rsid w:val="008965DE"/>
    <w:rsid w:val="008A04E1"/>
    <w:rsid w:val="008A08C5"/>
    <w:rsid w:val="008A0E7F"/>
    <w:rsid w:val="008A18A0"/>
    <w:rsid w:val="008A2914"/>
    <w:rsid w:val="008A29D8"/>
    <w:rsid w:val="008A3A2A"/>
    <w:rsid w:val="008A3AAD"/>
    <w:rsid w:val="008A44E8"/>
    <w:rsid w:val="008A58B6"/>
    <w:rsid w:val="008A643F"/>
    <w:rsid w:val="008A7516"/>
    <w:rsid w:val="008A791D"/>
    <w:rsid w:val="008A7AAB"/>
    <w:rsid w:val="008A7C12"/>
    <w:rsid w:val="008A7FFA"/>
    <w:rsid w:val="008B0619"/>
    <w:rsid w:val="008B0B7B"/>
    <w:rsid w:val="008B33C1"/>
    <w:rsid w:val="008B4AB5"/>
    <w:rsid w:val="008B6888"/>
    <w:rsid w:val="008B6A81"/>
    <w:rsid w:val="008C0895"/>
    <w:rsid w:val="008C090E"/>
    <w:rsid w:val="008C1281"/>
    <w:rsid w:val="008C4800"/>
    <w:rsid w:val="008C492D"/>
    <w:rsid w:val="008C5A6E"/>
    <w:rsid w:val="008C6C1D"/>
    <w:rsid w:val="008C7EEA"/>
    <w:rsid w:val="008D34FB"/>
    <w:rsid w:val="008D3C24"/>
    <w:rsid w:val="008D3E85"/>
    <w:rsid w:val="008D5276"/>
    <w:rsid w:val="008D55A1"/>
    <w:rsid w:val="008D5674"/>
    <w:rsid w:val="008D6C1F"/>
    <w:rsid w:val="008D6E38"/>
    <w:rsid w:val="008E06CF"/>
    <w:rsid w:val="008E0E86"/>
    <w:rsid w:val="008E17BB"/>
    <w:rsid w:val="008E1851"/>
    <w:rsid w:val="008E1C25"/>
    <w:rsid w:val="008E3702"/>
    <w:rsid w:val="008E52DB"/>
    <w:rsid w:val="008E556A"/>
    <w:rsid w:val="008E571A"/>
    <w:rsid w:val="008E7150"/>
    <w:rsid w:val="008F0005"/>
    <w:rsid w:val="008F022E"/>
    <w:rsid w:val="008F1427"/>
    <w:rsid w:val="008F1B0C"/>
    <w:rsid w:val="008F2D5C"/>
    <w:rsid w:val="008F35DC"/>
    <w:rsid w:val="008F4E06"/>
    <w:rsid w:val="008F5376"/>
    <w:rsid w:val="008F5E78"/>
    <w:rsid w:val="008F63BA"/>
    <w:rsid w:val="008F693F"/>
    <w:rsid w:val="008F6FDF"/>
    <w:rsid w:val="008F7796"/>
    <w:rsid w:val="008F7810"/>
    <w:rsid w:val="008F7E8D"/>
    <w:rsid w:val="009024A7"/>
    <w:rsid w:val="00906388"/>
    <w:rsid w:val="00906968"/>
    <w:rsid w:val="00906F97"/>
    <w:rsid w:val="009071F5"/>
    <w:rsid w:val="0090749E"/>
    <w:rsid w:val="0090756A"/>
    <w:rsid w:val="00910E1B"/>
    <w:rsid w:val="009119D9"/>
    <w:rsid w:val="00911E72"/>
    <w:rsid w:val="009123C3"/>
    <w:rsid w:val="0091242F"/>
    <w:rsid w:val="00912B5C"/>
    <w:rsid w:val="0091372B"/>
    <w:rsid w:val="00914CFC"/>
    <w:rsid w:val="0091560B"/>
    <w:rsid w:val="00915CF2"/>
    <w:rsid w:val="00916D61"/>
    <w:rsid w:val="00922AFA"/>
    <w:rsid w:val="00922C69"/>
    <w:rsid w:val="00922D02"/>
    <w:rsid w:val="009240F7"/>
    <w:rsid w:val="009246FD"/>
    <w:rsid w:val="00924DA4"/>
    <w:rsid w:val="00927959"/>
    <w:rsid w:val="00927FE8"/>
    <w:rsid w:val="00930661"/>
    <w:rsid w:val="00932073"/>
    <w:rsid w:val="0093233F"/>
    <w:rsid w:val="00932925"/>
    <w:rsid w:val="00932C80"/>
    <w:rsid w:val="00934B99"/>
    <w:rsid w:val="0093511B"/>
    <w:rsid w:val="009354B3"/>
    <w:rsid w:val="00937A30"/>
    <w:rsid w:val="00940588"/>
    <w:rsid w:val="00940AD4"/>
    <w:rsid w:val="00940BBA"/>
    <w:rsid w:val="00941365"/>
    <w:rsid w:val="009427AB"/>
    <w:rsid w:val="00943072"/>
    <w:rsid w:val="00943CCB"/>
    <w:rsid w:val="00944FEC"/>
    <w:rsid w:val="009502C4"/>
    <w:rsid w:val="0095158E"/>
    <w:rsid w:val="00951AC6"/>
    <w:rsid w:val="00952564"/>
    <w:rsid w:val="00955470"/>
    <w:rsid w:val="00961EE8"/>
    <w:rsid w:val="0096300F"/>
    <w:rsid w:val="00963F25"/>
    <w:rsid w:val="00964A37"/>
    <w:rsid w:val="0096527F"/>
    <w:rsid w:val="009657A4"/>
    <w:rsid w:val="00967080"/>
    <w:rsid w:val="00967899"/>
    <w:rsid w:val="009702FF"/>
    <w:rsid w:val="00970AE6"/>
    <w:rsid w:val="00971D30"/>
    <w:rsid w:val="009731DF"/>
    <w:rsid w:val="00973C85"/>
    <w:rsid w:val="00974ED9"/>
    <w:rsid w:val="009759E7"/>
    <w:rsid w:val="0097619F"/>
    <w:rsid w:val="0098022A"/>
    <w:rsid w:val="009811D7"/>
    <w:rsid w:val="0098209E"/>
    <w:rsid w:val="009846EF"/>
    <w:rsid w:val="00984AF0"/>
    <w:rsid w:val="00984C55"/>
    <w:rsid w:val="00984DF9"/>
    <w:rsid w:val="00987439"/>
    <w:rsid w:val="009876CB"/>
    <w:rsid w:val="00990E62"/>
    <w:rsid w:val="009913ED"/>
    <w:rsid w:val="009927D0"/>
    <w:rsid w:val="00994B47"/>
    <w:rsid w:val="00994FB4"/>
    <w:rsid w:val="009959FE"/>
    <w:rsid w:val="00996174"/>
    <w:rsid w:val="009967C5"/>
    <w:rsid w:val="00997E9C"/>
    <w:rsid w:val="009A0D2F"/>
    <w:rsid w:val="009A1E9E"/>
    <w:rsid w:val="009A22CB"/>
    <w:rsid w:val="009A2C60"/>
    <w:rsid w:val="009A2CFF"/>
    <w:rsid w:val="009A2D89"/>
    <w:rsid w:val="009A385A"/>
    <w:rsid w:val="009A41DF"/>
    <w:rsid w:val="009A42C7"/>
    <w:rsid w:val="009A47EE"/>
    <w:rsid w:val="009A61EA"/>
    <w:rsid w:val="009B0B71"/>
    <w:rsid w:val="009B1EDD"/>
    <w:rsid w:val="009B24C3"/>
    <w:rsid w:val="009B2FCD"/>
    <w:rsid w:val="009B3892"/>
    <w:rsid w:val="009B480D"/>
    <w:rsid w:val="009B5039"/>
    <w:rsid w:val="009B5381"/>
    <w:rsid w:val="009B5C14"/>
    <w:rsid w:val="009B6601"/>
    <w:rsid w:val="009B6F13"/>
    <w:rsid w:val="009C05BD"/>
    <w:rsid w:val="009C1382"/>
    <w:rsid w:val="009C1FB6"/>
    <w:rsid w:val="009C2590"/>
    <w:rsid w:val="009C50FE"/>
    <w:rsid w:val="009C5301"/>
    <w:rsid w:val="009C58E6"/>
    <w:rsid w:val="009C6A47"/>
    <w:rsid w:val="009C7E95"/>
    <w:rsid w:val="009C7F36"/>
    <w:rsid w:val="009D0A9E"/>
    <w:rsid w:val="009D1F38"/>
    <w:rsid w:val="009D3A61"/>
    <w:rsid w:val="009D4C33"/>
    <w:rsid w:val="009E00FB"/>
    <w:rsid w:val="009E0B4E"/>
    <w:rsid w:val="009E10F6"/>
    <w:rsid w:val="009E234C"/>
    <w:rsid w:val="009E24E7"/>
    <w:rsid w:val="009E3911"/>
    <w:rsid w:val="009E3974"/>
    <w:rsid w:val="009E4567"/>
    <w:rsid w:val="009E6EAC"/>
    <w:rsid w:val="009E6FE8"/>
    <w:rsid w:val="009F0347"/>
    <w:rsid w:val="009F0BDE"/>
    <w:rsid w:val="009F15C9"/>
    <w:rsid w:val="009F1F81"/>
    <w:rsid w:val="009F3CA5"/>
    <w:rsid w:val="009F3DBA"/>
    <w:rsid w:val="009F43C1"/>
    <w:rsid w:val="009F7842"/>
    <w:rsid w:val="009F7A99"/>
    <w:rsid w:val="009F7F33"/>
    <w:rsid w:val="00A00000"/>
    <w:rsid w:val="00A026D5"/>
    <w:rsid w:val="00A04A00"/>
    <w:rsid w:val="00A0517A"/>
    <w:rsid w:val="00A05B2B"/>
    <w:rsid w:val="00A05C92"/>
    <w:rsid w:val="00A06148"/>
    <w:rsid w:val="00A06490"/>
    <w:rsid w:val="00A06BEA"/>
    <w:rsid w:val="00A06F96"/>
    <w:rsid w:val="00A07405"/>
    <w:rsid w:val="00A107EE"/>
    <w:rsid w:val="00A1265B"/>
    <w:rsid w:val="00A13D0C"/>
    <w:rsid w:val="00A13F2B"/>
    <w:rsid w:val="00A1418E"/>
    <w:rsid w:val="00A15B78"/>
    <w:rsid w:val="00A16111"/>
    <w:rsid w:val="00A16DC5"/>
    <w:rsid w:val="00A1725E"/>
    <w:rsid w:val="00A20214"/>
    <w:rsid w:val="00A21D10"/>
    <w:rsid w:val="00A22ACB"/>
    <w:rsid w:val="00A24281"/>
    <w:rsid w:val="00A245CF"/>
    <w:rsid w:val="00A25E5E"/>
    <w:rsid w:val="00A266E9"/>
    <w:rsid w:val="00A26D5E"/>
    <w:rsid w:val="00A27A56"/>
    <w:rsid w:val="00A36FC3"/>
    <w:rsid w:val="00A40C2B"/>
    <w:rsid w:val="00A4587C"/>
    <w:rsid w:val="00A46420"/>
    <w:rsid w:val="00A46ABB"/>
    <w:rsid w:val="00A52098"/>
    <w:rsid w:val="00A5234C"/>
    <w:rsid w:val="00A52D21"/>
    <w:rsid w:val="00A53D34"/>
    <w:rsid w:val="00A55B9B"/>
    <w:rsid w:val="00A55F23"/>
    <w:rsid w:val="00A55F33"/>
    <w:rsid w:val="00A56AC1"/>
    <w:rsid w:val="00A570F1"/>
    <w:rsid w:val="00A61A9B"/>
    <w:rsid w:val="00A62533"/>
    <w:rsid w:val="00A62CA9"/>
    <w:rsid w:val="00A638A6"/>
    <w:rsid w:val="00A66886"/>
    <w:rsid w:val="00A70B24"/>
    <w:rsid w:val="00A71D92"/>
    <w:rsid w:val="00A721E8"/>
    <w:rsid w:val="00A733A8"/>
    <w:rsid w:val="00A73BF2"/>
    <w:rsid w:val="00A74274"/>
    <w:rsid w:val="00A74F41"/>
    <w:rsid w:val="00A75B8E"/>
    <w:rsid w:val="00A7665B"/>
    <w:rsid w:val="00A772A7"/>
    <w:rsid w:val="00A776A5"/>
    <w:rsid w:val="00A77E95"/>
    <w:rsid w:val="00A817F1"/>
    <w:rsid w:val="00A825FE"/>
    <w:rsid w:val="00A830E3"/>
    <w:rsid w:val="00A833F6"/>
    <w:rsid w:val="00A8574A"/>
    <w:rsid w:val="00A8710C"/>
    <w:rsid w:val="00A903F1"/>
    <w:rsid w:val="00A9078A"/>
    <w:rsid w:val="00A908E5"/>
    <w:rsid w:val="00A91DBF"/>
    <w:rsid w:val="00A91F02"/>
    <w:rsid w:val="00A96361"/>
    <w:rsid w:val="00A9744C"/>
    <w:rsid w:val="00A97794"/>
    <w:rsid w:val="00A97B0F"/>
    <w:rsid w:val="00AA0424"/>
    <w:rsid w:val="00AA0529"/>
    <w:rsid w:val="00AA2041"/>
    <w:rsid w:val="00AA29BA"/>
    <w:rsid w:val="00AA46CA"/>
    <w:rsid w:val="00AA633E"/>
    <w:rsid w:val="00AA77FF"/>
    <w:rsid w:val="00AA7DF6"/>
    <w:rsid w:val="00AA7F97"/>
    <w:rsid w:val="00AB0512"/>
    <w:rsid w:val="00AB06AF"/>
    <w:rsid w:val="00AB0BA6"/>
    <w:rsid w:val="00AB12D6"/>
    <w:rsid w:val="00AB2BA8"/>
    <w:rsid w:val="00AB3ECE"/>
    <w:rsid w:val="00AB5BB8"/>
    <w:rsid w:val="00AB7235"/>
    <w:rsid w:val="00AC0334"/>
    <w:rsid w:val="00AC08E5"/>
    <w:rsid w:val="00AC1E4E"/>
    <w:rsid w:val="00AC2A1E"/>
    <w:rsid w:val="00AC30C3"/>
    <w:rsid w:val="00AC45E4"/>
    <w:rsid w:val="00AC5817"/>
    <w:rsid w:val="00AC5C2D"/>
    <w:rsid w:val="00AC6AA9"/>
    <w:rsid w:val="00AC6E09"/>
    <w:rsid w:val="00AC7700"/>
    <w:rsid w:val="00AD1CC1"/>
    <w:rsid w:val="00AD2183"/>
    <w:rsid w:val="00AD22DE"/>
    <w:rsid w:val="00AD2FCC"/>
    <w:rsid w:val="00AD406B"/>
    <w:rsid w:val="00AD448C"/>
    <w:rsid w:val="00AD5BF7"/>
    <w:rsid w:val="00AD5CE5"/>
    <w:rsid w:val="00AD733D"/>
    <w:rsid w:val="00AD7CE1"/>
    <w:rsid w:val="00AE062A"/>
    <w:rsid w:val="00AE0E8F"/>
    <w:rsid w:val="00AE1B17"/>
    <w:rsid w:val="00AE72D1"/>
    <w:rsid w:val="00AF057E"/>
    <w:rsid w:val="00AF0AD9"/>
    <w:rsid w:val="00AF1074"/>
    <w:rsid w:val="00AF11E0"/>
    <w:rsid w:val="00AF4FAE"/>
    <w:rsid w:val="00AF4FF4"/>
    <w:rsid w:val="00AF5C63"/>
    <w:rsid w:val="00AF6C29"/>
    <w:rsid w:val="00AF6DF8"/>
    <w:rsid w:val="00B00514"/>
    <w:rsid w:val="00B0154E"/>
    <w:rsid w:val="00B01741"/>
    <w:rsid w:val="00B01AAB"/>
    <w:rsid w:val="00B0212F"/>
    <w:rsid w:val="00B022C8"/>
    <w:rsid w:val="00B03E07"/>
    <w:rsid w:val="00B04A78"/>
    <w:rsid w:val="00B0678A"/>
    <w:rsid w:val="00B07D5A"/>
    <w:rsid w:val="00B10779"/>
    <w:rsid w:val="00B10A9E"/>
    <w:rsid w:val="00B112BF"/>
    <w:rsid w:val="00B11869"/>
    <w:rsid w:val="00B11951"/>
    <w:rsid w:val="00B11D41"/>
    <w:rsid w:val="00B175F2"/>
    <w:rsid w:val="00B20A49"/>
    <w:rsid w:val="00B229D6"/>
    <w:rsid w:val="00B23B2A"/>
    <w:rsid w:val="00B23FB3"/>
    <w:rsid w:val="00B246F7"/>
    <w:rsid w:val="00B26CCC"/>
    <w:rsid w:val="00B272F4"/>
    <w:rsid w:val="00B2743B"/>
    <w:rsid w:val="00B278ED"/>
    <w:rsid w:val="00B30B30"/>
    <w:rsid w:val="00B30E41"/>
    <w:rsid w:val="00B31F35"/>
    <w:rsid w:val="00B327B5"/>
    <w:rsid w:val="00B32C2C"/>
    <w:rsid w:val="00B34A16"/>
    <w:rsid w:val="00B34ED2"/>
    <w:rsid w:val="00B35ED1"/>
    <w:rsid w:val="00B37539"/>
    <w:rsid w:val="00B40121"/>
    <w:rsid w:val="00B40C04"/>
    <w:rsid w:val="00B41503"/>
    <w:rsid w:val="00B4190C"/>
    <w:rsid w:val="00B4211E"/>
    <w:rsid w:val="00B42E98"/>
    <w:rsid w:val="00B433C0"/>
    <w:rsid w:val="00B43C0A"/>
    <w:rsid w:val="00B4430F"/>
    <w:rsid w:val="00B4517C"/>
    <w:rsid w:val="00B45CCE"/>
    <w:rsid w:val="00B464BF"/>
    <w:rsid w:val="00B510B3"/>
    <w:rsid w:val="00B52108"/>
    <w:rsid w:val="00B53208"/>
    <w:rsid w:val="00B5355A"/>
    <w:rsid w:val="00B53AEB"/>
    <w:rsid w:val="00B53D87"/>
    <w:rsid w:val="00B54ED8"/>
    <w:rsid w:val="00B55D1D"/>
    <w:rsid w:val="00B56382"/>
    <w:rsid w:val="00B6087D"/>
    <w:rsid w:val="00B613F1"/>
    <w:rsid w:val="00B631B6"/>
    <w:rsid w:val="00B63C10"/>
    <w:rsid w:val="00B64983"/>
    <w:rsid w:val="00B64D9A"/>
    <w:rsid w:val="00B64ED3"/>
    <w:rsid w:val="00B656E7"/>
    <w:rsid w:val="00B67613"/>
    <w:rsid w:val="00B677BF"/>
    <w:rsid w:val="00B67E41"/>
    <w:rsid w:val="00B7141D"/>
    <w:rsid w:val="00B716E7"/>
    <w:rsid w:val="00B7296A"/>
    <w:rsid w:val="00B72977"/>
    <w:rsid w:val="00B7401D"/>
    <w:rsid w:val="00B75E5E"/>
    <w:rsid w:val="00B7759F"/>
    <w:rsid w:val="00B81C05"/>
    <w:rsid w:val="00B81F4D"/>
    <w:rsid w:val="00B821BB"/>
    <w:rsid w:val="00B8378D"/>
    <w:rsid w:val="00B84578"/>
    <w:rsid w:val="00B85014"/>
    <w:rsid w:val="00B85A8E"/>
    <w:rsid w:val="00B85C11"/>
    <w:rsid w:val="00B86D54"/>
    <w:rsid w:val="00B876F2"/>
    <w:rsid w:val="00B87A3D"/>
    <w:rsid w:val="00B91813"/>
    <w:rsid w:val="00B931E8"/>
    <w:rsid w:val="00B94B1C"/>
    <w:rsid w:val="00B959CA"/>
    <w:rsid w:val="00B965B9"/>
    <w:rsid w:val="00B96649"/>
    <w:rsid w:val="00B96C1D"/>
    <w:rsid w:val="00B97CCA"/>
    <w:rsid w:val="00BA01B3"/>
    <w:rsid w:val="00BA0306"/>
    <w:rsid w:val="00BA22B8"/>
    <w:rsid w:val="00BA2EB0"/>
    <w:rsid w:val="00BA4095"/>
    <w:rsid w:val="00BA4268"/>
    <w:rsid w:val="00BA4C62"/>
    <w:rsid w:val="00BA4D9A"/>
    <w:rsid w:val="00BA609A"/>
    <w:rsid w:val="00BA6822"/>
    <w:rsid w:val="00BB0450"/>
    <w:rsid w:val="00BB146F"/>
    <w:rsid w:val="00BB1AA6"/>
    <w:rsid w:val="00BB1F0E"/>
    <w:rsid w:val="00BB22DD"/>
    <w:rsid w:val="00BB263A"/>
    <w:rsid w:val="00BB27EA"/>
    <w:rsid w:val="00BB292F"/>
    <w:rsid w:val="00BB2F94"/>
    <w:rsid w:val="00BB5430"/>
    <w:rsid w:val="00BB5494"/>
    <w:rsid w:val="00BB63AD"/>
    <w:rsid w:val="00BB6D3C"/>
    <w:rsid w:val="00BB766F"/>
    <w:rsid w:val="00BB76C3"/>
    <w:rsid w:val="00BB778D"/>
    <w:rsid w:val="00BC08C0"/>
    <w:rsid w:val="00BC2ED7"/>
    <w:rsid w:val="00BC316B"/>
    <w:rsid w:val="00BC3304"/>
    <w:rsid w:val="00BC3425"/>
    <w:rsid w:val="00BC3BED"/>
    <w:rsid w:val="00BC46E6"/>
    <w:rsid w:val="00BC64C6"/>
    <w:rsid w:val="00BC6764"/>
    <w:rsid w:val="00BC7B95"/>
    <w:rsid w:val="00BC7C92"/>
    <w:rsid w:val="00BD0451"/>
    <w:rsid w:val="00BD047A"/>
    <w:rsid w:val="00BD105F"/>
    <w:rsid w:val="00BD3C91"/>
    <w:rsid w:val="00BD59DF"/>
    <w:rsid w:val="00BD6A16"/>
    <w:rsid w:val="00BE22B7"/>
    <w:rsid w:val="00BE240B"/>
    <w:rsid w:val="00BE2A18"/>
    <w:rsid w:val="00BE2CEF"/>
    <w:rsid w:val="00BE3058"/>
    <w:rsid w:val="00BE368B"/>
    <w:rsid w:val="00BE383B"/>
    <w:rsid w:val="00BE3E34"/>
    <w:rsid w:val="00BE489A"/>
    <w:rsid w:val="00BE4BA2"/>
    <w:rsid w:val="00BE5391"/>
    <w:rsid w:val="00BE5B19"/>
    <w:rsid w:val="00BE6532"/>
    <w:rsid w:val="00BE712D"/>
    <w:rsid w:val="00BE735A"/>
    <w:rsid w:val="00BE7AAF"/>
    <w:rsid w:val="00BE7BB3"/>
    <w:rsid w:val="00BF1224"/>
    <w:rsid w:val="00BF13A5"/>
    <w:rsid w:val="00BF1CE5"/>
    <w:rsid w:val="00BF1D65"/>
    <w:rsid w:val="00BF2BE4"/>
    <w:rsid w:val="00BF34BD"/>
    <w:rsid w:val="00BF36DB"/>
    <w:rsid w:val="00BF4345"/>
    <w:rsid w:val="00BF561A"/>
    <w:rsid w:val="00BF5639"/>
    <w:rsid w:val="00BF5669"/>
    <w:rsid w:val="00BF6883"/>
    <w:rsid w:val="00BF74A7"/>
    <w:rsid w:val="00C00973"/>
    <w:rsid w:val="00C01202"/>
    <w:rsid w:val="00C019B5"/>
    <w:rsid w:val="00C01D9B"/>
    <w:rsid w:val="00C03516"/>
    <w:rsid w:val="00C036E2"/>
    <w:rsid w:val="00C046C8"/>
    <w:rsid w:val="00C04808"/>
    <w:rsid w:val="00C05665"/>
    <w:rsid w:val="00C05DEB"/>
    <w:rsid w:val="00C06AFC"/>
    <w:rsid w:val="00C07821"/>
    <w:rsid w:val="00C0783E"/>
    <w:rsid w:val="00C10CCD"/>
    <w:rsid w:val="00C1245A"/>
    <w:rsid w:val="00C12D5B"/>
    <w:rsid w:val="00C13232"/>
    <w:rsid w:val="00C147D3"/>
    <w:rsid w:val="00C1492D"/>
    <w:rsid w:val="00C15169"/>
    <w:rsid w:val="00C1521A"/>
    <w:rsid w:val="00C16131"/>
    <w:rsid w:val="00C16471"/>
    <w:rsid w:val="00C1655A"/>
    <w:rsid w:val="00C16607"/>
    <w:rsid w:val="00C16844"/>
    <w:rsid w:val="00C172CA"/>
    <w:rsid w:val="00C17807"/>
    <w:rsid w:val="00C20845"/>
    <w:rsid w:val="00C22373"/>
    <w:rsid w:val="00C229AA"/>
    <w:rsid w:val="00C23A96"/>
    <w:rsid w:val="00C23EC0"/>
    <w:rsid w:val="00C242EB"/>
    <w:rsid w:val="00C24C33"/>
    <w:rsid w:val="00C251D3"/>
    <w:rsid w:val="00C267DE"/>
    <w:rsid w:val="00C278C2"/>
    <w:rsid w:val="00C30297"/>
    <w:rsid w:val="00C302F2"/>
    <w:rsid w:val="00C31A80"/>
    <w:rsid w:val="00C31ACB"/>
    <w:rsid w:val="00C31C5C"/>
    <w:rsid w:val="00C31E44"/>
    <w:rsid w:val="00C327BB"/>
    <w:rsid w:val="00C34B87"/>
    <w:rsid w:val="00C363E0"/>
    <w:rsid w:val="00C36ACB"/>
    <w:rsid w:val="00C36CE1"/>
    <w:rsid w:val="00C376B5"/>
    <w:rsid w:val="00C4004C"/>
    <w:rsid w:val="00C403DA"/>
    <w:rsid w:val="00C40473"/>
    <w:rsid w:val="00C406D1"/>
    <w:rsid w:val="00C40C11"/>
    <w:rsid w:val="00C42537"/>
    <w:rsid w:val="00C426B0"/>
    <w:rsid w:val="00C42F93"/>
    <w:rsid w:val="00C439C9"/>
    <w:rsid w:val="00C44827"/>
    <w:rsid w:val="00C461BD"/>
    <w:rsid w:val="00C47460"/>
    <w:rsid w:val="00C4774D"/>
    <w:rsid w:val="00C47D36"/>
    <w:rsid w:val="00C50C5D"/>
    <w:rsid w:val="00C516AF"/>
    <w:rsid w:val="00C519A7"/>
    <w:rsid w:val="00C52A63"/>
    <w:rsid w:val="00C52D11"/>
    <w:rsid w:val="00C531BE"/>
    <w:rsid w:val="00C5427E"/>
    <w:rsid w:val="00C554B0"/>
    <w:rsid w:val="00C5628E"/>
    <w:rsid w:val="00C563F9"/>
    <w:rsid w:val="00C56BEB"/>
    <w:rsid w:val="00C57888"/>
    <w:rsid w:val="00C60ABE"/>
    <w:rsid w:val="00C60E1E"/>
    <w:rsid w:val="00C61950"/>
    <w:rsid w:val="00C61AE8"/>
    <w:rsid w:val="00C628D8"/>
    <w:rsid w:val="00C64017"/>
    <w:rsid w:val="00C64278"/>
    <w:rsid w:val="00C6594D"/>
    <w:rsid w:val="00C65B17"/>
    <w:rsid w:val="00C662A6"/>
    <w:rsid w:val="00C668B4"/>
    <w:rsid w:val="00C66F03"/>
    <w:rsid w:val="00C6770F"/>
    <w:rsid w:val="00C6790A"/>
    <w:rsid w:val="00C7025A"/>
    <w:rsid w:val="00C71076"/>
    <w:rsid w:val="00C72033"/>
    <w:rsid w:val="00C726AD"/>
    <w:rsid w:val="00C73B86"/>
    <w:rsid w:val="00C7430E"/>
    <w:rsid w:val="00C75CB0"/>
    <w:rsid w:val="00C76470"/>
    <w:rsid w:val="00C7652D"/>
    <w:rsid w:val="00C767E6"/>
    <w:rsid w:val="00C807D7"/>
    <w:rsid w:val="00C81636"/>
    <w:rsid w:val="00C81C2E"/>
    <w:rsid w:val="00C82162"/>
    <w:rsid w:val="00C824C7"/>
    <w:rsid w:val="00C82AD6"/>
    <w:rsid w:val="00C83132"/>
    <w:rsid w:val="00C83623"/>
    <w:rsid w:val="00C83B5A"/>
    <w:rsid w:val="00C83E7B"/>
    <w:rsid w:val="00C843AE"/>
    <w:rsid w:val="00C850E7"/>
    <w:rsid w:val="00C8546C"/>
    <w:rsid w:val="00C85666"/>
    <w:rsid w:val="00C86612"/>
    <w:rsid w:val="00C866CF"/>
    <w:rsid w:val="00C86CF1"/>
    <w:rsid w:val="00C86FE8"/>
    <w:rsid w:val="00C87FD4"/>
    <w:rsid w:val="00C90AA4"/>
    <w:rsid w:val="00C90C80"/>
    <w:rsid w:val="00C90EFB"/>
    <w:rsid w:val="00C91218"/>
    <w:rsid w:val="00C91964"/>
    <w:rsid w:val="00C92950"/>
    <w:rsid w:val="00C931A4"/>
    <w:rsid w:val="00C93EDA"/>
    <w:rsid w:val="00C9465F"/>
    <w:rsid w:val="00C946FC"/>
    <w:rsid w:val="00C94970"/>
    <w:rsid w:val="00C96172"/>
    <w:rsid w:val="00C963AA"/>
    <w:rsid w:val="00C96C78"/>
    <w:rsid w:val="00C97027"/>
    <w:rsid w:val="00C97A27"/>
    <w:rsid w:val="00C97E88"/>
    <w:rsid w:val="00CA1386"/>
    <w:rsid w:val="00CA2384"/>
    <w:rsid w:val="00CA34F0"/>
    <w:rsid w:val="00CA3927"/>
    <w:rsid w:val="00CA3AEA"/>
    <w:rsid w:val="00CA5DD7"/>
    <w:rsid w:val="00CA7976"/>
    <w:rsid w:val="00CB0409"/>
    <w:rsid w:val="00CB06FD"/>
    <w:rsid w:val="00CB2ED7"/>
    <w:rsid w:val="00CB5563"/>
    <w:rsid w:val="00CB668A"/>
    <w:rsid w:val="00CC0677"/>
    <w:rsid w:val="00CC1785"/>
    <w:rsid w:val="00CC221B"/>
    <w:rsid w:val="00CC28C6"/>
    <w:rsid w:val="00CC31AA"/>
    <w:rsid w:val="00CC36E6"/>
    <w:rsid w:val="00CC382B"/>
    <w:rsid w:val="00CC4C13"/>
    <w:rsid w:val="00CC4DC9"/>
    <w:rsid w:val="00CC52DB"/>
    <w:rsid w:val="00CC5698"/>
    <w:rsid w:val="00CC5DBB"/>
    <w:rsid w:val="00CC7C9C"/>
    <w:rsid w:val="00CD035C"/>
    <w:rsid w:val="00CD0BED"/>
    <w:rsid w:val="00CD14B8"/>
    <w:rsid w:val="00CD41E4"/>
    <w:rsid w:val="00CD5B03"/>
    <w:rsid w:val="00CD5FD6"/>
    <w:rsid w:val="00CD6727"/>
    <w:rsid w:val="00CE00BF"/>
    <w:rsid w:val="00CE10D0"/>
    <w:rsid w:val="00CE1B40"/>
    <w:rsid w:val="00CE2524"/>
    <w:rsid w:val="00CE3937"/>
    <w:rsid w:val="00CE419B"/>
    <w:rsid w:val="00CE60B2"/>
    <w:rsid w:val="00CF14E2"/>
    <w:rsid w:val="00CF16DF"/>
    <w:rsid w:val="00CF19A6"/>
    <w:rsid w:val="00CF1D87"/>
    <w:rsid w:val="00CF207E"/>
    <w:rsid w:val="00CF2171"/>
    <w:rsid w:val="00CF2310"/>
    <w:rsid w:val="00CF28AB"/>
    <w:rsid w:val="00CF3581"/>
    <w:rsid w:val="00CF4310"/>
    <w:rsid w:val="00CF435D"/>
    <w:rsid w:val="00CF45FD"/>
    <w:rsid w:val="00CF4F5F"/>
    <w:rsid w:val="00CF52C6"/>
    <w:rsid w:val="00CF6759"/>
    <w:rsid w:val="00CF680F"/>
    <w:rsid w:val="00CF725A"/>
    <w:rsid w:val="00CF77D5"/>
    <w:rsid w:val="00CF783D"/>
    <w:rsid w:val="00CF7E40"/>
    <w:rsid w:val="00D01AAD"/>
    <w:rsid w:val="00D027E9"/>
    <w:rsid w:val="00D02984"/>
    <w:rsid w:val="00D03D3C"/>
    <w:rsid w:val="00D03E8F"/>
    <w:rsid w:val="00D04578"/>
    <w:rsid w:val="00D0479E"/>
    <w:rsid w:val="00D05005"/>
    <w:rsid w:val="00D05144"/>
    <w:rsid w:val="00D063F3"/>
    <w:rsid w:val="00D103D6"/>
    <w:rsid w:val="00D11557"/>
    <w:rsid w:val="00D1185B"/>
    <w:rsid w:val="00D119D2"/>
    <w:rsid w:val="00D119E1"/>
    <w:rsid w:val="00D12159"/>
    <w:rsid w:val="00D13157"/>
    <w:rsid w:val="00D134FE"/>
    <w:rsid w:val="00D13A23"/>
    <w:rsid w:val="00D14928"/>
    <w:rsid w:val="00D1492D"/>
    <w:rsid w:val="00D16676"/>
    <w:rsid w:val="00D21B22"/>
    <w:rsid w:val="00D2203C"/>
    <w:rsid w:val="00D22B2A"/>
    <w:rsid w:val="00D22BA2"/>
    <w:rsid w:val="00D2518F"/>
    <w:rsid w:val="00D258E6"/>
    <w:rsid w:val="00D25CF0"/>
    <w:rsid w:val="00D261DE"/>
    <w:rsid w:val="00D26AC7"/>
    <w:rsid w:val="00D271C4"/>
    <w:rsid w:val="00D27665"/>
    <w:rsid w:val="00D313D7"/>
    <w:rsid w:val="00D31D0F"/>
    <w:rsid w:val="00D327A4"/>
    <w:rsid w:val="00D327EB"/>
    <w:rsid w:val="00D327FB"/>
    <w:rsid w:val="00D32FC5"/>
    <w:rsid w:val="00D33100"/>
    <w:rsid w:val="00D33F76"/>
    <w:rsid w:val="00D34493"/>
    <w:rsid w:val="00D3528B"/>
    <w:rsid w:val="00D35F44"/>
    <w:rsid w:val="00D367DF"/>
    <w:rsid w:val="00D37055"/>
    <w:rsid w:val="00D37A01"/>
    <w:rsid w:val="00D41102"/>
    <w:rsid w:val="00D4162B"/>
    <w:rsid w:val="00D42904"/>
    <w:rsid w:val="00D4299B"/>
    <w:rsid w:val="00D435C3"/>
    <w:rsid w:val="00D45288"/>
    <w:rsid w:val="00D463FE"/>
    <w:rsid w:val="00D51DAD"/>
    <w:rsid w:val="00D52B10"/>
    <w:rsid w:val="00D52DBF"/>
    <w:rsid w:val="00D544B0"/>
    <w:rsid w:val="00D54794"/>
    <w:rsid w:val="00D549C2"/>
    <w:rsid w:val="00D56FDC"/>
    <w:rsid w:val="00D57764"/>
    <w:rsid w:val="00D579E5"/>
    <w:rsid w:val="00D6126A"/>
    <w:rsid w:val="00D61661"/>
    <w:rsid w:val="00D617D4"/>
    <w:rsid w:val="00D61EE4"/>
    <w:rsid w:val="00D6246B"/>
    <w:rsid w:val="00D6282E"/>
    <w:rsid w:val="00D62D5B"/>
    <w:rsid w:val="00D649BF"/>
    <w:rsid w:val="00D6522D"/>
    <w:rsid w:val="00D65871"/>
    <w:rsid w:val="00D6642F"/>
    <w:rsid w:val="00D66B35"/>
    <w:rsid w:val="00D70918"/>
    <w:rsid w:val="00D70B30"/>
    <w:rsid w:val="00D70E5A"/>
    <w:rsid w:val="00D71023"/>
    <w:rsid w:val="00D712F4"/>
    <w:rsid w:val="00D71408"/>
    <w:rsid w:val="00D73AD6"/>
    <w:rsid w:val="00D73C45"/>
    <w:rsid w:val="00D74331"/>
    <w:rsid w:val="00D75108"/>
    <w:rsid w:val="00D754F8"/>
    <w:rsid w:val="00D75A37"/>
    <w:rsid w:val="00D762F6"/>
    <w:rsid w:val="00D76AF4"/>
    <w:rsid w:val="00D76E3E"/>
    <w:rsid w:val="00D77535"/>
    <w:rsid w:val="00D77FD4"/>
    <w:rsid w:val="00D806B3"/>
    <w:rsid w:val="00D8109E"/>
    <w:rsid w:val="00D8208D"/>
    <w:rsid w:val="00D82952"/>
    <w:rsid w:val="00D82D77"/>
    <w:rsid w:val="00D83869"/>
    <w:rsid w:val="00D83F30"/>
    <w:rsid w:val="00D84D0E"/>
    <w:rsid w:val="00D85076"/>
    <w:rsid w:val="00D8553B"/>
    <w:rsid w:val="00D86454"/>
    <w:rsid w:val="00D8724C"/>
    <w:rsid w:val="00D87358"/>
    <w:rsid w:val="00D8782B"/>
    <w:rsid w:val="00D87F5A"/>
    <w:rsid w:val="00D90194"/>
    <w:rsid w:val="00D90A74"/>
    <w:rsid w:val="00D91659"/>
    <w:rsid w:val="00D9295B"/>
    <w:rsid w:val="00D931DE"/>
    <w:rsid w:val="00D9385D"/>
    <w:rsid w:val="00D93AA0"/>
    <w:rsid w:val="00D9432F"/>
    <w:rsid w:val="00D9506F"/>
    <w:rsid w:val="00DA0FAC"/>
    <w:rsid w:val="00DA1CFD"/>
    <w:rsid w:val="00DA2732"/>
    <w:rsid w:val="00DA2847"/>
    <w:rsid w:val="00DA2FBC"/>
    <w:rsid w:val="00DA52BF"/>
    <w:rsid w:val="00DA5B87"/>
    <w:rsid w:val="00DA5ECF"/>
    <w:rsid w:val="00DA5F44"/>
    <w:rsid w:val="00DA6311"/>
    <w:rsid w:val="00DA651D"/>
    <w:rsid w:val="00DA6E09"/>
    <w:rsid w:val="00DA7919"/>
    <w:rsid w:val="00DB0771"/>
    <w:rsid w:val="00DB1039"/>
    <w:rsid w:val="00DB1101"/>
    <w:rsid w:val="00DB2020"/>
    <w:rsid w:val="00DB23E5"/>
    <w:rsid w:val="00DB2F43"/>
    <w:rsid w:val="00DB3007"/>
    <w:rsid w:val="00DB3012"/>
    <w:rsid w:val="00DB339E"/>
    <w:rsid w:val="00DB3892"/>
    <w:rsid w:val="00DB3C2C"/>
    <w:rsid w:val="00DB413C"/>
    <w:rsid w:val="00DB4573"/>
    <w:rsid w:val="00DB4D8F"/>
    <w:rsid w:val="00DB514C"/>
    <w:rsid w:val="00DB5AC0"/>
    <w:rsid w:val="00DB6809"/>
    <w:rsid w:val="00DB6C46"/>
    <w:rsid w:val="00DB7087"/>
    <w:rsid w:val="00DC0C9D"/>
    <w:rsid w:val="00DC1A6E"/>
    <w:rsid w:val="00DC1B27"/>
    <w:rsid w:val="00DC251E"/>
    <w:rsid w:val="00DC37B0"/>
    <w:rsid w:val="00DC4F58"/>
    <w:rsid w:val="00DC4FE9"/>
    <w:rsid w:val="00DC536F"/>
    <w:rsid w:val="00DC5DB0"/>
    <w:rsid w:val="00DC611D"/>
    <w:rsid w:val="00DC7433"/>
    <w:rsid w:val="00DC7B86"/>
    <w:rsid w:val="00DD08C1"/>
    <w:rsid w:val="00DD1FBA"/>
    <w:rsid w:val="00DD4786"/>
    <w:rsid w:val="00DE033F"/>
    <w:rsid w:val="00DE0370"/>
    <w:rsid w:val="00DE0D47"/>
    <w:rsid w:val="00DE0F4B"/>
    <w:rsid w:val="00DE126F"/>
    <w:rsid w:val="00DE28A9"/>
    <w:rsid w:val="00DE3634"/>
    <w:rsid w:val="00DE504D"/>
    <w:rsid w:val="00DE5C7B"/>
    <w:rsid w:val="00DE5D6D"/>
    <w:rsid w:val="00DE708D"/>
    <w:rsid w:val="00DE7176"/>
    <w:rsid w:val="00DE734E"/>
    <w:rsid w:val="00DE7DE2"/>
    <w:rsid w:val="00DF0866"/>
    <w:rsid w:val="00DF0A9F"/>
    <w:rsid w:val="00DF2843"/>
    <w:rsid w:val="00DF2E26"/>
    <w:rsid w:val="00DF38AF"/>
    <w:rsid w:val="00DF4389"/>
    <w:rsid w:val="00DF43D3"/>
    <w:rsid w:val="00DF4851"/>
    <w:rsid w:val="00DF4E09"/>
    <w:rsid w:val="00DF512F"/>
    <w:rsid w:val="00DF574C"/>
    <w:rsid w:val="00DF5F2B"/>
    <w:rsid w:val="00DF70E8"/>
    <w:rsid w:val="00DF7F3D"/>
    <w:rsid w:val="00E004F2"/>
    <w:rsid w:val="00E005C4"/>
    <w:rsid w:val="00E01879"/>
    <w:rsid w:val="00E01BD5"/>
    <w:rsid w:val="00E02D6A"/>
    <w:rsid w:val="00E0379F"/>
    <w:rsid w:val="00E046B1"/>
    <w:rsid w:val="00E04DBE"/>
    <w:rsid w:val="00E06D5F"/>
    <w:rsid w:val="00E10529"/>
    <w:rsid w:val="00E11022"/>
    <w:rsid w:val="00E1186D"/>
    <w:rsid w:val="00E12556"/>
    <w:rsid w:val="00E13042"/>
    <w:rsid w:val="00E13B59"/>
    <w:rsid w:val="00E150D4"/>
    <w:rsid w:val="00E15701"/>
    <w:rsid w:val="00E208A9"/>
    <w:rsid w:val="00E20F8B"/>
    <w:rsid w:val="00E21A0A"/>
    <w:rsid w:val="00E21E18"/>
    <w:rsid w:val="00E22630"/>
    <w:rsid w:val="00E2271B"/>
    <w:rsid w:val="00E22CAD"/>
    <w:rsid w:val="00E23788"/>
    <w:rsid w:val="00E23994"/>
    <w:rsid w:val="00E24F17"/>
    <w:rsid w:val="00E27142"/>
    <w:rsid w:val="00E3065E"/>
    <w:rsid w:val="00E30943"/>
    <w:rsid w:val="00E30A4B"/>
    <w:rsid w:val="00E30B68"/>
    <w:rsid w:val="00E314C3"/>
    <w:rsid w:val="00E321A5"/>
    <w:rsid w:val="00E325DB"/>
    <w:rsid w:val="00E33C1F"/>
    <w:rsid w:val="00E3446A"/>
    <w:rsid w:val="00E345CF"/>
    <w:rsid w:val="00E353AE"/>
    <w:rsid w:val="00E3562F"/>
    <w:rsid w:val="00E35CE1"/>
    <w:rsid w:val="00E35F05"/>
    <w:rsid w:val="00E3680B"/>
    <w:rsid w:val="00E408BB"/>
    <w:rsid w:val="00E40A89"/>
    <w:rsid w:val="00E40EFC"/>
    <w:rsid w:val="00E419E1"/>
    <w:rsid w:val="00E42F67"/>
    <w:rsid w:val="00E43478"/>
    <w:rsid w:val="00E44F85"/>
    <w:rsid w:val="00E44FA3"/>
    <w:rsid w:val="00E4616C"/>
    <w:rsid w:val="00E475CF"/>
    <w:rsid w:val="00E4784F"/>
    <w:rsid w:val="00E55623"/>
    <w:rsid w:val="00E55770"/>
    <w:rsid w:val="00E55DFE"/>
    <w:rsid w:val="00E56C7B"/>
    <w:rsid w:val="00E5750E"/>
    <w:rsid w:val="00E62F30"/>
    <w:rsid w:val="00E630CA"/>
    <w:rsid w:val="00E63A3E"/>
    <w:rsid w:val="00E64AA5"/>
    <w:rsid w:val="00E64D37"/>
    <w:rsid w:val="00E64D3D"/>
    <w:rsid w:val="00E64FE6"/>
    <w:rsid w:val="00E6622C"/>
    <w:rsid w:val="00E67066"/>
    <w:rsid w:val="00E706D3"/>
    <w:rsid w:val="00E70F53"/>
    <w:rsid w:val="00E726AE"/>
    <w:rsid w:val="00E72A82"/>
    <w:rsid w:val="00E72D89"/>
    <w:rsid w:val="00E73CC8"/>
    <w:rsid w:val="00E73E14"/>
    <w:rsid w:val="00E74198"/>
    <w:rsid w:val="00E7740A"/>
    <w:rsid w:val="00E817FE"/>
    <w:rsid w:val="00E83642"/>
    <w:rsid w:val="00E859CA"/>
    <w:rsid w:val="00E85B70"/>
    <w:rsid w:val="00E876B4"/>
    <w:rsid w:val="00E87EF1"/>
    <w:rsid w:val="00E9062D"/>
    <w:rsid w:val="00E91561"/>
    <w:rsid w:val="00E9284B"/>
    <w:rsid w:val="00E92E15"/>
    <w:rsid w:val="00E953B9"/>
    <w:rsid w:val="00E95F86"/>
    <w:rsid w:val="00E9610F"/>
    <w:rsid w:val="00E96A17"/>
    <w:rsid w:val="00E9724B"/>
    <w:rsid w:val="00EA066E"/>
    <w:rsid w:val="00EA1A65"/>
    <w:rsid w:val="00EA1ADF"/>
    <w:rsid w:val="00EA1AEC"/>
    <w:rsid w:val="00EA20F1"/>
    <w:rsid w:val="00EA26C5"/>
    <w:rsid w:val="00EA46F6"/>
    <w:rsid w:val="00EA4900"/>
    <w:rsid w:val="00EA4ABA"/>
    <w:rsid w:val="00EA4CAE"/>
    <w:rsid w:val="00EA5BD3"/>
    <w:rsid w:val="00EA7252"/>
    <w:rsid w:val="00EA7F4F"/>
    <w:rsid w:val="00EB0B55"/>
    <w:rsid w:val="00EB234E"/>
    <w:rsid w:val="00EB3106"/>
    <w:rsid w:val="00EB462E"/>
    <w:rsid w:val="00EB4668"/>
    <w:rsid w:val="00EB5C48"/>
    <w:rsid w:val="00EB65D9"/>
    <w:rsid w:val="00EB6FFF"/>
    <w:rsid w:val="00EC000F"/>
    <w:rsid w:val="00EC06F5"/>
    <w:rsid w:val="00EC0DE9"/>
    <w:rsid w:val="00EC2332"/>
    <w:rsid w:val="00EC2766"/>
    <w:rsid w:val="00EC38EE"/>
    <w:rsid w:val="00EC3CD8"/>
    <w:rsid w:val="00EC4361"/>
    <w:rsid w:val="00EC54A9"/>
    <w:rsid w:val="00EC5CEC"/>
    <w:rsid w:val="00EC6F24"/>
    <w:rsid w:val="00EC727E"/>
    <w:rsid w:val="00EC7B47"/>
    <w:rsid w:val="00ED3805"/>
    <w:rsid w:val="00ED4083"/>
    <w:rsid w:val="00ED468D"/>
    <w:rsid w:val="00ED4CA4"/>
    <w:rsid w:val="00ED62C2"/>
    <w:rsid w:val="00ED6BD7"/>
    <w:rsid w:val="00ED6D08"/>
    <w:rsid w:val="00ED7096"/>
    <w:rsid w:val="00ED738B"/>
    <w:rsid w:val="00ED75CA"/>
    <w:rsid w:val="00ED7D35"/>
    <w:rsid w:val="00EE01C8"/>
    <w:rsid w:val="00EE0378"/>
    <w:rsid w:val="00EE0897"/>
    <w:rsid w:val="00EE19A4"/>
    <w:rsid w:val="00EE20E9"/>
    <w:rsid w:val="00EE2B69"/>
    <w:rsid w:val="00EE37E7"/>
    <w:rsid w:val="00EE4149"/>
    <w:rsid w:val="00EE4C15"/>
    <w:rsid w:val="00EE51B8"/>
    <w:rsid w:val="00EE53E2"/>
    <w:rsid w:val="00EE5AC9"/>
    <w:rsid w:val="00EE5DE3"/>
    <w:rsid w:val="00EE6C4E"/>
    <w:rsid w:val="00EE7029"/>
    <w:rsid w:val="00EF02D1"/>
    <w:rsid w:val="00EF0404"/>
    <w:rsid w:val="00EF08A5"/>
    <w:rsid w:val="00EF096A"/>
    <w:rsid w:val="00EF10A2"/>
    <w:rsid w:val="00EF137D"/>
    <w:rsid w:val="00EF17E9"/>
    <w:rsid w:val="00EF3827"/>
    <w:rsid w:val="00EF3BC5"/>
    <w:rsid w:val="00EF52CF"/>
    <w:rsid w:val="00EF6443"/>
    <w:rsid w:val="00EF6B96"/>
    <w:rsid w:val="00EF742C"/>
    <w:rsid w:val="00EF7EBB"/>
    <w:rsid w:val="00F01271"/>
    <w:rsid w:val="00F03CB2"/>
    <w:rsid w:val="00F043B8"/>
    <w:rsid w:val="00F054A1"/>
    <w:rsid w:val="00F0605A"/>
    <w:rsid w:val="00F06853"/>
    <w:rsid w:val="00F074DA"/>
    <w:rsid w:val="00F07543"/>
    <w:rsid w:val="00F11FCD"/>
    <w:rsid w:val="00F13069"/>
    <w:rsid w:val="00F13562"/>
    <w:rsid w:val="00F15E8B"/>
    <w:rsid w:val="00F1610C"/>
    <w:rsid w:val="00F178ED"/>
    <w:rsid w:val="00F17B9E"/>
    <w:rsid w:val="00F17C7D"/>
    <w:rsid w:val="00F17DED"/>
    <w:rsid w:val="00F2114E"/>
    <w:rsid w:val="00F2114F"/>
    <w:rsid w:val="00F214D0"/>
    <w:rsid w:val="00F21D46"/>
    <w:rsid w:val="00F21E32"/>
    <w:rsid w:val="00F224A2"/>
    <w:rsid w:val="00F22B85"/>
    <w:rsid w:val="00F23584"/>
    <w:rsid w:val="00F23D02"/>
    <w:rsid w:val="00F24F17"/>
    <w:rsid w:val="00F25930"/>
    <w:rsid w:val="00F264B5"/>
    <w:rsid w:val="00F31C14"/>
    <w:rsid w:val="00F31E94"/>
    <w:rsid w:val="00F323F8"/>
    <w:rsid w:val="00F32961"/>
    <w:rsid w:val="00F32F9B"/>
    <w:rsid w:val="00F33143"/>
    <w:rsid w:val="00F333C7"/>
    <w:rsid w:val="00F346A8"/>
    <w:rsid w:val="00F3471A"/>
    <w:rsid w:val="00F353F6"/>
    <w:rsid w:val="00F35AF1"/>
    <w:rsid w:val="00F35F81"/>
    <w:rsid w:val="00F407A7"/>
    <w:rsid w:val="00F40F59"/>
    <w:rsid w:val="00F428C4"/>
    <w:rsid w:val="00F43EC1"/>
    <w:rsid w:val="00F441BB"/>
    <w:rsid w:val="00F4421E"/>
    <w:rsid w:val="00F44DBF"/>
    <w:rsid w:val="00F4628E"/>
    <w:rsid w:val="00F504EB"/>
    <w:rsid w:val="00F508AF"/>
    <w:rsid w:val="00F51144"/>
    <w:rsid w:val="00F51E0A"/>
    <w:rsid w:val="00F5507D"/>
    <w:rsid w:val="00F56D8A"/>
    <w:rsid w:val="00F57496"/>
    <w:rsid w:val="00F60052"/>
    <w:rsid w:val="00F60506"/>
    <w:rsid w:val="00F623B4"/>
    <w:rsid w:val="00F62680"/>
    <w:rsid w:val="00F62D36"/>
    <w:rsid w:val="00F67243"/>
    <w:rsid w:val="00F672C5"/>
    <w:rsid w:val="00F70554"/>
    <w:rsid w:val="00F709CC"/>
    <w:rsid w:val="00F70E64"/>
    <w:rsid w:val="00F7187D"/>
    <w:rsid w:val="00F73006"/>
    <w:rsid w:val="00F768C1"/>
    <w:rsid w:val="00F779AB"/>
    <w:rsid w:val="00F779FA"/>
    <w:rsid w:val="00F80738"/>
    <w:rsid w:val="00F80F31"/>
    <w:rsid w:val="00F81982"/>
    <w:rsid w:val="00F81FC9"/>
    <w:rsid w:val="00F82608"/>
    <w:rsid w:val="00F83FA9"/>
    <w:rsid w:val="00F84664"/>
    <w:rsid w:val="00F84829"/>
    <w:rsid w:val="00F85D0C"/>
    <w:rsid w:val="00F86210"/>
    <w:rsid w:val="00F86EEB"/>
    <w:rsid w:val="00F8736C"/>
    <w:rsid w:val="00F875D4"/>
    <w:rsid w:val="00F87E70"/>
    <w:rsid w:val="00F9109A"/>
    <w:rsid w:val="00F9307C"/>
    <w:rsid w:val="00F93BD4"/>
    <w:rsid w:val="00F93FE3"/>
    <w:rsid w:val="00F94345"/>
    <w:rsid w:val="00F944D1"/>
    <w:rsid w:val="00F951F2"/>
    <w:rsid w:val="00F96B62"/>
    <w:rsid w:val="00F97E53"/>
    <w:rsid w:val="00FA0B66"/>
    <w:rsid w:val="00FA17F6"/>
    <w:rsid w:val="00FA1904"/>
    <w:rsid w:val="00FA4870"/>
    <w:rsid w:val="00FA48CB"/>
    <w:rsid w:val="00FA4B62"/>
    <w:rsid w:val="00FA52AD"/>
    <w:rsid w:val="00FA5661"/>
    <w:rsid w:val="00FA5A05"/>
    <w:rsid w:val="00FA6F21"/>
    <w:rsid w:val="00FA70AC"/>
    <w:rsid w:val="00FB0E32"/>
    <w:rsid w:val="00FB1F71"/>
    <w:rsid w:val="00FB23E2"/>
    <w:rsid w:val="00FB3158"/>
    <w:rsid w:val="00FB469E"/>
    <w:rsid w:val="00FB4D3F"/>
    <w:rsid w:val="00FB4FF4"/>
    <w:rsid w:val="00FB6774"/>
    <w:rsid w:val="00FB6B06"/>
    <w:rsid w:val="00FB6DA3"/>
    <w:rsid w:val="00FC0DC1"/>
    <w:rsid w:val="00FC2FEB"/>
    <w:rsid w:val="00FC47B3"/>
    <w:rsid w:val="00FC4EFA"/>
    <w:rsid w:val="00FC73CD"/>
    <w:rsid w:val="00FD0ABE"/>
    <w:rsid w:val="00FD1279"/>
    <w:rsid w:val="00FD1886"/>
    <w:rsid w:val="00FD2303"/>
    <w:rsid w:val="00FD3746"/>
    <w:rsid w:val="00FD3FCF"/>
    <w:rsid w:val="00FD4E70"/>
    <w:rsid w:val="00FD5DEF"/>
    <w:rsid w:val="00FD798C"/>
    <w:rsid w:val="00FD7D8E"/>
    <w:rsid w:val="00FD7FD2"/>
    <w:rsid w:val="00FE0D2D"/>
    <w:rsid w:val="00FE1BA7"/>
    <w:rsid w:val="00FE1BB4"/>
    <w:rsid w:val="00FE2209"/>
    <w:rsid w:val="00FE2468"/>
    <w:rsid w:val="00FE33BA"/>
    <w:rsid w:val="00FE4856"/>
    <w:rsid w:val="00FE624F"/>
    <w:rsid w:val="00FE6C91"/>
    <w:rsid w:val="00FE7F18"/>
    <w:rsid w:val="00FF01FD"/>
    <w:rsid w:val="00FF0255"/>
    <w:rsid w:val="00FF16EE"/>
    <w:rsid w:val="00FF2712"/>
    <w:rsid w:val="00FF3E44"/>
    <w:rsid w:val="00FF403B"/>
    <w:rsid w:val="00FF42E2"/>
    <w:rsid w:val="00FF4377"/>
    <w:rsid w:val="00FF47F6"/>
    <w:rsid w:val="00FF5E40"/>
    <w:rsid w:val="0125C6BA"/>
    <w:rsid w:val="0199B663"/>
    <w:rsid w:val="02A36A79"/>
    <w:rsid w:val="08442A31"/>
    <w:rsid w:val="084A340A"/>
    <w:rsid w:val="0DDA0FDD"/>
    <w:rsid w:val="0F31CE86"/>
    <w:rsid w:val="12436572"/>
    <w:rsid w:val="133FDD45"/>
    <w:rsid w:val="18E06B81"/>
    <w:rsid w:val="1B2A7956"/>
    <w:rsid w:val="1B6F4B6B"/>
    <w:rsid w:val="1DB007D3"/>
    <w:rsid w:val="1E138F28"/>
    <w:rsid w:val="1EE2CAFD"/>
    <w:rsid w:val="1F4BD834"/>
    <w:rsid w:val="21E89B82"/>
    <w:rsid w:val="22E02770"/>
    <w:rsid w:val="2679DDB9"/>
    <w:rsid w:val="285CDA28"/>
    <w:rsid w:val="28C35FB7"/>
    <w:rsid w:val="2B6C3A9C"/>
    <w:rsid w:val="2DD7B795"/>
    <w:rsid w:val="2EE903F3"/>
    <w:rsid w:val="304D96D5"/>
    <w:rsid w:val="30CF76C0"/>
    <w:rsid w:val="320B2623"/>
    <w:rsid w:val="36CBF13A"/>
    <w:rsid w:val="3774FB69"/>
    <w:rsid w:val="3910CBCA"/>
    <w:rsid w:val="396D2654"/>
    <w:rsid w:val="3BA0B0E8"/>
    <w:rsid w:val="3BCE98C9"/>
    <w:rsid w:val="3CB1AF6E"/>
    <w:rsid w:val="40CF34FD"/>
    <w:rsid w:val="45A59D1E"/>
    <w:rsid w:val="4754F7D1"/>
    <w:rsid w:val="493F863C"/>
    <w:rsid w:val="4A9476DD"/>
    <w:rsid w:val="4CE72738"/>
    <w:rsid w:val="4E2F9D89"/>
    <w:rsid w:val="4E3BC016"/>
    <w:rsid w:val="4E9F387C"/>
    <w:rsid w:val="4FAACCAC"/>
    <w:rsid w:val="50617D30"/>
    <w:rsid w:val="5065D819"/>
    <w:rsid w:val="506E031A"/>
    <w:rsid w:val="51BA35FE"/>
    <w:rsid w:val="56D85A36"/>
    <w:rsid w:val="595613C5"/>
    <w:rsid w:val="59F95B93"/>
    <w:rsid w:val="59FE8597"/>
    <w:rsid w:val="5A028D39"/>
    <w:rsid w:val="5AC9282C"/>
    <w:rsid w:val="5B9E5D9A"/>
    <w:rsid w:val="5BC4D0A3"/>
    <w:rsid w:val="5C20E356"/>
    <w:rsid w:val="5CBABE78"/>
    <w:rsid w:val="5ED1F6BA"/>
    <w:rsid w:val="5FB53A63"/>
    <w:rsid w:val="610F90E2"/>
    <w:rsid w:val="6165ABF4"/>
    <w:rsid w:val="617E0131"/>
    <w:rsid w:val="61FAAD69"/>
    <w:rsid w:val="621C3E4D"/>
    <w:rsid w:val="675BD951"/>
    <w:rsid w:val="68028538"/>
    <w:rsid w:val="688DC9E7"/>
    <w:rsid w:val="716DBA11"/>
    <w:rsid w:val="7260B4DD"/>
    <w:rsid w:val="73740DAB"/>
    <w:rsid w:val="76711302"/>
    <w:rsid w:val="76DDF0DE"/>
    <w:rsid w:val="770C6C3D"/>
    <w:rsid w:val="78A83C9E"/>
    <w:rsid w:val="7C07601B"/>
    <w:rsid w:val="7C59F12D"/>
    <w:rsid w:val="7D684B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432E39"/>
  <w15:docId w15:val="{A2E4895E-C47B-4140-8271-04481DD1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88"/>
    <w:pPr>
      <w:spacing w:after="200" w:line="240" w:lineRule="auto"/>
    </w:pPr>
    <w:rPr>
      <w:rFonts w:ascii="Roboto" w:eastAsia="Times New Roman" w:hAnsi="Roboto" w:cs="Times New Roman"/>
      <w:color w:val="002554"/>
      <w:sz w:val="24"/>
      <w:szCs w:val="20"/>
    </w:rPr>
  </w:style>
  <w:style w:type="paragraph" w:styleId="Heading1">
    <w:name w:val="heading 1"/>
    <w:basedOn w:val="Normal"/>
    <w:next w:val="Normal"/>
    <w:link w:val="Heading1Char"/>
    <w:uiPriority w:val="9"/>
    <w:qFormat/>
    <w:rsid w:val="00150B3E"/>
    <w:pPr>
      <w:keepNext/>
      <w:keepLines/>
      <w:spacing w:before="120" w:after="120" w:line="276" w:lineRule="auto"/>
      <w:outlineLvl w:val="0"/>
    </w:pPr>
    <w:rPr>
      <w:rFonts w:eastAsiaTheme="majorEastAsia" w:cstheme="minorHAnsi"/>
      <w:b/>
      <w:sz w:val="32"/>
      <w:szCs w:val="32"/>
    </w:rPr>
  </w:style>
  <w:style w:type="paragraph" w:styleId="Heading2">
    <w:name w:val="heading 2"/>
    <w:basedOn w:val="Normal"/>
    <w:next w:val="Normal"/>
    <w:link w:val="Heading2Char"/>
    <w:uiPriority w:val="9"/>
    <w:unhideWhenUsed/>
    <w:qFormat/>
    <w:rsid w:val="00B7141D"/>
    <w:pPr>
      <w:outlineLvl w:val="1"/>
    </w:pPr>
    <w:rPr>
      <w:rFonts w:eastAsiaTheme="minorHAnsi"/>
      <w:b/>
      <w:i/>
      <w:iCs/>
    </w:rPr>
  </w:style>
  <w:style w:type="paragraph" w:styleId="Heading3">
    <w:name w:val="heading 3"/>
    <w:basedOn w:val="Normal"/>
    <w:next w:val="Normal"/>
    <w:link w:val="Heading3Char"/>
    <w:uiPriority w:val="9"/>
    <w:unhideWhenUsed/>
    <w:qFormat/>
    <w:rsid w:val="00C90EFB"/>
    <w:pPr>
      <w:keepNext/>
      <w:keepLines/>
      <w:spacing w:before="40"/>
      <w:outlineLvl w:val="2"/>
    </w:pPr>
    <w:rPr>
      <w:rFonts w:eastAsiaTheme="majorEastAsia" w:cstheme="minorHAnsi"/>
      <w:b/>
      <w:szCs w:val="24"/>
    </w:rPr>
  </w:style>
  <w:style w:type="paragraph" w:styleId="Heading4">
    <w:name w:val="heading 4"/>
    <w:basedOn w:val="Normal"/>
    <w:next w:val="Normal"/>
    <w:link w:val="Heading4Char"/>
    <w:uiPriority w:val="9"/>
    <w:unhideWhenUsed/>
    <w:qFormat/>
    <w:rsid w:val="002E0652"/>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A1EEE"/>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A1EEE"/>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A1EEE"/>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A1EEE"/>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A1EEE"/>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3B04"/>
    <w:pPr>
      <w:ind w:left="720"/>
      <w:contextualSpacing/>
    </w:pPr>
  </w:style>
  <w:style w:type="table" w:styleId="TableGrid">
    <w:name w:val="Table Grid"/>
    <w:basedOn w:val="TableNormal"/>
    <w:uiPriority w:val="39"/>
    <w:rsid w:val="0086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3B04"/>
    <w:rPr>
      <w:color w:val="002554"/>
      <w:sz w:val="16"/>
      <w:szCs w:val="16"/>
    </w:rPr>
  </w:style>
  <w:style w:type="paragraph" w:styleId="CommentText">
    <w:name w:val="annotation text"/>
    <w:basedOn w:val="Normal"/>
    <w:link w:val="CommentTextChar"/>
    <w:uiPriority w:val="99"/>
    <w:unhideWhenUsed/>
    <w:rsid w:val="00863B04"/>
  </w:style>
  <w:style w:type="character" w:customStyle="1" w:styleId="CommentTextChar">
    <w:name w:val="Comment Text Char"/>
    <w:basedOn w:val="DefaultParagraphFont"/>
    <w:link w:val="CommentText"/>
    <w:uiPriority w:val="99"/>
    <w:rsid w:val="00863B04"/>
    <w:rPr>
      <w:rFonts w:ascii="Times New Roman" w:eastAsia="Times New Roman" w:hAnsi="Times New Roman" w:cs="Times New Roman"/>
      <w:color w:val="002554"/>
      <w:sz w:val="20"/>
      <w:szCs w:val="20"/>
    </w:rPr>
  </w:style>
  <w:style w:type="paragraph" w:styleId="CommentSubject">
    <w:name w:val="annotation subject"/>
    <w:basedOn w:val="CommentText"/>
    <w:next w:val="CommentText"/>
    <w:link w:val="CommentSubjectChar"/>
    <w:uiPriority w:val="99"/>
    <w:semiHidden/>
    <w:unhideWhenUsed/>
    <w:rsid w:val="00863B04"/>
    <w:rPr>
      <w:b/>
      <w:bCs/>
    </w:rPr>
  </w:style>
  <w:style w:type="character" w:customStyle="1" w:styleId="CommentSubjectChar">
    <w:name w:val="Comment Subject Char"/>
    <w:basedOn w:val="CommentTextChar"/>
    <w:link w:val="CommentSubject"/>
    <w:uiPriority w:val="99"/>
    <w:semiHidden/>
    <w:rsid w:val="00863B04"/>
    <w:rPr>
      <w:rFonts w:ascii="Times New Roman" w:eastAsia="Times New Roman" w:hAnsi="Times New Roman" w:cs="Times New Roman"/>
      <w:b/>
      <w:bCs/>
      <w:color w:val="002554"/>
      <w:sz w:val="20"/>
      <w:szCs w:val="20"/>
    </w:rPr>
  </w:style>
  <w:style w:type="paragraph" w:styleId="BalloonText">
    <w:name w:val="Balloon Text"/>
    <w:basedOn w:val="Normal"/>
    <w:link w:val="BalloonTextChar"/>
    <w:uiPriority w:val="99"/>
    <w:semiHidden/>
    <w:unhideWhenUsed/>
    <w:rsid w:val="0086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04"/>
    <w:rPr>
      <w:rFonts w:ascii="Segoe UI" w:eastAsia="Times New Roman" w:hAnsi="Segoe UI" w:cs="Segoe UI"/>
      <w:color w:val="002554"/>
      <w:sz w:val="18"/>
      <w:szCs w:val="18"/>
    </w:rPr>
  </w:style>
  <w:style w:type="character" w:styleId="BookTitle">
    <w:name w:val="Book Title"/>
    <w:uiPriority w:val="33"/>
    <w:qFormat/>
    <w:rsid w:val="002E0652"/>
    <w:rPr>
      <w:rFonts w:ascii="Roboto" w:hAnsi="Roboto"/>
      <w:i/>
      <w:iCs/>
      <w:smallCaps/>
      <w:spacing w:val="5"/>
    </w:rPr>
  </w:style>
  <w:style w:type="paragraph" w:customStyle="1" w:styleId="Default">
    <w:name w:val="Default"/>
    <w:rsid w:val="002E0652"/>
    <w:pPr>
      <w:autoSpaceDE w:val="0"/>
      <w:autoSpaceDN w:val="0"/>
      <w:adjustRightInd w:val="0"/>
      <w:spacing w:after="0" w:line="240" w:lineRule="auto"/>
    </w:pPr>
    <w:rPr>
      <w:rFonts w:ascii="Palatino Linotype" w:hAnsi="Palatino Linotype" w:cs="Palatino Linotype"/>
      <w:color w:val="002554"/>
      <w:sz w:val="24"/>
      <w:szCs w:val="24"/>
    </w:rPr>
  </w:style>
  <w:style w:type="paragraph" w:styleId="FootnoteText">
    <w:name w:val="footnote text"/>
    <w:basedOn w:val="Normal"/>
    <w:link w:val="FootnoteTextChar"/>
    <w:uiPriority w:val="99"/>
    <w:semiHidden/>
    <w:unhideWhenUsed/>
    <w:rsid w:val="00146C19"/>
  </w:style>
  <w:style w:type="character" w:customStyle="1" w:styleId="FootnoteTextChar">
    <w:name w:val="Footnote Text Char"/>
    <w:basedOn w:val="DefaultParagraphFont"/>
    <w:link w:val="FootnoteText"/>
    <w:uiPriority w:val="99"/>
    <w:semiHidden/>
    <w:rsid w:val="00146C19"/>
    <w:rPr>
      <w:rFonts w:ascii="Times New Roman" w:eastAsia="Times New Roman" w:hAnsi="Times New Roman" w:cs="Times New Roman"/>
      <w:color w:val="002554"/>
      <w:sz w:val="20"/>
      <w:szCs w:val="20"/>
    </w:rPr>
  </w:style>
  <w:style w:type="character" w:styleId="FootnoteReference">
    <w:name w:val="footnote reference"/>
    <w:basedOn w:val="DefaultParagraphFont"/>
    <w:uiPriority w:val="99"/>
    <w:semiHidden/>
    <w:unhideWhenUsed/>
    <w:rsid w:val="00146C19"/>
    <w:rPr>
      <w:color w:val="002554"/>
      <w:vertAlign w:val="superscript"/>
    </w:rPr>
  </w:style>
  <w:style w:type="character" w:customStyle="1" w:styleId="Heading1Char">
    <w:name w:val="Heading 1 Char"/>
    <w:basedOn w:val="DefaultParagraphFont"/>
    <w:link w:val="Heading1"/>
    <w:uiPriority w:val="9"/>
    <w:rsid w:val="00150B3E"/>
    <w:rPr>
      <w:rFonts w:ascii="Roboto" w:eastAsiaTheme="majorEastAsia" w:hAnsi="Roboto" w:cstheme="minorHAnsi"/>
      <w:b/>
      <w:color w:val="002554"/>
      <w:sz w:val="32"/>
      <w:szCs w:val="32"/>
    </w:rPr>
  </w:style>
  <w:style w:type="paragraph" w:styleId="Header">
    <w:name w:val="header"/>
    <w:basedOn w:val="Normal"/>
    <w:link w:val="HeaderChar"/>
    <w:uiPriority w:val="99"/>
    <w:unhideWhenUsed/>
    <w:rsid w:val="00D04578"/>
    <w:pPr>
      <w:tabs>
        <w:tab w:val="center" w:pos="4513"/>
        <w:tab w:val="right" w:pos="9026"/>
      </w:tabs>
      <w:spacing w:after="0"/>
    </w:pPr>
    <w:rPr>
      <w:sz w:val="18"/>
    </w:rPr>
  </w:style>
  <w:style w:type="character" w:customStyle="1" w:styleId="HeaderChar">
    <w:name w:val="Header Char"/>
    <w:basedOn w:val="DefaultParagraphFont"/>
    <w:link w:val="Header"/>
    <w:uiPriority w:val="99"/>
    <w:rsid w:val="00D04578"/>
    <w:rPr>
      <w:rFonts w:ascii="Roboto" w:eastAsia="Times New Roman" w:hAnsi="Roboto" w:cs="Times New Roman"/>
      <w:color w:val="002554"/>
      <w:sz w:val="18"/>
      <w:szCs w:val="20"/>
    </w:rPr>
  </w:style>
  <w:style w:type="paragraph" w:styleId="Footer">
    <w:name w:val="footer"/>
    <w:basedOn w:val="Normal"/>
    <w:link w:val="FooterChar"/>
    <w:uiPriority w:val="99"/>
    <w:unhideWhenUsed/>
    <w:rsid w:val="002E0652"/>
    <w:pPr>
      <w:tabs>
        <w:tab w:val="center" w:pos="4513"/>
        <w:tab w:val="right" w:pos="9026"/>
      </w:tabs>
    </w:pPr>
    <w:rPr>
      <w:sz w:val="16"/>
    </w:rPr>
  </w:style>
  <w:style w:type="character" w:customStyle="1" w:styleId="FooterChar">
    <w:name w:val="Footer Char"/>
    <w:basedOn w:val="DefaultParagraphFont"/>
    <w:link w:val="Footer"/>
    <w:uiPriority w:val="99"/>
    <w:rsid w:val="002E0652"/>
    <w:rPr>
      <w:rFonts w:ascii="Roboto" w:eastAsia="Times New Roman" w:hAnsi="Roboto" w:cs="Times New Roman"/>
      <w:color w:val="002554"/>
      <w:sz w:val="16"/>
      <w:szCs w:val="20"/>
    </w:rPr>
  </w:style>
  <w:style w:type="character" w:customStyle="1" w:styleId="Heading2Char">
    <w:name w:val="Heading 2 Char"/>
    <w:basedOn w:val="DefaultParagraphFont"/>
    <w:link w:val="Heading2"/>
    <w:uiPriority w:val="9"/>
    <w:rsid w:val="00B7141D"/>
    <w:rPr>
      <w:rFonts w:ascii="Roboto" w:hAnsi="Roboto" w:cs="Times New Roman"/>
      <w:b/>
      <w:i/>
      <w:iCs/>
      <w:color w:val="002554"/>
      <w:sz w:val="24"/>
      <w:szCs w:val="20"/>
    </w:rPr>
  </w:style>
  <w:style w:type="paragraph" w:styleId="NoSpacing">
    <w:name w:val="No Spacing"/>
    <w:uiPriority w:val="1"/>
    <w:qFormat/>
    <w:rsid w:val="00B43C0A"/>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C90EFB"/>
    <w:rPr>
      <w:rFonts w:ascii="Roboto" w:eastAsiaTheme="majorEastAsia" w:hAnsi="Roboto" w:cstheme="minorHAnsi"/>
      <w:b/>
      <w:color w:val="002554"/>
      <w:szCs w:val="24"/>
    </w:rPr>
  </w:style>
  <w:style w:type="character" w:styleId="Hyperlink">
    <w:name w:val="Hyperlink"/>
    <w:basedOn w:val="DefaultParagraphFont"/>
    <w:uiPriority w:val="99"/>
    <w:unhideWhenUsed/>
    <w:rsid w:val="00D04578"/>
    <w:rPr>
      <w:color w:val="002554"/>
      <w:u w:val="single"/>
    </w:rPr>
  </w:style>
  <w:style w:type="paragraph" w:styleId="Revision">
    <w:name w:val="Revision"/>
    <w:hidden/>
    <w:uiPriority w:val="99"/>
    <w:semiHidden/>
    <w:rsid w:val="006778FD"/>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CF3581"/>
    <w:rPr>
      <w:rFonts w:ascii="Roboto" w:hAnsi="Roboto"/>
      <w:color w:val="002554"/>
    </w:rPr>
  </w:style>
  <w:style w:type="character" w:customStyle="1" w:styleId="spellingerror">
    <w:name w:val="spellingerror"/>
    <w:basedOn w:val="DefaultParagraphFont"/>
    <w:rsid w:val="00D549C2"/>
    <w:rPr>
      <w:color w:val="002554"/>
    </w:rPr>
  </w:style>
  <w:style w:type="paragraph" w:customStyle="1" w:styleId="paragraph">
    <w:name w:val="paragraph"/>
    <w:basedOn w:val="Normal"/>
    <w:rsid w:val="000230BA"/>
    <w:pPr>
      <w:spacing w:before="100" w:beforeAutospacing="1" w:after="100" w:afterAutospacing="1"/>
    </w:pPr>
    <w:rPr>
      <w:szCs w:val="24"/>
      <w:lang w:eastAsia="en-AU"/>
    </w:rPr>
  </w:style>
  <w:style w:type="character" w:customStyle="1" w:styleId="eop">
    <w:name w:val="eop"/>
    <w:basedOn w:val="DefaultParagraphFont"/>
    <w:rsid w:val="000230BA"/>
    <w:rPr>
      <w:color w:val="002554"/>
    </w:rPr>
  </w:style>
  <w:style w:type="paragraph" w:customStyle="1" w:styleId="ColorfulList-Accent11">
    <w:name w:val="Colorful List - Accent 11"/>
    <w:basedOn w:val="Normal"/>
    <w:uiPriority w:val="34"/>
    <w:qFormat/>
    <w:rsid w:val="002E0652"/>
    <w:pPr>
      <w:ind w:left="720"/>
      <w:contextualSpacing/>
    </w:pPr>
    <w:rPr>
      <w:rFonts w:eastAsia="MS Mincho"/>
      <w:szCs w:val="24"/>
      <w:lang w:val="en-US"/>
    </w:rPr>
  </w:style>
  <w:style w:type="character" w:customStyle="1" w:styleId="Heading4Char">
    <w:name w:val="Heading 4 Char"/>
    <w:basedOn w:val="DefaultParagraphFont"/>
    <w:link w:val="Heading4"/>
    <w:uiPriority w:val="9"/>
    <w:rsid w:val="002E0652"/>
    <w:rPr>
      <w:rFonts w:ascii="Roboto" w:eastAsiaTheme="majorEastAsia" w:hAnsi="Roboto" w:cstheme="majorBidi"/>
      <w:i/>
      <w:iCs/>
      <w:color w:val="002554"/>
      <w:sz w:val="24"/>
      <w:szCs w:val="20"/>
    </w:rPr>
  </w:style>
  <w:style w:type="paragraph" w:customStyle="1" w:styleId="Bulletedlist">
    <w:name w:val="Bulleted list"/>
    <w:basedOn w:val="ListParagraph"/>
    <w:link w:val="BulletedlistChar"/>
    <w:qFormat/>
    <w:rsid w:val="00E44FA3"/>
    <w:pPr>
      <w:numPr>
        <w:numId w:val="50"/>
      </w:numPr>
    </w:pPr>
    <w:rPr>
      <w:rFonts w:eastAsiaTheme="majorEastAsia"/>
    </w:rPr>
  </w:style>
  <w:style w:type="character" w:customStyle="1" w:styleId="ListParagraphChar">
    <w:name w:val="List Paragraph Char"/>
    <w:basedOn w:val="DefaultParagraphFont"/>
    <w:link w:val="ListParagraph"/>
    <w:uiPriority w:val="34"/>
    <w:rsid w:val="00E64D37"/>
    <w:rPr>
      <w:rFonts w:eastAsia="Times New Roman" w:cs="Times New Roman"/>
      <w:color w:val="002554"/>
      <w:szCs w:val="20"/>
    </w:rPr>
  </w:style>
  <w:style w:type="character" w:customStyle="1" w:styleId="BulletedlistChar">
    <w:name w:val="Bulleted list Char"/>
    <w:basedOn w:val="ListParagraphChar"/>
    <w:link w:val="Bulletedlist"/>
    <w:rsid w:val="00E44FA3"/>
    <w:rPr>
      <w:rFonts w:ascii="Roboto" w:eastAsiaTheme="majorEastAsia" w:hAnsi="Roboto" w:cs="Times New Roman"/>
      <w:color w:val="002554"/>
      <w:sz w:val="24"/>
      <w:szCs w:val="20"/>
    </w:rPr>
  </w:style>
  <w:style w:type="character" w:styleId="Mention">
    <w:name w:val="Mention"/>
    <w:basedOn w:val="DefaultParagraphFont"/>
    <w:uiPriority w:val="99"/>
    <w:unhideWhenUsed/>
    <w:rPr>
      <w:color w:val="2B579A"/>
      <w:shd w:val="clear" w:color="auto" w:fill="E6E6E6"/>
    </w:rPr>
  </w:style>
  <w:style w:type="paragraph" w:customStyle="1" w:styleId="p1">
    <w:name w:val="p1"/>
    <w:basedOn w:val="Normal"/>
    <w:rsid w:val="003A1EEE"/>
    <w:pPr>
      <w:spacing w:before="100" w:beforeAutospacing="1" w:after="100" w:afterAutospacing="1"/>
    </w:pPr>
    <w:rPr>
      <w:szCs w:val="24"/>
      <w:lang w:eastAsia="en-AU"/>
    </w:rPr>
  </w:style>
  <w:style w:type="character" w:customStyle="1" w:styleId="s1">
    <w:name w:val="s1"/>
    <w:basedOn w:val="DefaultParagraphFont"/>
    <w:rsid w:val="002E0652"/>
    <w:rPr>
      <w:color w:val="002554"/>
    </w:rPr>
  </w:style>
  <w:style w:type="character" w:customStyle="1" w:styleId="Heading5Char">
    <w:name w:val="Heading 5 Char"/>
    <w:basedOn w:val="DefaultParagraphFont"/>
    <w:link w:val="Heading5"/>
    <w:uiPriority w:val="9"/>
    <w:semiHidden/>
    <w:rsid w:val="003A1EEE"/>
    <w:rPr>
      <w:rFonts w:ascii="Roboto" w:eastAsiaTheme="majorEastAsia" w:hAnsi="Roboto" w:cstheme="majorBidi"/>
      <w:color w:val="002554"/>
      <w:szCs w:val="20"/>
    </w:rPr>
  </w:style>
  <w:style w:type="numbering" w:customStyle="1" w:styleId="CurrentList1">
    <w:name w:val="Current List1"/>
    <w:uiPriority w:val="99"/>
    <w:rsid w:val="00CF3581"/>
    <w:pPr>
      <w:numPr>
        <w:numId w:val="2"/>
      </w:numPr>
    </w:pPr>
  </w:style>
  <w:style w:type="character" w:customStyle="1" w:styleId="Heading6Char">
    <w:name w:val="Heading 6 Char"/>
    <w:basedOn w:val="DefaultParagraphFont"/>
    <w:link w:val="Heading6"/>
    <w:uiPriority w:val="9"/>
    <w:semiHidden/>
    <w:rsid w:val="003A1EEE"/>
    <w:rPr>
      <w:rFonts w:ascii="Roboto" w:eastAsiaTheme="majorEastAsia" w:hAnsi="Roboto" w:cstheme="majorBidi"/>
      <w:color w:val="002554"/>
      <w:szCs w:val="20"/>
    </w:rPr>
  </w:style>
  <w:style w:type="character" w:customStyle="1" w:styleId="Heading7Char">
    <w:name w:val="Heading 7 Char"/>
    <w:basedOn w:val="DefaultParagraphFont"/>
    <w:link w:val="Heading7"/>
    <w:uiPriority w:val="9"/>
    <w:semiHidden/>
    <w:rsid w:val="003A1EEE"/>
    <w:rPr>
      <w:rFonts w:ascii="Roboto" w:eastAsiaTheme="majorEastAsia" w:hAnsi="Roboto" w:cstheme="majorBidi"/>
      <w:i/>
      <w:iCs/>
      <w:color w:val="002554"/>
      <w:szCs w:val="20"/>
    </w:rPr>
  </w:style>
  <w:style w:type="character" w:customStyle="1" w:styleId="Heading8Char">
    <w:name w:val="Heading 8 Char"/>
    <w:basedOn w:val="DefaultParagraphFont"/>
    <w:link w:val="Heading8"/>
    <w:uiPriority w:val="9"/>
    <w:semiHidden/>
    <w:rsid w:val="003A1EEE"/>
    <w:rPr>
      <w:rFonts w:ascii="Roboto" w:eastAsiaTheme="majorEastAsia" w:hAnsi="Roboto" w:cstheme="majorBidi"/>
      <w:color w:val="002554"/>
      <w:sz w:val="21"/>
      <w:szCs w:val="21"/>
    </w:rPr>
  </w:style>
  <w:style w:type="character" w:customStyle="1" w:styleId="Heading9Char">
    <w:name w:val="Heading 9 Char"/>
    <w:basedOn w:val="DefaultParagraphFont"/>
    <w:link w:val="Heading9"/>
    <w:uiPriority w:val="9"/>
    <w:semiHidden/>
    <w:rsid w:val="003A1EEE"/>
    <w:rPr>
      <w:rFonts w:ascii="Roboto" w:eastAsiaTheme="majorEastAsia" w:hAnsi="Roboto" w:cstheme="majorBidi"/>
      <w:i/>
      <w:iCs/>
      <w:color w:val="002554"/>
      <w:sz w:val="21"/>
      <w:szCs w:val="21"/>
    </w:rPr>
  </w:style>
  <w:style w:type="paragraph" w:styleId="Title">
    <w:name w:val="Title"/>
    <w:basedOn w:val="Normal"/>
    <w:next w:val="Normal"/>
    <w:link w:val="TitleChar"/>
    <w:uiPriority w:val="10"/>
    <w:qFormat/>
    <w:rsid w:val="003A1EE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A1EEE"/>
    <w:rPr>
      <w:rFonts w:ascii="Roboto" w:eastAsiaTheme="majorEastAsia" w:hAnsi="Roboto" w:cstheme="majorBidi"/>
      <w:color w:val="002554"/>
      <w:spacing w:val="-10"/>
      <w:kern w:val="28"/>
      <w:sz w:val="56"/>
      <w:szCs w:val="56"/>
    </w:rPr>
  </w:style>
  <w:style w:type="paragraph" w:styleId="Subtitle">
    <w:name w:val="Subtitle"/>
    <w:basedOn w:val="Normal"/>
    <w:next w:val="Normal"/>
    <w:link w:val="SubtitleChar"/>
    <w:uiPriority w:val="11"/>
    <w:qFormat/>
    <w:rsid w:val="003A1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EEE"/>
    <w:rPr>
      <w:rFonts w:ascii="Roboto" w:eastAsiaTheme="minorEastAsia" w:hAnsi="Roboto"/>
      <w:color w:val="5A5A5A" w:themeColor="text1" w:themeTint="A5"/>
      <w:spacing w:val="15"/>
    </w:rPr>
  </w:style>
  <w:style w:type="character" w:styleId="SubtleEmphasis">
    <w:name w:val="Subtle Emphasis"/>
    <w:basedOn w:val="DefaultParagraphFont"/>
    <w:uiPriority w:val="19"/>
    <w:qFormat/>
    <w:rsid w:val="003A1EEE"/>
    <w:rPr>
      <w:i/>
      <w:iCs/>
      <w:color w:val="002554"/>
    </w:rPr>
  </w:style>
  <w:style w:type="character" w:styleId="Emphasis">
    <w:name w:val="Emphasis"/>
    <w:basedOn w:val="DefaultParagraphFont"/>
    <w:uiPriority w:val="20"/>
    <w:qFormat/>
    <w:rsid w:val="003A1EEE"/>
    <w:rPr>
      <w:i/>
      <w:iCs/>
      <w:color w:val="002554"/>
    </w:rPr>
  </w:style>
  <w:style w:type="character" w:styleId="Strong">
    <w:name w:val="Strong"/>
    <w:basedOn w:val="DefaultParagraphFont"/>
    <w:uiPriority w:val="22"/>
    <w:qFormat/>
    <w:rsid w:val="003A1EEE"/>
    <w:rPr>
      <w:b/>
      <w:bCs/>
      <w:color w:val="002554"/>
    </w:rPr>
  </w:style>
  <w:style w:type="paragraph" w:styleId="IntenseQuote">
    <w:name w:val="Intense Quote"/>
    <w:basedOn w:val="Normal"/>
    <w:next w:val="Normal"/>
    <w:link w:val="IntenseQuoteChar"/>
    <w:uiPriority w:val="30"/>
    <w:qFormat/>
    <w:rsid w:val="003A1EEE"/>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A1EEE"/>
    <w:rPr>
      <w:rFonts w:ascii="Roboto" w:eastAsia="Times New Roman" w:hAnsi="Roboto" w:cs="Times New Roman"/>
      <w:i/>
      <w:iCs/>
      <w:color w:val="002554"/>
      <w:szCs w:val="20"/>
    </w:rPr>
  </w:style>
  <w:style w:type="paragraph" w:styleId="TOCHeading">
    <w:name w:val="TOC Heading"/>
    <w:basedOn w:val="Heading1"/>
    <w:next w:val="Normal"/>
    <w:uiPriority w:val="39"/>
    <w:semiHidden/>
    <w:unhideWhenUsed/>
    <w:qFormat/>
    <w:rsid w:val="00CB2ED7"/>
    <w:pPr>
      <w:spacing w:before="240" w:after="0" w:line="240" w:lineRule="auto"/>
      <w:outlineLvl w:val="9"/>
    </w:pPr>
    <w:rPr>
      <w:rFonts w:cstheme="majorBidi"/>
      <w:b w:val="0"/>
    </w:rPr>
  </w:style>
  <w:style w:type="paragraph" w:styleId="BlockText">
    <w:name w:val="Block Text"/>
    <w:basedOn w:val="Normal"/>
    <w:uiPriority w:val="99"/>
    <w:semiHidden/>
    <w:unhideWhenUsed/>
    <w:rsid w:val="00CB2E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character" w:styleId="UnresolvedMention">
    <w:name w:val="Unresolved Mention"/>
    <w:basedOn w:val="DefaultParagraphFont"/>
    <w:uiPriority w:val="99"/>
    <w:semiHidden/>
    <w:unhideWhenUsed/>
    <w:rsid w:val="00D04578"/>
    <w:rPr>
      <w:color w:val="605E5C"/>
      <w:shd w:val="clear" w:color="auto" w:fill="E1DFDD"/>
    </w:rPr>
  </w:style>
  <w:style w:type="paragraph" w:styleId="ListNumber">
    <w:name w:val="List Number"/>
    <w:basedOn w:val="Normal"/>
    <w:uiPriority w:val="99"/>
    <w:unhideWhenUsed/>
    <w:rsid w:val="009876CB"/>
    <w:pPr>
      <w:numPr>
        <w:numId w:val="3"/>
      </w:numPr>
      <w:contextualSpacing/>
    </w:pPr>
  </w:style>
  <w:style w:type="paragraph" w:styleId="ListNumber2">
    <w:name w:val="List Number 2"/>
    <w:basedOn w:val="Normal"/>
    <w:uiPriority w:val="99"/>
    <w:unhideWhenUsed/>
    <w:rsid w:val="004312E8"/>
    <w:pPr>
      <w:numPr>
        <w:numId w:val="4"/>
      </w:numPr>
      <w:contextualSpacing/>
    </w:pPr>
  </w:style>
  <w:style w:type="character" w:styleId="FollowedHyperlink">
    <w:name w:val="FollowedHyperlink"/>
    <w:basedOn w:val="DefaultParagraphFont"/>
    <w:uiPriority w:val="99"/>
    <w:semiHidden/>
    <w:unhideWhenUsed/>
    <w:rsid w:val="005464A7"/>
    <w:rPr>
      <w:color w:val="954F72" w:themeColor="followedHyperlink"/>
      <w:u w:val="single"/>
    </w:rPr>
  </w:style>
  <w:style w:type="paragraph" w:styleId="NormalWeb">
    <w:name w:val="Normal (Web)"/>
    <w:basedOn w:val="Normal"/>
    <w:uiPriority w:val="99"/>
    <w:semiHidden/>
    <w:unhideWhenUsed/>
    <w:rsid w:val="000856A3"/>
    <w:pPr>
      <w:spacing w:before="100" w:beforeAutospacing="1" w:after="100" w:afterAutospacing="1"/>
    </w:pPr>
    <w:rPr>
      <w:rFonts w:ascii="Times New Roman" w:hAnsi="Times New Roman"/>
      <w:color w:val="auto"/>
      <w:szCs w:val="24"/>
      <w:lang w:eastAsia="en-GB"/>
    </w:rPr>
  </w:style>
  <w:style w:type="character" w:customStyle="1" w:styleId="superscript">
    <w:name w:val="superscript"/>
    <w:basedOn w:val="DefaultParagraphFont"/>
    <w:rsid w:val="00AD7CE1"/>
  </w:style>
  <w:style w:type="character" w:customStyle="1" w:styleId="ui-provider">
    <w:name w:val="ui-provider"/>
    <w:basedOn w:val="DefaultParagraphFont"/>
    <w:rsid w:val="00C30297"/>
  </w:style>
  <w:style w:type="character" w:styleId="EndnoteReference">
    <w:name w:val="endnote reference"/>
    <w:basedOn w:val="DefaultParagraphFont"/>
    <w:uiPriority w:val="99"/>
    <w:unhideWhenUsed/>
    <w:qFormat/>
    <w:rsid w:val="004A37A6"/>
    <w:rPr>
      <w:rFonts w:asciiTheme="majorHAnsi" w:hAnsiTheme="majorHAnsi" w:cstheme="majorHAnsi"/>
    </w:rPr>
  </w:style>
  <w:style w:type="paragraph" w:styleId="EndnoteText">
    <w:name w:val="endnote text"/>
    <w:basedOn w:val="Normal"/>
    <w:link w:val="EndnoteTextChar"/>
    <w:uiPriority w:val="99"/>
    <w:semiHidden/>
    <w:unhideWhenUsed/>
    <w:rsid w:val="000445BC"/>
    <w:pPr>
      <w:spacing w:after="0"/>
    </w:pPr>
    <w:rPr>
      <w:sz w:val="20"/>
    </w:rPr>
  </w:style>
  <w:style w:type="character" w:customStyle="1" w:styleId="EndnoteTextChar">
    <w:name w:val="Endnote Text Char"/>
    <w:basedOn w:val="DefaultParagraphFont"/>
    <w:link w:val="EndnoteText"/>
    <w:uiPriority w:val="99"/>
    <w:semiHidden/>
    <w:rsid w:val="000445BC"/>
    <w:rPr>
      <w:rFonts w:ascii="Roboto" w:eastAsia="Times New Roman" w:hAnsi="Roboto" w:cs="Times New Roman"/>
      <w:color w:val="002554"/>
      <w:sz w:val="20"/>
      <w:szCs w:val="20"/>
    </w:rPr>
  </w:style>
  <w:style w:type="paragraph" w:styleId="Date">
    <w:name w:val="Date"/>
    <w:basedOn w:val="NoSpacing"/>
    <w:next w:val="Normal"/>
    <w:link w:val="DateChar"/>
    <w:uiPriority w:val="99"/>
    <w:unhideWhenUsed/>
    <w:rsid w:val="009E3974"/>
    <w:pPr>
      <w:spacing w:after="360" w:line="199" w:lineRule="auto"/>
    </w:pPr>
    <w:rPr>
      <w:rFonts w:ascii="Roboto" w:eastAsiaTheme="minorHAnsi" w:hAnsi="Roboto" w:cstheme="minorBidi"/>
      <w:color w:val="002554"/>
      <w:spacing w:val="-5"/>
      <w:sz w:val="28"/>
      <w:szCs w:val="24"/>
    </w:rPr>
  </w:style>
  <w:style w:type="character" w:customStyle="1" w:styleId="DateChar">
    <w:name w:val="Date Char"/>
    <w:basedOn w:val="DefaultParagraphFont"/>
    <w:link w:val="Date"/>
    <w:uiPriority w:val="99"/>
    <w:rsid w:val="009E3974"/>
    <w:rPr>
      <w:rFonts w:ascii="Roboto" w:hAnsi="Roboto"/>
      <w:color w:val="002554"/>
      <w:spacing w:val="-5"/>
      <w:sz w:val="28"/>
      <w:szCs w:val="24"/>
    </w:rPr>
  </w:style>
  <w:style w:type="paragraph" w:customStyle="1" w:styleId="CoverKeyline">
    <w:name w:val="Cover Keyline"/>
    <w:basedOn w:val="Normal"/>
    <w:next w:val="Normal"/>
    <w:link w:val="CoverKeylineChar"/>
    <w:rsid w:val="009E3974"/>
    <w:pPr>
      <w:spacing w:after="360" w:line="199" w:lineRule="auto"/>
      <w:ind w:left="-113" w:right="-3119"/>
      <w:contextualSpacing/>
    </w:pPr>
    <w:rPr>
      <w:rFonts w:eastAsiaTheme="minorHAnsi" w:cstheme="minorBidi"/>
      <w:spacing w:val="-5"/>
      <w:szCs w:val="22"/>
    </w:rPr>
  </w:style>
  <w:style w:type="paragraph" w:customStyle="1" w:styleId="Subtitle2">
    <w:name w:val="Subtitle 2"/>
    <w:basedOn w:val="NoSpacing"/>
    <w:next w:val="Normal"/>
    <w:link w:val="Subtitle2Char"/>
    <w:uiPriority w:val="11"/>
    <w:rsid w:val="009E3974"/>
    <w:pPr>
      <w:spacing w:after="240" w:line="199" w:lineRule="auto"/>
      <w:contextualSpacing/>
    </w:pPr>
    <w:rPr>
      <w:rFonts w:ascii="Roboto" w:eastAsiaTheme="minorHAnsi" w:hAnsi="Roboto" w:cstheme="minorBidi"/>
      <w:color w:val="002554"/>
      <w:spacing w:val="-8"/>
      <w:sz w:val="36"/>
      <w:szCs w:val="36"/>
    </w:rPr>
  </w:style>
  <w:style w:type="character" w:customStyle="1" w:styleId="CoverKeylineChar">
    <w:name w:val="Cover Keyline Char"/>
    <w:basedOn w:val="DefaultParagraphFont"/>
    <w:link w:val="CoverKeyline"/>
    <w:rsid w:val="009E3974"/>
    <w:rPr>
      <w:rFonts w:ascii="Roboto" w:hAnsi="Roboto"/>
      <w:color w:val="002554"/>
      <w:spacing w:val="-5"/>
      <w:sz w:val="24"/>
    </w:rPr>
  </w:style>
  <w:style w:type="character" w:customStyle="1" w:styleId="Subtitle2Char">
    <w:name w:val="Subtitle 2 Char"/>
    <w:basedOn w:val="DefaultParagraphFont"/>
    <w:link w:val="Subtitle2"/>
    <w:uiPriority w:val="11"/>
    <w:rsid w:val="009E3974"/>
    <w:rPr>
      <w:rFonts w:ascii="Roboto" w:hAnsi="Roboto"/>
      <w:color w:val="002554"/>
      <w:spacing w:val="-8"/>
      <w:sz w:val="36"/>
      <w:szCs w:val="36"/>
    </w:rPr>
  </w:style>
  <w:style w:type="character" w:customStyle="1" w:styleId="A7">
    <w:name w:val="A7"/>
    <w:uiPriority w:val="99"/>
    <w:rsid w:val="00765DE2"/>
    <w:rPr>
      <w:rFonts w:cs="Acumin Pro Medium"/>
      <w:color w:val="000000"/>
      <w:sz w:val="22"/>
      <w:szCs w:val="22"/>
      <w:u w:val="single"/>
    </w:rPr>
  </w:style>
  <w:style w:type="character" w:customStyle="1" w:styleId="cf01">
    <w:name w:val="cf01"/>
    <w:basedOn w:val="DefaultParagraphFont"/>
    <w:rsid w:val="00221327"/>
    <w:rPr>
      <w:rFonts w:ascii="Segoe UI" w:hAnsi="Segoe UI" w:cs="Segoe UI" w:hint="default"/>
      <w:color w:val="002554"/>
      <w:sz w:val="18"/>
      <w:szCs w:val="18"/>
    </w:rPr>
  </w:style>
  <w:style w:type="paragraph" w:styleId="Bibliography">
    <w:name w:val="Bibliography"/>
    <w:basedOn w:val="Normal"/>
    <w:next w:val="Normal"/>
    <w:uiPriority w:val="37"/>
    <w:semiHidden/>
    <w:unhideWhenUsed/>
    <w:rsid w:val="00D12159"/>
  </w:style>
  <w:style w:type="paragraph" w:styleId="BodyText">
    <w:name w:val="Body Text"/>
    <w:basedOn w:val="Normal"/>
    <w:link w:val="BodyTextChar"/>
    <w:uiPriority w:val="99"/>
    <w:semiHidden/>
    <w:unhideWhenUsed/>
    <w:rsid w:val="00D12159"/>
    <w:pPr>
      <w:spacing w:after="120"/>
    </w:pPr>
  </w:style>
  <w:style w:type="character" w:customStyle="1" w:styleId="BodyTextChar">
    <w:name w:val="Body Text Char"/>
    <w:basedOn w:val="DefaultParagraphFont"/>
    <w:link w:val="BodyText"/>
    <w:uiPriority w:val="99"/>
    <w:semiHidden/>
    <w:rsid w:val="00D12159"/>
    <w:rPr>
      <w:rFonts w:ascii="Roboto" w:eastAsia="Times New Roman" w:hAnsi="Roboto" w:cs="Times New Roman"/>
      <w:color w:val="002554"/>
      <w:sz w:val="24"/>
      <w:szCs w:val="20"/>
    </w:rPr>
  </w:style>
  <w:style w:type="paragraph" w:styleId="BodyText2">
    <w:name w:val="Body Text 2"/>
    <w:basedOn w:val="Normal"/>
    <w:link w:val="BodyText2Char"/>
    <w:uiPriority w:val="99"/>
    <w:semiHidden/>
    <w:unhideWhenUsed/>
    <w:rsid w:val="00D12159"/>
    <w:pPr>
      <w:spacing w:after="120" w:line="480" w:lineRule="auto"/>
    </w:pPr>
  </w:style>
  <w:style w:type="character" w:customStyle="1" w:styleId="BodyText2Char">
    <w:name w:val="Body Text 2 Char"/>
    <w:basedOn w:val="DefaultParagraphFont"/>
    <w:link w:val="BodyText2"/>
    <w:uiPriority w:val="99"/>
    <w:semiHidden/>
    <w:rsid w:val="00D12159"/>
    <w:rPr>
      <w:rFonts w:ascii="Roboto" w:eastAsia="Times New Roman" w:hAnsi="Roboto" w:cs="Times New Roman"/>
      <w:color w:val="002554"/>
      <w:sz w:val="24"/>
      <w:szCs w:val="20"/>
    </w:rPr>
  </w:style>
  <w:style w:type="paragraph" w:styleId="BodyText3">
    <w:name w:val="Body Text 3"/>
    <w:basedOn w:val="Normal"/>
    <w:link w:val="BodyText3Char"/>
    <w:uiPriority w:val="99"/>
    <w:semiHidden/>
    <w:unhideWhenUsed/>
    <w:rsid w:val="00D12159"/>
    <w:pPr>
      <w:spacing w:after="120"/>
    </w:pPr>
    <w:rPr>
      <w:sz w:val="16"/>
      <w:szCs w:val="16"/>
    </w:rPr>
  </w:style>
  <w:style w:type="character" w:customStyle="1" w:styleId="BodyText3Char">
    <w:name w:val="Body Text 3 Char"/>
    <w:basedOn w:val="DefaultParagraphFont"/>
    <w:link w:val="BodyText3"/>
    <w:uiPriority w:val="99"/>
    <w:semiHidden/>
    <w:rsid w:val="00D12159"/>
    <w:rPr>
      <w:rFonts w:ascii="Roboto" w:eastAsia="Times New Roman" w:hAnsi="Roboto" w:cs="Times New Roman"/>
      <w:color w:val="002554"/>
      <w:sz w:val="16"/>
      <w:szCs w:val="16"/>
    </w:rPr>
  </w:style>
  <w:style w:type="paragraph" w:styleId="BodyTextFirstIndent">
    <w:name w:val="Body Text First Indent"/>
    <w:basedOn w:val="BodyText"/>
    <w:link w:val="BodyTextFirstIndentChar"/>
    <w:uiPriority w:val="99"/>
    <w:semiHidden/>
    <w:unhideWhenUsed/>
    <w:rsid w:val="00D12159"/>
    <w:pPr>
      <w:spacing w:after="200"/>
      <w:ind w:firstLine="360"/>
    </w:pPr>
  </w:style>
  <w:style w:type="character" w:customStyle="1" w:styleId="BodyTextFirstIndentChar">
    <w:name w:val="Body Text First Indent Char"/>
    <w:basedOn w:val="BodyTextChar"/>
    <w:link w:val="BodyTextFirstIndent"/>
    <w:uiPriority w:val="99"/>
    <w:semiHidden/>
    <w:rsid w:val="00D12159"/>
    <w:rPr>
      <w:rFonts w:ascii="Roboto" w:eastAsia="Times New Roman" w:hAnsi="Roboto" w:cs="Times New Roman"/>
      <w:color w:val="002554"/>
      <w:sz w:val="24"/>
      <w:szCs w:val="20"/>
    </w:rPr>
  </w:style>
  <w:style w:type="paragraph" w:styleId="BodyTextIndent">
    <w:name w:val="Body Text Indent"/>
    <w:basedOn w:val="Normal"/>
    <w:link w:val="BodyTextIndentChar"/>
    <w:uiPriority w:val="99"/>
    <w:semiHidden/>
    <w:unhideWhenUsed/>
    <w:rsid w:val="00D12159"/>
    <w:pPr>
      <w:spacing w:after="120"/>
      <w:ind w:left="283"/>
    </w:pPr>
  </w:style>
  <w:style w:type="character" w:customStyle="1" w:styleId="BodyTextIndentChar">
    <w:name w:val="Body Text Indent Char"/>
    <w:basedOn w:val="DefaultParagraphFont"/>
    <w:link w:val="BodyTextIndent"/>
    <w:uiPriority w:val="99"/>
    <w:semiHidden/>
    <w:rsid w:val="00D12159"/>
    <w:rPr>
      <w:rFonts w:ascii="Roboto" w:eastAsia="Times New Roman" w:hAnsi="Roboto" w:cs="Times New Roman"/>
      <w:color w:val="002554"/>
      <w:sz w:val="24"/>
      <w:szCs w:val="20"/>
    </w:rPr>
  </w:style>
  <w:style w:type="paragraph" w:styleId="BodyTextFirstIndent2">
    <w:name w:val="Body Text First Indent 2"/>
    <w:basedOn w:val="BodyTextIndent"/>
    <w:link w:val="BodyTextFirstIndent2Char"/>
    <w:uiPriority w:val="99"/>
    <w:semiHidden/>
    <w:unhideWhenUsed/>
    <w:rsid w:val="00D1215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12159"/>
    <w:rPr>
      <w:rFonts w:ascii="Roboto" w:eastAsia="Times New Roman" w:hAnsi="Roboto" w:cs="Times New Roman"/>
      <w:color w:val="002554"/>
      <w:sz w:val="24"/>
      <w:szCs w:val="20"/>
    </w:rPr>
  </w:style>
  <w:style w:type="paragraph" w:styleId="BodyTextIndent2">
    <w:name w:val="Body Text Indent 2"/>
    <w:basedOn w:val="Normal"/>
    <w:link w:val="BodyTextIndent2Char"/>
    <w:uiPriority w:val="99"/>
    <w:semiHidden/>
    <w:unhideWhenUsed/>
    <w:rsid w:val="00D12159"/>
    <w:pPr>
      <w:spacing w:after="120" w:line="480" w:lineRule="auto"/>
      <w:ind w:left="283"/>
    </w:pPr>
  </w:style>
  <w:style w:type="character" w:customStyle="1" w:styleId="BodyTextIndent2Char">
    <w:name w:val="Body Text Indent 2 Char"/>
    <w:basedOn w:val="DefaultParagraphFont"/>
    <w:link w:val="BodyTextIndent2"/>
    <w:uiPriority w:val="99"/>
    <w:semiHidden/>
    <w:rsid w:val="00D12159"/>
    <w:rPr>
      <w:rFonts w:ascii="Roboto" w:eastAsia="Times New Roman" w:hAnsi="Roboto" w:cs="Times New Roman"/>
      <w:color w:val="002554"/>
      <w:sz w:val="24"/>
      <w:szCs w:val="20"/>
    </w:rPr>
  </w:style>
  <w:style w:type="paragraph" w:styleId="BodyTextIndent3">
    <w:name w:val="Body Text Indent 3"/>
    <w:basedOn w:val="Normal"/>
    <w:link w:val="BodyTextIndent3Char"/>
    <w:uiPriority w:val="99"/>
    <w:semiHidden/>
    <w:unhideWhenUsed/>
    <w:rsid w:val="00D121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12159"/>
    <w:rPr>
      <w:rFonts w:ascii="Roboto" w:eastAsia="Times New Roman" w:hAnsi="Roboto" w:cs="Times New Roman"/>
      <w:color w:val="002554"/>
      <w:sz w:val="16"/>
      <w:szCs w:val="16"/>
    </w:rPr>
  </w:style>
  <w:style w:type="paragraph" w:styleId="Caption">
    <w:name w:val="caption"/>
    <w:basedOn w:val="Normal"/>
    <w:next w:val="Normal"/>
    <w:uiPriority w:val="35"/>
    <w:semiHidden/>
    <w:unhideWhenUsed/>
    <w:qFormat/>
    <w:rsid w:val="00D12159"/>
    <w:rPr>
      <w:i/>
      <w:iCs/>
      <w:color w:val="44546A" w:themeColor="text2"/>
      <w:sz w:val="18"/>
      <w:szCs w:val="18"/>
    </w:rPr>
  </w:style>
  <w:style w:type="paragraph" w:styleId="Closing">
    <w:name w:val="Closing"/>
    <w:basedOn w:val="Normal"/>
    <w:link w:val="ClosingChar"/>
    <w:uiPriority w:val="99"/>
    <w:semiHidden/>
    <w:unhideWhenUsed/>
    <w:rsid w:val="00D12159"/>
    <w:pPr>
      <w:spacing w:after="0"/>
      <w:ind w:left="4252"/>
    </w:pPr>
  </w:style>
  <w:style w:type="character" w:customStyle="1" w:styleId="ClosingChar">
    <w:name w:val="Closing Char"/>
    <w:basedOn w:val="DefaultParagraphFont"/>
    <w:link w:val="Closing"/>
    <w:uiPriority w:val="99"/>
    <w:semiHidden/>
    <w:rsid w:val="00D12159"/>
    <w:rPr>
      <w:rFonts w:ascii="Roboto" w:eastAsia="Times New Roman" w:hAnsi="Roboto" w:cs="Times New Roman"/>
      <w:color w:val="002554"/>
      <w:sz w:val="24"/>
      <w:szCs w:val="20"/>
    </w:rPr>
  </w:style>
  <w:style w:type="paragraph" w:styleId="DocumentMap">
    <w:name w:val="Document Map"/>
    <w:basedOn w:val="Normal"/>
    <w:link w:val="DocumentMapChar"/>
    <w:uiPriority w:val="99"/>
    <w:semiHidden/>
    <w:unhideWhenUsed/>
    <w:rsid w:val="00D1215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12159"/>
    <w:rPr>
      <w:rFonts w:ascii="Segoe UI" w:eastAsia="Times New Roman" w:hAnsi="Segoe UI" w:cs="Segoe UI"/>
      <w:color w:val="002554"/>
      <w:sz w:val="16"/>
      <w:szCs w:val="16"/>
    </w:rPr>
  </w:style>
  <w:style w:type="paragraph" w:styleId="E-mailSignature">
    <w:name w:val="E-mail Signature"/>
    <w:basedOn w:val="Normal"/>
    <w:link w:val="E-mailSignatureChar"/>
    <w:uiPriority w:val="99"/>
    <w:semiHidden/>
    <w:unhideWhenUsed/>
    <w:rsid w:val="00D12159"/>
    <w:pPr>
      <w:spacing w:after="0"/>
    </w:pPr>
  </w:style>
  <w:style w:type="character" w:customStyle="1" w:styleId="E-mailSignatureChar">
    <w:name w:val="E-mail Signature Char"/>
    <w:basedOn w:val="DefaultParagraphFont"/>
    <w:link w:val="E-mailSignature"/>
    <w:uiPriority w:val="99"/>
    <w:semiHidden/>
    <w:rsid w:val="00D12159"/>
    <w:rPr>
      <w:rFonts w:ascii="Roboto" w:eastAsia="Times New Roman" w:hAnsi="Roboto" w:cs="Times New Roman"/>
      <w:color w:val="002554"/>
      <w:sz w:val="24"/>
      <w:szCs w:val="20"/>
    </w:rPr>
  </w:style>
  <w:style w:type="paragraph" w:styleId="EnvelopeAddress">
    <w:name w:val="envelope address"/>
    <w:basedOn w:val="Normal"/>
    <w:uiPriority w:val="99"/>
    <w:semiHidden/>
    <w:unhideWhenUsed/>
    <w:rsid w:val="00D12159"/>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D12159"/>
    <w:pPr>
      <w:spacing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D12159"/>
    <w:pPr>
      <w:spacing w:after="0"/>
    </w:pPr>
    <w:rPr>
      <w:i/>
      <w:iCs/>
    </w:rPr>
  </w:style>
  <w:style w:type="character" w:customStyle="1" w:styleId="HTMLAddressChar">
    <w:name w:val="HTML Address Char"/>
    <w:basedOn w:val="DefaultParagraphFont"/>
    <w:link w:val="HTMLAddress"/>
    <w:uiPriority w:val="99"/>
    <w:semiHidden/>
    <w:rsid w:val="00D12159"/>
    <w:rPr>
      <w:rFonts w:ascii="Roboto" w:eastAsia="Times New Roman" w:hAnsi="Roboto" w:cs="Times New Roman"/>
      <w:i/>
      <w:iCs/>
      <w:color w:val="002554"/>
      <w:sz w:val="24"/>
      <w:szCs w:val="20"/>
    </w:rPr>
  </w:style>
  <w:style w:type="paragraph" w:styleId="HTMLPreformatted">
    <w:name w:val="HTML Preformatted"/>
    <w:basedOn w:val="Normal"/>
    <w:link w:val="HTMLPreformattedChar"/>
    <w:uiPriority w:val="99"/>
    <w:semiHidden/>
    <w:unhideWhenUsed/>
    <w:rsid w:val="00D12159"/>
    <w:pPr>
      <w:spacing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D12159"/>
    <w:rPr>
      <w:rFonts w:ascii="Consolas" w:eastAsia="Times New Roman" w:hAnsi="Consolas" w:cs="Times New Roman"/>
      <w:color w:val="002554"/>
      <w:sz w:val="20"/>
      <w:szCs w:val="20"/>
    </w:rPr>
  </w:style>
  <w:style w:type="paragraph" w:styleId="Index1">
    <w:name w:val="index 1"/>
    <w:basedOn w:val="Normal"/>
    <w:next w:val="Normal"/>
    <w:autoRedefine/>
    <w:uiPriority w:val="99"/>
    <w:semiHidden/>
    <w:unhideWhenUsed/>
    <w:rsid w:val="00D12159"/>
    <w:pPr>
      <w:spacing w:after="0"/>
      <w:ind w:left="240" w:hanging="240"/>
    </w:pPr>
  </w:style>
  <w:style w:type="paragraph" w:styleId="Index2">
    <w:name w:val="index 2"/>
    <w:basedOn w:val="Normal"/>
    <w:next w:val="Normal"/>
    <w:autoRedefine/>
    <w:uiPriority w:val="99"/>
    <w:semiHidden/>
    <w:unhideWhenUsed/>
    <w:rsid w:val="00D12159"/>
    <w:pPr>
      <w:spacing w:after="0"/>
      <w:ind w:left="480" w:hanging="240"/>
    </w:pPr>
  </w:style>
  <w:style w:type="paragraph" w:styleId="Index3">
    <w:name w:val="index 3"/>
    <w:basedOn w:val="Normal"/>
    <w:next w:val="Normal"/>
    <w:autoRedefine/>
    <w:uiPriority w:val="99"/>
    <w:semiHidden/>
    <w:unhideWhenUsed/>
    <w:rsid w:val="00D12159"/>
    <w:pPr>
      <w:spacing w:after="0"/>
      <w:ind w:left="720" w:hanging="240"/>
    </w:pPr>
  </w:style>
  <w:style w:type="paragraph" w:styleId="Index4">
    <w:name w:val="index 4"/>
    <w:basedOn w:val="Normal"/>
    <w:next w:val="Normal"/>
    <w:autoRedefine/>
    <w:uiPriority w:val="99"/>
    <w:semiHidden/>
    <w:unhideWhenUsed/>
    <w:rsid w:val="00D12159"/>
    <w:pPr>
      <w:spacing w:after="0"/>
      <w:ind w:left="960" w:hanging="240"/>
    </w:pPr>
  </w:style>
  <w:style w:type="paragraph" w:styleId="Index5">
    <w:name w:val="index 5"/>
    <w:basedOn w:val="Normal"/>
    <w:next w:val="Normal"/>
    <w:autoRedefine/>
    <w:uiPriority w:val="99"/>
    <w:semiHidden/>
    <w:unhideWhenUsed/>
    <w:rsid w:val="00D12159"/>
    <w:pPr>
      <w:spacing w:after="0"/>
      <w:ind w:left="1200" w:hanging="240"/>
    </w:pPr>
  </w:style>
  <w:style w:type="paragraph" w:styleId="Index6">
    <w:name w:val="index 6"/>
    <w:basedOn w:val="Normal"/>
    <w:next w:val="Normal"/>
    <w:autoRedefine/>
    <w:uiPriority w:val="99"/>
    <w:semiHidden/>
    <w:unhideWhenUsed/>
    <w:rsid w:val="00D12159"/>
    <w:pPr>
      <w:spacing w:after="0"/>
      <w:ind w:left="1440" w:hanging="240"/>
    </w:pPr>
  </w:style>
  <w:style w:type="paragraph" w:styleId="Index7">
    <w:name w:val="index 7"/>
    <w:basedOn w:val="Normal"/>
    <w:next w:val="Normal"/>
    <w:autoRedefine/>
    <w:uiPriority w:val="99"/>
    <w:semiHidden/>
    <w:unhideWhenUsed/>
    <w:rsid w:val="00D12159"/>
    <w:pPr>
      <w:spacing w:after="0"/>
      <w:ind w:left="1680" w:hanging="240"/>
    </w:pPr>
  </w:style>
  <w:style w:type="paragraph" w:styleId="Index8">
    <w:name w:val="index 8"/>
    <w:basedOn w:val="Normal"/>
    <w:next w:val="Normal"/>
    <w:autoRedefine/>
    <w:uiPriority w:val="99"/>
    <w:semiHidden/>
    <w:unhideWhenUsed/>
    <w:rsid w:val="00D12159"/>
    <w:pPr>
      <w:spacing w:after="0"/>
      <w:ind w:left="1920" w:hanging="240"/>
    </w:pPr>
  </w:style>
  <w:style w:type="paragraph" w:styleId="Index9">
    <w:name w:val="index 9"/>
    <w:basedOn w:val="Normal"/>
    <w:next w:val="Normal"/>
    <w:autoRedefine/>
    <w:uiPriority w:val="99"/>
    <w:semiHidden/>
    <w:unhideWhenUsed/>
    <w:rsid w:val="00D12159"/>
    <w:pPr>
      <w:spacing w:after="0"/>
      <w:ind w:left="2160" w:hanging="240"/>
    </w:pPr>
  </w:style>
  <w:style w:type="paragraph" w:styleId="IndexHeading">
    <w:name w:val="index heading"/>
    <w:basedOn w:val="Normal"/>
    <w:next w:val="Index1"/>
    <w:uiPriority w:val="99"/>
    <w:semiHidden/>
    <w:unhideWhenUsed/>
    <w:rsid w:val="00D12159"/>
    <w:rPr>
      <w:rFonts w:asciiTheme="majorHAnsi" w:eastAsiaTheme="majorEastAsia" w:hAnsiTheme="majorHAnsi" w:cstheme="majorBidi"/>
      <w:b/>
      <w:bCs/>
    </w:rPr>
  </w:style>
  <w:style w:type="paragraph" w:styleId="List">
    <w:name w:val="List"/>
    <w:basedOn w:val="Normal"/>
    <w:uiPriority w:val="99"/>
    <w:semiHidden/>
    <w:unhideWhenUsed/>
    <w:rsid w:val="00D12159"/>
    <w:pPr>
      <w:ind w:left="283" w:hanging="283"/>
      <w:contextualSpacing/>
    </w:pPr>
  </w:style>
  <w:style w:type="paragraph" w:styleId="List2">
    <w:name w:val="List 2"/>
    <w:basedOn w:val="Normal"/>
    <w:uiPriority w:val="99"/>
    <w:semiHidden/>
    <w:unhideWhenUsed/>
    <w:rsid w:val="00D12159"/>
    <w:pPr>
      <w:ind w:left="566" w:hanging="283"/>
      <w:contextualSpacing/>
    </w:pPr>
  </w:style>
  <w:style w:type="paragraph" w:styleId="List3">
    <w:name w:val="List 3"/>
    <w:basedOn w:val="Normal"/>
    <w:uiPriority w:val="99"/>
    <w:semiHidden/>
    <w:unhideWhenUsed/>
    <w:rsid w:val="00D12159"/>
    <w:pPr>
      <w:ind w:left="849" w:hanging="283"/>
      <w:contextualSpacing/>
    </w:pPr>
  </w:style>
  <w:style w:type="paragraph" w:styleId="List4">
    <w:name w:val="List 4"/>
    <w:basedOn w:val="Normal"/>
    <w:uiPriority w:val="99"/>
    <w:semiHidden/>
    <w:unhideWhenUsed/>
    <w:rsid w:val="00D12159"/>
    <w:pPr>
      <w:ind w:left="1132" w:hanging="283"/>
      <w:contextualSpacing/>
    </w:pPr>
  </w:style>
  <w:style w:type="paragraph" w:styleId="List5">
    <w:name w:val="List 5"/>
    <w:basedOn w:val="Normal"/>
    <w:uiPriority w:val="99"/>
    <w:semiHidden/>
    <w:unhideWhenUsed/>
    <w:rsid w:val="00D12159"/>
    <w:pPr>
      <w:ind w:left="1415" w:hanging="283"/>
      <w:contextualSpacing/>
    </w:pPr>
  </w:style>
  <w:style w:type="paragraph" w:styleId="ListBullet">
    <w:name w:val="List Bullet"/>
    <w:basedOn w:val="Normal"/>
    <w:uiPriority w:val="99"/>
    <w:semiHidden/>
    <w:unhideWhenUsed/>
    <w:rsid w:val="00D12159"/>
    <w:pPr>
      <w:numPr>
        <w:numId w:val="57"/>
      </w:numPr>
      <w:contextualSpacing/>
    </w:pPr>
  </w:style>
  <w:style w:type="paragraph" w:styleId="ListBullet2">
    <w:name w:val="List Bullet 2"/>
    <w:basedOn w:val="Normal"/>
    <w:uiPriority w:val="99"/>
    <w:semiHidden/>
    <w:unhideWhenUsed/>
    <w:rsid w:val="00D12159"/>
    <w:pPr>
      <w:numPr>
        <w:numId w:val="58"/>
      </w:numPr>
      <w:contextualSpacing/>
    </w:pPr>
  </w:style>
  <w:style w:type="paragraph" w:styleId="ListBullet3">
    <w:name w:val="List Bullet 3"/>
    <w:basedOn w:val="Normal"/>
    <w:uiPriority w:val="99"/>
    <w:semiHidden/>
    <w:unhideWhenUsed/>
    <w:rsid w:val="00D12159"/>
    <w:pPr>
      <w:numPr>
        <w:numId w:val="59"/>
      </w:numPr>
      <w:contextualSpacing/>
    </w:pPr>
  </w:style>
  <w:style w:type="paragraph" w:styleId="ListBullet4">
    <w:name w:val="List Bullet 4"/>
    <w:basedOn w:val="Normal"/>
    <w:uiPriority w:val="99"/>
    <w:semiHidden/>
    <w:unhideWhenUsed/>
    <w:rsid w:val="00D12159"/>
    <w:pPr>
      <w:numPr>
        <w:numId w:val="60"/>
      </w:numPr>
      <w:contextualSpacing/>
    </w:pPr>
  </w:style>
  <w:style w:type="paragraph" w:styleId="ListBullet5">
    <w:name w:val="List Bullet 5"/>
    <w:basedOn w:val="Normal"/>
    <w:uiPriority w:val="99"/>
    <w:semiHidden/>
    <w:unhideWhenUsed/>
    <w:rsid w:val="00D12159"/>
    <w:pPr>
      <w:numPr>
        <w:numId w:val="61"/>
      </w:numPr>
      <w:contextualSpacing/>
    </w:pPr>
  </w:style>
  <w:style w:type="paragraph" w:styleId="ListContinue">
    <w:name w:val="List Continue"/>
    <w:basedOn w:val="Normal"/>
    <w:uiPriority w:val="99"/>
    <w:semiHidden/>
    <w:unhideWhenUsed/>
    <w:rsid w:val="00D12159"/>
    <w:pPr>
      <w:spacing w:after="120"/>
      <w:ind w:left="283"/>
      <w:contextualSpacing/>
    </w:pPr>
  </w:style>
  <w:style w:type="paragraph" w:styleId="ListContinue2">
    <w:name w:val="List Continue 2"/>
    <w:basedOn w:val="Normal"/>
    <w:uiPriority w:val="99"/>
    <w:semiHidden/>
    <w:unhideWhenUsed/>
    <w:rsid w:val="00D12159"/>
    <w:pPr>
      <w:spacing w:after="120"/>
      <w:ind w:left="566"/>
      <w:contextualSpacing/>
    </w:pPr>
  </w:style>
  <w:style w:type="paragraph" w:styleId="ListContinue3">
    <w:name w:val="List Continue 3"/>
    <w:basedOn w:val="Normal"/>
    <w:uiPriority w:val="99"/>
    <w:semiHidden/>
    <w:unhideWhenUsed/>
    <w:rsid w:val="00D12159"/>
    <w:pPr>
      <w:spacing w:after="120"/>
      <w:ind w:left="849"/>
      <w:contextualSpacing/>
    </w:pPr>
  </w:style>
  <w:style w:type="paragraph" w:styleId="ListContinue4">
    <w:name w:val="List Continue 4"/>
    <w:basedOn w:val="Normal"/>
    <w:uiPriority w:val="99"/>
    <w:semiHidden/>
    <w:unhideWhenUsed/>
    <w:rsid w:val="00D12159"/>
    <w:pPr>
      <w:spacing w:after="120"/>
      <w:ind w:left="1132"/>
      <w:contextualSpacing/>
    </w:pPr>
  </w:style>
  <w:style w:type="paragraph" w:styleId="ListContinue5">
    <w:name w:val="List Continue 5"/>
    <w:basedOn w:val="Normal"/>
    <w:uiPriority w:val="99"/>
    <w:semiHidden/>
    <w:unhideWhenUsed/>
    <w:rsid w:val="00D12159"/>
    <w:pPr>
      <w:spacing w:after="120"/>
      <w:ind w:left="1415"/>
      <w:contextualSpacing/>
    </w:pPr>
  </w:style>
  <w:style w:type="paragraph" w:styleId="ListNumber3">
    <w:name w:val="List Number 3"/>
    <w:basedOn w:val="Normal"/>
    <w:uiPriority w:val="99"/>
    <w:semiHidden/>
    <w:unhideWhenUsed/>
    <w:rsid w:val="00D12159"/>
    <w:pPr>
      <w:numPr>
        <w:numId w:val="62"/>
      </w:numPr>
      <w:contextualSpacing/>
    </w:pPr>
  </w:style>
  <w:style w:type="paragraph" w:styleId="ListNumber4">
    <w:name w:val="List Number 4"/>
    <w:basedOn w:val="Normal"/>
    <w:uiPriority w:val="99"/>
    <w:semiHidden/>
    <w:unhideWhenUsed/>
    <w:rsid w:val="00D12159"/>
    <w:pPr>
      <w:numPr>
        <w:numId w:val="63"/>
      </w:numPr>
      <w:contextualSpacing/>
    </w:pPr>
  </w:style>
  <w:style w:type="paragraph" w:styleId="ListNumber5">
    <w:name w:val="List Number 5"/>
    <w:basedOn w:val="Normal"/>
    <w:uiPriority w:val="99"/>
    <w:semiHidden/>
    <w:unhideWhenUsed/>
    <w:rsid w:val="00D12159"/>
    <w:pPr>
      <w:numPr>
        <w:numId w:val="64"/>
      </w:numPr>
      <w:contextualSpacing/>
    </w:pPr>
  </w:style>
  <w:style w:type="paragraph" w:styleId="MacroText">
    <w:name w:val="macro"/>
    <w:link w:val="MacroTextChar"/>
    <w:uiPriority w:val="99"/>
    <w:semiHidden/>
    <w:unhideWhenUsed/>
    <w:rsid w:val="00D1215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color w:val="002554"/>
      <w:sz w:val="20"/>
      <w:szCs w:val="20"/>
    </w:rPr>
  </w:style>
  <w:style w:type="character" w:customStyle="1" w:styleId="MacroTextChar">
    <w:name w:val="Macro Text Char"/>
    <w:basedOn w:val="DefaultParagraphFont"/>
    <w:link w:val="MacroText"/>
    <w:uiPriority w:val="99"/>
    <w:semiHidden/>
    <w:rsid w:val="00D12159"/>
    <w:rPr>
      <w:rFonts w:ascii="Consolas" w:eastAsia="Times New Roman" w:hAnsi="Consolas" w:cs="Times New Roman"/>
      <w:color w:val="002554"/>
      <w:sz w:val="20"/>
      <w:szCs w:val="20"/>
    </w:rPr>
  </w:style>
  <w:style w:type="paragraph" w:styleId="MessageHeader">
    <w:name w:val="Message Header"/>
    <w:basedOn w:val="Normal"/>
    <w:link w:val="MessageHeaderChar"/>
    <w:uiPriority w:val="99"/>
    <w:semiHidden/>
    <w:unhideWhenUsed/>
    <w:rsid w:val="00D121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D12159"/>
    <w:rPr>
      <w:rFonts w:asciiTheme="majorHAnsi" w:eastAsiaTheme="majorEastAsia" w:hAnsiTheme="majorHAnsi" w:cstheme="majorBidi"/>
      <w:color w:val="002554"/>
      <w:sz w:val="24"/>
      <w:szCs w:val="24"/>
      <w:shd w:val="pct20" w:color="auto" w:fill="auto"/>
    </w:rPr>
  </w:style>
  <w:style w:type="paragraph" w:styleId="NormalIndent">
    <w:name w:val="Normal Indent"/>
    <w:basedOn w:val="Normal"/>
    <w:uiPriority w:val="99"/>
    <w:semiHidden/>
    <w:unhideWhenUsed/>
    <w:rsid w:val="00D12159"/>
    <w:pPr>
      <w:ind w:left="720"/>
    </w:pPr>
  </w:style>
  <w:style w:type="paragraph" w:styleId="NoteHeading">
    <w:name w:val="Note Heading"/>
    <w:basedOn w:val="Normal"/>
    <w:next w:val="Normal"/>
    <w:link w:val="NoteHeadingChar"/>
    <w:uiPriority w:val="99"/>
    <w:semiHidden/>
    <w:unhideWhenUsed/>
    <w:rsid w:val="00D12159"/>
    <w:pPr>
      <w:spacing w:after="0"/>
    </w:pPr>
  </w:style>
  <w:style w:type="character" w:customStyle="1" w:styleId="NoteHeadingChar">
    <w:name w:val="Note Heading Char"/>
    <w:basedOn w:val="DefaultParagraphFont"/>
    <w:link w:val="NoteHeading"/>
    <w:uiPriority w:val="99"/>
    <w:semiHidden/>
    <w:rsid w:val="00D12159"/>
    <w:rPr>
      <w:rFonts w:ascii="Roboto" w:eastAsia="Times New Roman" w:hAnsi="Roboto" w:cs="Times New Roman"/>
      <w:color w:val="002554"/>
      <w:sz w:val="24"/>
      <w:szCs w:val="20"/>
    </w:rPr>
  </w:style>
  <w:style w:type="paragraph" w:styleId="PlainText">
    <w:name w:val="Plain Text"/>
    <w:basedOn w:val="Normal"/>
    <w:link w:val="PlainTextChar"/>
    <w:uiPriority w:val="99"/>
    <w:semiHidden/>
    <w:unhideWhenUsed/>
    <w:rsid w:val="00D1215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D12159"/>
    <w:rPr>
      <w:rFonts w:ascii="Consolas" w:eastAsia="Times New Roman" w:hAnsi="Consolas" w:cs="Times New Roman"/>
      <w:color w:val="002554"/>
      <w:sz w:val="21"/>
      <w:szCs w:val="21"/>
    </w:rPr>
  </w:style>
  <w:style w:type="paragraph" w:styleId="Quote">
    <w:name w:val="Quote"/>
    <w:basedOn w:val="Normal"/>
    <w:next w:val="Normal"/>
    <w:link w:val="QuoteChar"/>
    <w:uiPriority w:val="29"/>
    <w:qFormat/>
    <w:rsid w:val="00D1215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2159"/>
    <w:rPr>
      <w:rFonts w:ascii="Roboto" w:eastAsia="Times New Roman" w:hAnsi="Roboto" w:cs="Times New Roman"/>
      <w:i/>
      <w:iCs/>
      <w:color w:val="404040" w:themeColor="text1" w:themeTint="BF"/>
      <w:sz w:val="24"/>
      <w:szCs w:val="20"/>
    </w:rPr>
  </w:style>
  <w:style w:type="paragraph" w:styleId="Salutation">
    <w:name w:val="Salutation"/>
    <w:basedOn w:val="Normal"/>
    <w:next w:val="Normal"/>
    <w:link w:val="SalutationChar"/>
    <w:uiPriority w:val="99"/>
    <w:semiHidden/>
    <w:unhideWhenUsed/>
    <w:rsid w:val="00D12159"/>
  </w:style>
  <w:style w:type="character" w:customStyle="1" w:styleId="SalutationChar">
    <w:name w:val="Salutation Char"/>
    <w:basedOn w:val="DefaultParagraphFont"/>
    <w:link w:val="Salutation"/>
    <w:uiPriority w:val="99"/>
    <w:semiHidden/>
    <w:rsid w:val="00D12159"/>
    <w:rPr>
      <w:rFonts w:ascii="Roboto" w:eastAsia="Times New Roman" w:hAnsi="Roboto" w:cs="Times New Roman"/>
      <w:color w:val="002554"/>
      <w:sz w:val="24"/>
      <w:szCs w:val="20"/>
    </w:rPr>
  </w:style>
  <w:style w:type="paragraph" w:styleId="Signature">
    <w:name w:val="Signature"/>
    <w:basedOn w:val="Normal"/>
    <w:link w:val="SignatureChar"/>
    <w:uiPriority w:val="99"/>
    <w:semiHidden/>
    <w:unhideWhenUsed/>
    <w:rsid w:val="00D12159"/>
    <w:pPr>
      <w:spacing w:after="0"/>
      <w:ind w:left="4252"/>
    </w:pPr>
  </w:style>
  <w:style w:type="character" w:customStyle="1" w:styleId="SignatureChar">
    <w:name w:val="Signature Char"/>
    <w:basedOn w:val="DefaultParagraphFont"/>
    <w:link w:val="Signature"/>
    <w:uiPriority w:val="99"/>
    <w:semiHidden/>
    <w:rsid w:val="00D12159"/>
    <w:rPr>
      <w:rFonts w:ascii="Roboto" w:eastAsia="Times New Roman" w:hAnsi="Roboto" w:cs="Times New Roman"/>
      <w:color w:val="002554"/>
      <w:sz w:val="24"/>
      <w:szCs w:val="20"/>
    </w:rPr>
  </w:style>
  <w:style w:type="paragraph" w:styleId="TableofAuthorities">
    <w:name w:val="table of authorities"/>
    <w:basedOn w:val="Normal"/>
    <w:next w:val="Normal"/>
    <w:uiPriority w:val="99"/>
    <w:semiHidden/>
    <w:unhideWhenUsed/>
    <w:rsid w:val="00D12159"/>
    <w:pPr>
      <w:spacing w:after="0"/>
      <w:ind w:left="240" w:hanging="240"/>
    </w:pPr>
  </w:style>
  <w:style w:type="paragraph" w:styleId="TableofFigures">
    <w:name w:val="table of figures"/>
    <w:basedOn w:val="Normal"/>
    <w:next w:val="Normal"/>
    <w:uiPriority w:val="99"/>
    <w:semiHidden/>
    <w:unhideWhenUsed/>
    <w:rsid w:val="00D12159"/>
    <w:pPr>
      <w:spacing w:after="0"/>
    </w:pPr>
  </w:style>
  <w:style w:type="paragraph" w:styleId="TOAHeading">
    <w:name w:val="toa heading"/>
    <w:basedOn w:val="Normal"/>
    <w:next w:val="Normal"/>
    <w:uiPriority w:val="99"/>
    <w:semiHidden/>
    <w:unhideWhenUsed/>
    <w:rsid w:val="00D12159"/>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D12159"/>
    <w:pPr>
      <w:spacing w:after="100"/>
    </w:pPr>
  </w:style>
  <w:style w:type="paragraph" w:styleId="TOC2">
    <w:name w:val="toc 2"/>
    <w:basedOn w:val="Normal"/>
    <w:next w:val="Normal"/>
    <w:autoRedefine/>
    <w:uiPriority w:val="39"/>
    <w:semiHidden/>
    <w:unhideWhenUsed/>
    <w:rsid w:val="00D12159"/>
    <w:pPr>
      <w:spacing w:after="100"/>
      <w:ind w:left="240"/>
    </w:pPr>
  </w:style>
  <w:style w:type="paragraph" w:styleId="TOC3">
    <w:name w:val="toc 3"/>
    <w:basedOn w:val="Normal"/>
    <w:next w:val="Normal"/>
    <w:autoRedefine/>
    <w:uiPriority w:val="39"/>
    <w:semiHidden/>
    <w:unhideWhenUsed/>
    <w:rsid w:val="00D12159"/>
    <w:pPr>
      <w:spacing w:after="100"/>
      <w:ind w:left="480"/>
    </w:pPr>
  </w:style>
  <w:style w:type="paragraph" w:styleId="TOC4">
    <w:name w:val="toc 4"/>
    <w:basedOn w:val="Normal"/>
    <w:next w:val="Normal"/>
    <w:autoRedefine/>
    <w:uiPriority w:val="39"/>
    <w:semiHidden/>
    <w:unhideWhenUsed/>
    <w:rsid w:val="00D12159"/>
    <w:pPr>
      <w:spacing w:after="100"/>
      <w:ind w:left="720"/>
    </w:pPr>
  </w:style>
  <w:style w:type="paragraph" w:styleId="TOC5">
    <w:name w:val="toc 5"/>
    <w:basedOn w:val="Normal"/>
    <w:next w:val="Normal"/>
    <w:autoRedefine/>
    <w:uiPriority w:val="39"/>
    <w:semiHidden/>
    <w:unhideWhenUsed/>
    <w:rsid w:val="00D12159"/>
    <w:pPr>
      <w:spacing w:after="100"/>
      <w:ind w:left="960"/>
    </w:pPr>
  </w:style>
  <w:style w:type="paragraph" w:styleId="TOC6">
    <w:name w:val="toc 6"/>
    <w:basedOn w:val="Normal"/>
    <w:next w:val="Normal"/>
    <w:autoRedefine/>
    <w:uiPriority w:val="39"/>
    <w:semiHidden/>
    <w:unhideWhenUsed/>
    <w:rsid w:val="00D12159"/>
    <w:pPr>
      <w:spacing w:after="100"/>
      <w:ind w:left="1200"/>
    </w:pPr>
  </w:style>
  <w:style w:type="paragraph" w:styleId="TOC7">
    <w:name w:val="toc 7"/>
    <w:basedOn w:val="Normal"/>
    <w:next w:val="Normal"/>
    <w:autoRedefine/>
    <w:uiPriority w:val="39"/>
    <w:semiHidden/>
    <w:unhideWhenUsed/>
    <w:rsid w:val="00D12159"/>
    <w:pPr>
      <w:spacing w:after="100"/>
      <w:ind w:left="1440"/>
    </w:pPr>
  </w:style>
  <w:style w:type="paragraph" w:styleId="TOC8">
    <w:name w:val="toc 8"/>
    <w:basedOn w:val="Normal"/>
    <w:next w:val="Normal"/>
    <w:autoRedefine/>
    <w:uiPriority w:val="39"/>
    <w:semiHidden/>
    <w:unhideWhenUsed/>
    <w:rsid w:val="00D12159"/>
    <w:pPr>
      <w:spacing w:after="100"/>
      <w:ind w:left="1680"/>
    </w:pPr>
  </w:style>
  <w:style w:type="paragraph" w:styleId="TOC9">
    <w:name w:val="toc 9"/>
    <w:basedOn w:val="Normal"/>
    <w:next w:val="Normal"/>
    <w:autoRedefine/>
    <w:uiPriority w:val="39"/>
    <w:semiHidden/>
    <w:unhideWhenUsed/>
    <w:rsid w:val="00D1215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4754">
      <w:bodyDiv w:val="1"/>
      <w:marLeft w:val="0"/>
      <w:marRight w:val="0"/>
      <w:marTop w:val="0"/>
      <w:marBottom w:val="0"/>
      <w:divBdr>
        <w:top w:val="none" w:sz="0" w:space="0" w:color="auto"/>
        <w:left w:val="none" w:sz="0" w:space="0" w:color="auto"/>
        <w:bottom w:val="none" w:sz="0" w:space="0" w:color="auto"/>
        <w:right w:val="none" w:sz="0" w:space="0" w:color="auto"/>
      </w:divBdr>
    </w:div>
    <w:div w:id="97871662">
      <w:bodyDiv w:val="1"/>
      <w:marLeft w:val="0"/>
      <w:marRight w:val="0"/>
      <w:marTop w:val="0"/>
      <w:marBottom w:val="0"/>
      <w:divBdr>
        <w:top w:val="none" w:sz="0" w:space="0" w:color="auto"/>
        <w:left w:val="none" w:sz="0" w:space="0" w:color="auto"/>
        <w:bottom w:val="none" w:sz="0" w:space="0" w:color="auto"/>
        <w:right w:val="none" w:sz="0" w:space="0" w:color="auto"/>
      </w:divBdr>
    </w:div>
    <w:div w:id="208537040">
      <w:bodyDiv w:val="1"/>
      <w:marLeft w:val="0"/>
      <w:marRight w:val="0"/>
      <w:marTop w:val="0"/>
      <w:marBottom w:val="0"/>
      <w:divBdr>
        <w:top w:val="none" w:sz="0" w:space="0" w:color="auto"/>
        <w:left w:val="none" w:sz="0" w:space="0" w:color="auto"/>
        <w:bottom w:val="none" w:sz="0" w:space="0" w:color="auto"/>
        <w:right w:val="none" w:sz="0" w:space="0" w:color="auto"/>
      </w:divBdr>
    </w:div>
    <w:div w:id="469173321">
      <w:bodyDiv w:val="1"/>
      <w:marLeft w:val="0"/>
      <w:marRight w:val="0"/>
      <w:marTop w:val="0"/>
      <w:marBottom w:val="0"/>
      <w:divBdr>
        <w:top w:val="none" w:sz="0" w:space="0" w:color="auto"/>
        <w:left w:val="none" w:sz="0" w:space="0" w:color="auto"/>
        <w:bottom w:val="none" w:sz="0" w:space="0" w:color="auto"/>
        <w:right w:val="none" w:sz="0" w:space="0" w:color="auto"/>
      </w:divBdr>
    </w:div>
    <w:div w:id="526067446">
      <w:bodyDiv w:val="1"/>
      <w:marLeft w:val="0"/>
      <w:marRight w:val="0"/>
      <w:marTop w:val="0"/>
      <w:marBottom w:val="0"/>
      <w:divBdr>
        <w:top w:val="none" w:sz="0" w:space="0" w:color="auto"/>
        <w:left w:val="none" w:sz="0" w:space="0" w:color="auto"/>
        <w:bottom w:val="none" w:sz="0" w:space="0" w:color="auto"/>
        <w:right w:val="none" w:sz="0" w:space="0" w:color="auto"/>
      </w:divBdr>
    </w:div>
    <w:div w:id="868445724">
      <w:bodyDiv w:val="1"/>
      <w:marLeft w:val="0"/>
      <w:marRight w:val="0"/>
      <w:marTop w:val="0"/>
      <w:marBottom w:val="0"/>
      <w:divBdr>
        <w:top w:val="none" w:sz="0" w:space="0" w:color="auto"/>
        <w:left w:val="none" w:sz="0" w:space="0" w:color="auto"/>
        <w:bottom w:val="none" w:sz="0" w:space="0" w:color="auto"/>
        <w:right w:val="none" w:sz="0" w:space="0" w:color="auto"/>
      </w:divBdr>
    </w:div>
    <w:div w:id="883175677">
      <w:bodyDiv w:val="1"/>
      <w:marLeft w:val="0"/>
      <w:marRight w:val="0"/>
      <w:marTop w:val="0"/>
      <w:marBottom w:val="0"/>
      <w:divBdr>
        <w:top w:val="none" w:sz="0" w:space="0" w:color="auto"/>
        <w:left w:val="none" w:sz="0" w:space="0" w:color="auto"/>
        <w:bottom w:val="none" w:sz="0" w:space="0" w:color="auto"/>
        <w:right w:val="none" w:sz="0" w:space="0" w:color="auto"/>
      </w:divBdr>
      <w:divsChild>
        <w:div w:id="268706801">
          <w:marLeft w:val="0"/>
          <w:marRight w:val="0"/>
          <w:marTop w:val="0"/>
          <w:marBottom w:val="0"/>
          <w:divBdr>
            <w:top w:val="none" w:sz="0" w:space="0" w:color="auto"/>
            <w:left w:val="none" w:sz="0" w:space="0" w:color="auto"/>
            <w:bottom w:val="none" w:sz="0" w:space="0" w:color="auto"/>
            <w:right w:val="none" w:sz="0" w:space="0" w:color="auto"/>
          </w:divBdr>
        </w:div>
        <w:div w:id="736249335">
          <w:marLeft w:val="0"/>
          <w:marRight w:val="0"/>
          <w:marTop w:val="0"/>
          <w:marBottom w:val="0"/>
          <w:divBdr>
            <w:top w:val="none" w:sz="0" w:space="0" w:color="auto"/>
            <w:left w:val="none" w:sz="0" w:space="0" w:color="auto"/>
            <w:bottom w:val="none" w:sz="0" w:space="0" w:color="auto"/>
            <w:right w:val="none" w:sz="0" w:space="0" w:color="auto"/>
          </w:divBdr>
        </w:div>
        <w:div w:id="749354171">
          <w:marLeft w:val="0"/>
          <w:marRight w:val="0"/>
          <w:marTop w:val="0"/>
          <w:marBottom w:val="0"/>
          <w:divBdr>
            <w:top w:val="none" w:sz="0" w:space="0" w:color="auto"/>
            <w:left w:val="none" w:sz="0" w:space="0" w:color="auto"/>
            <w:bottom w:val="none" w:sz="0" w:space="0" w:color="auto"/>
            <w:right w:val="none" w:sz="0" w:space="0" w:color="auto"/>
          </w:divBdr>
        </w:div>
        <w:div w:id="980118541">
          <w:marLeft w:val="0"/>
          <w:marRight w:val="0"/>
          <w:marTop w:val="0"/>
          <w:marBottom w:val="0"/>
          <w:divBdr>
            <w:top w:val="none" w:sz="0" w:space="0" w:color="auto"/>
            <w:left w:val="none" w:sz="0" w:space="0" w:color="auto"/>
            <w:bottom w:val="none" w:sz="0" w:space="0" w:color="auto"/>
            <w:right w:val="none" w:sz="0" w:space="0" w:color="auto"/>
          </w:divBdr>
        </w:div>
        <w:div w:id="1450855315">
          <w:marLeft w:val="0"/>
          <w:marRight w:val="0"/>
          <w:marTop w:val="0"/>
          <w:marBottom w:val="0"/>
          <w:divBdr>
            <w:top w:val="none" w:sz="0" w:space="0" w:color="auto"/>
            <w:left w:val="none" w:sz="0" w:space="0" w:color="auto"/>
            <w:bottom w:val="none" w:sz="0" w:space="0" w:color="auto"/>
            <w:right w:val="none" w:sz="0" w:space="0" w:color="auto"/>
          </w:divBdr>
        </w:div>
        <w:div w:id="1482574265">
          <w:marLeft w:val="0"/>
          <w:marRight w:val="0"/>
          <w:marTop w:val="0"/>
          <w:marBottom w:val="0"/>
          <w:divBdr>
            <w:top w:val="none" w:sz="0" w:space="0" w:color="auto"/>
            <w:left w:val="none" w:sz="0" w:space="0" w:color="auto"/>
            <w:bottom w:val="none" w:sz="0" w:space="0" w:color="auto"/>
            <w:right w:val="none" w:sz="0" w:space="0" w:color="auto"/>
          </w:divBdr>
        </w:div>
        <w:div w:id="1494099285">
          <w:marLeft w:val="0"/>
          <w:marRight w:val="0"/>
          <w:marTop w:val="0"/>
          <w:marBottom w:val="0"/>
          <w:divBdr>
            <w:top w:val="none" w:sz="0" w:space="0" w:color="auto"/>
            <w:left w:val="none" w:sz="0" w:space="0" w:color="auto"/>
            <w:bottom w:val="none" w:sz="0" w:space="0" w:color="auto"/>
            <w:right w:val="none" w:sz="0" w:space="0" w:color="auto"/>
          </w:divBdr>
        </w:div>
        <w:div w:id="1667123349">
          <w:marLeft w:val="0"/>
          <w:marRight w:val="0"/>
          <w:marTop w:val="0"/>
          <w:marBottom w:val="0"/>
          <w:divBdr>
            <w:top w:val="none" w:sz="0" w:space="0" w:color="auto"/>
            <w:left w:val="none" w:sz="0" w:space="0" w:color="auto"/>
            <w:bottom w:val="none" w:sz="0" w:space="0" w:color="auto"/>
            <w:right w:val="none" w:sz="0" w:space="0" w:color="auto"/>
          </w:divBdr>
        </w:div>
        <w:div w:id="1845852149">
          <w:marLeft w:val="0"/>
          <w:marRight w:val="0"/>
          <w:marTop w:val="0"/>
          <w:marBottom w:val="0"/>
          <w:divBdr>
            <w:top w:val="none" w:sz="0" w:space="0" w:color="auto"/>
            <w:left w:val="none" w:sz="0" w:space="0" w:color="auto"/>
            <w:bottom w:val="none" w:sz="0" w:space="0" w:color="auto"/>
            <w:right w:val="none" w:sz="0" w:space="0" w:color="auto"/>
          </w:divBdr>
        </w:div>
        <w:div w:id="2013414370">
          <w:marLeft w:val="0"/>
          <w:marRight w:val="0"/>
          <w:marTop w:val="0"/>
          <w:marBottom w:val="0"/>
          <w:divBdr>
            <w:top w:val="none" w:sz="0" w:space="0" w:color="auto"/>
            <w:left w:val="none" w:sz="0" w:space="0" w:color="auto"/>
            <w:bottom w:val="none" w:sz="0" w:space="0" w:color="auto"/>
            <w:right w:val="none" w:sz="0" w:space="0" w:color="auto"/>
          </w:divBdr>
        </w:div>
      </w:divsChild>
    </w:div>
    <w:div w:id="1093935076">
      <w:bodyDiv w:val="1"/>
      <w:marLeft w:val="0"/>
      <w:marRight w:val="0"/>
      <w:marTop w:val="0"/>
      <w:marBottom w:val="0"/>
      <w:divBdr>
        <w:top w:val="none" w:sz="0" w:space="0" w:color="auto"/>
        <w:left w:val="none" w:sz="0" w:space="0" w:color="auto"/>
        <w:bottom w:val="none" w:sz="0" w:space="0" w:color="auto"/>
        <w:right w:val="none" w:sz="0" w:space="0" w:color="auto"/>
      </w:divBdr>
    </w:div>
    <w:div w:id="1128738975">
      <w:bodyDiv w:val="1"/>
      <w:marLeft w:val="0"/>
      <w:marRight w:val="0"/>
      <w:marTop w:val="0"/>
      <w:marBottom w:val="0"/>
      <w:divBdr>
        <w:top w:val="none" w:sz="0" w:space="0" w:color="auto"/>
        <w:left w:val="none" w:sz="0" w:space="0" w:color="auto"/>
        <w:bottom w:val="none" w:sz="0" w:space="0" w:color="auto"/>
        <w:right w:val="none" w:sz="0" w:space="0" w:color="auto"/>
      </w:divBdr>
    </w:div>
    <w:div w:id="1143742693">
      <w:bodyDiv w:val="1"/>
      <w:marLeft w:val="0"/>
      <w:marRight w:val="0"/>
      <w:marTop w:val="0"/>
      <w:marBottom w:val="0"/>
      <w:divBdr>
        <w:top w:val="none" w:sz="0" w:space="0" w:color="auto"/>
        <w:left w:val="none" w:sz="0" w:space="0" w:color="auto"/>
        <w:bottom w:val="none" w:sz="0" w:space="0" w:color="auto"/>
        <w:right w:val="none" w:sz="0" w:space="0" w:color="auto"/>
      </w:divBdr>
    </w:div>
    <w:div w:id="1173377263">
      <w:bodyDiv w:val="1"/>
      <w:marLeft w:val="0"/>
      <w:marRight w:val="0"/>
      <w:marTop w:val="0"/>
      <w:marBottom w:val="0"/>
      <w:divBdr>
        <w:top w:val="none" w:sz="0" w:space="0" w:color="auto"/>
        <w:left w:val="none" w:sz="0" w:space="0" w:color="auto"/>
        <w:bottom w:val="none" w:sz="0" w:space="0" w:color="auto"/>
        <w:right w:val="none" w:sz="0" w:space="0" w:color="auto"/>
      </w:divBdr>
    </w:div>
    <w:div w:id="1415468966">
      <w:bodyDiv w:val="1"/>
      <w:marLeft w:val="0"/>
      <w:marRight w:val="0"/>
      <w:marTop w:val="0"/>
      <w:marBottom w:val="0"/>
      <w:divBdr>
        <w:top w:val="none" w:sz="0" w:space="0" w:color="auto"/>
        <w:left w:val="none" w:sz="0" w:space="0" w:color="auto"/>
        <w:bottom w:val="none" w:sz="0" w:space="0" w:color="auto"/>
        <w:right w:val="none" w:sz="0" w:space="0" w:color="auto"/>
      </w:divBdr>
    </w:div>
    <w:div w:id="1519153146">
      <w:bodyDiv w:val="1"/>
      <w:marLeft w:val="0"/>
      <w:marRight w:val="0"/>
      <w:marTop w:val="0"/>
      <w:marBottom w:val="0"/>
      <w:divBdr>
        <w:top w:val="none" w:sz="0" w:space="0" w:color="auto"/>
        <w:left w:val="none" w:sz="0" w:space="0" w:color="auto"/>
        <w:bottom w:val="none" w:sz="0" w:space="0" w:color="auto"/>
        <w:right w:val="none" w:sz="0" w:space="0" w:color="auto"/>
      </w:divBdr>
    </w:div>
    <w:div w:id="1576939040">
      <w:bodyDiv w:val="1"/>
      <w:marLeft w:val="0"/>
      <w:marRight w:val="0"/>
      <w:marTop w:val="0"/>
      <w:marBottom w:val="0"/>
      <w:divBdr>
        <w:top w:val="none" w:sz="0" w:space="0" w:color="auto"/>
        <w:left w:val="none" w:sz="0" w:space="0" w:color="auto"/>
        <w:bottom w:val="none" w:sz="0" w:space="0" w:color="auto"/>
        <w:right w:val="none" w:sz="0" w:space="0" w:color="auto"/>
      </w:divBdr>
      <w:divsChild>
        <w:div w:id="1117987718">
          <w:marLeft w:val="0"/>
          <w:marRight w:val="0"/>
          <w:marTop w:val="30"/>
          <w:marBottom w:val="30"/>
          <w:divBdr>
            <w:top w:val="none" w:sz="0" w:space="0" w:color="auto"/>
            <w:left w:val="none" w:sz="0" w:space="0" w:color="auto"/>
            <w:bottom w:val="none" w:sz="0" w:space="0" w:color="auto"/>
            <w:right w:val="none" w:sz="0" w:space="0" w:color="auto"/>
          </w:divBdr>
          <w:divsChild>
            <w:div w:id="232007954">
              <w:marLeft w:val="0"/>
              <w:marRight w:val="0"/>
              <w:marTop w:val="0"/>
              <w:marBottom w:val="0"/>
              <w:divBdr>
                <w:top w:val="none" w:sz="0" w:space="0" w:color="auto"/>
                <w:left w:val="none" w:sz="0" w:space="0" w:color="auto"/>
                <w:bottom w:val="none" w:sz="0" w:space="0" w:color="auto"/>
                <w:right w:val="none" w:sz="0" w:space="0" w:color="auto"/>
              </w:divBdr>
              <w:divsChild>
                <w:div w:id="590813950">
                  <w:marLeft w:val="0"/>
                  <w:marRight w:val="0"/>
                  <w:marTop w:val="0"/>
                  <w:marBottom w:val="0"/>
                  <w:divBdr>
                    <w:top w:val="none" w:sz="0" w:space="0" w:color="auto"/>
                    <w:left w:val="none" w:sz="0" w:space="0" w:color="auto"/>
                    <w:bottom w:val="none" w:sz="0" w:space="0" w:color="auto"/>
                    <w:right w:val="none" w:sz="0" w:space="0" w:color="auto"/>
                  </w:divBdr>
                </w:div>
              </w:divsChild>
            </w:div>
            <w:div w:id="300186531">
              <w:marLeft w:val="0"/>
              <w:marRight w:val="0"/>
              <w:marTop w:val="0"/>
              <w:marBottom w:val="0"/>
              <w:divBdr>
                <w:top w:val="none" w:sz="0" w:space="0" w:color="auto"/>
                <w:left w:val="none" w:sz="0" w:space="0" w:color="auto"/>
                <w:bottom w:val="none" w:sz="0" w:space="0" w:color="auto"/>
                <w:right w:val="none" w:sz="0" w:space="0" w:color="auto"/>
              </w:divBdr>
              <w:divsChild>
                <w:div w:id="1011420962">
                  <w:marLeft w:val="0"/>
                  <w:marRight w:val="0"/>
                  <w:marTop w:val="0"/>
                  <w:marBottom w:val="0"/>
                  <w:divBdr>
                    <w:top w:val="none" w:sz="0" w:space="0" w:color="auto"/>
                    <w:left w:val="none" w:sz="0" w:space="0" w:color="auto"/>
                    <w:bottom w:val="none" w:sz="0" w:space="0" w:color="auto"/>
                    <w:right w:val="none" w:sz="0" w:space="0" w:color="auto"/>
                  </w:divBdr>
                </w:div>
              </w:divsChild>
            </w:div>
            <w:div w:id="335619591">
              <w:marLeft w:val="0"/>
              <w:marRight w:val="0"/>
              <w:marTop w:val="0"/>
              <w:marBottom w:val="0"/>
              <w:divBdr>
                <w:top w:val="none" w:sz="0" w:space="0" w:color="auto"/>
                <w:left w:val="none" w:sz="0" w:space="0" w:color="auto"/>
                <w:bottom w:val="none" w:sz="0" w:space="0" w:color="auto"/>
                <w:right w:val="none" w:sz="0" w:space="0" w:color="auto"/>
              </w:divBdr>
              <w:divsChild>
                <w:div w:id="714426126">
                  <w:marLeft w:val="0"/>
                  <w:marRight w:val="0"/>
                  <w:marTop w:val="0"/>
                  <w:marBottom w:val="0"/>
                  <w:divBdr>
                    <w:top w:val="none" w:sz="0" w:space="0" w:color="auto"/>
                    <w:left w:val="none" w:sz="0" w:space="0" w:color="auto"/>
                    <w:bottom w:val="none" w:sz="0" w:space="0" w:color="auto"/>
                    <w:right w:val="none" w:sz="0" w:space="0" w:color="auto"/>
                  </w:divBdr>
                </w:div>
              </w:divsChild>
            </w:div>
            <w:div w:id="399717672">
              <w:marLeft w:val="0"/>
              <w:marRight w:val="0"/>
              <w:marTop w:val="0"/>
              <w:marBottom w:val="0"/>
              <w:divBdr>
                <w:top w:val="none" w:sz="0" w:space="0" w:color="auto"/>
                <w:left w:val="none" w:sz="0" w:space="0" w:color="auto"/>
                <w:bottom w:val="none" w:sz="0" w:space="0" w:color="auto"/>
                <w:right w:val="none" w:sz="0" w:space="0" w:color="auto"/>
              </w:divBdr>
              <w:divsChild>
                <w:div w:id="1989624046">
                  <w:marLeft w:val="0"/>
                  <w:marRight w:val="0"/>
                  <w:marTop w:val="0"/>
                  <w:marBottom w:val="0"/>
                  <w:divBdr>
                    <w:top w:val="none" w:sz="0" w:space="0" w:color="auto"/>
                    <w:left w:val="none" w:sz="0" w:space="0" w:color="auto"/>
                    <w:bottom w:val="none" w:sz="0" w:space="0" w:color="auto"/>
                    <w:right w:val="none" w:sz="0" w:space="0" w:color="auto"/>
                  </w:divBdr>
                </w:div>
              </w:divsChild>
            </w:div>
            <w:div w:id="406926765">
              <w:marLeft w:val="0"/>
              <w:marRight w:val="0"/>
              <w:marTop w:val="0"/>
              <w:marBottom w:val="0"/>
              <w:divBdr>
                <w:top w:val="none" w:sz="0" w:space="0" w:color="auto"/>
                <w:left w:val="none" w:sz="0" w:space="0" w:color="auto"/>
                <w:bottom w:val="none" w:sz="0" w:space="0" w:color="auto"/>
                <w:right w:val="none" w:sz="0" w:space="0" w:color="auto"/>
              </w:divBdr>
              <w:divsChild>
                <w:div w:id="732198904">
                  <w:marLeft w:val="0"/>
                  <w:marRight w:val="0"/>
                  <w:marTop w:val="0"/>
                  <w:marBottom w:val="0"/>
                  <w:divBdr>
                    <w:top w:val="none" w:sz="0" w:space="0" w:color="auto"/>
                    <w:left w:val="none" w:sz="0" w:space="0" w:color="auto"/>
                    <w:bottom w:val="none" w:sz="0" w:space="0" w:color="auto"/>
                    <w:right w:val="none" w:sz="0" w:space="0" w:color="auto"/>
                  </w:divBdr>
                </w:div>
                <w:div w:id="827945840">
                  <w:marLeft w:val="0"/>
                  <w:marRight w:val="0"/>
                  <w:marTop w:val="0"/>
                  <w:marBottom w:val="0"/>
                  <w:divBdr>
                    <w:top w:val="none" w:sz="0" w:space="0" w:color="auto"/>
                    <w:left w:val="none" w:sz="0" w:space="0" w:color="auto"/>
                    <w:bottom w:val="none" w:sz="0" w:space="0" w:color="auto"/>
                    <w:right w:val="none" w:sz="0" w:space="0" w:color="auto"/>
                  </w:divBdr>
                </w:div>
              </w:divsChild>
            </w:div>
            <w:div w:id="590624543">
              <w:marLeft w:val="0"/>
              <w:marRight w:val="0"/>
              <w:marTop w:val="0"/>
              <w:marBottom w:val="0"/>
              <w:divBdr>
                <w:top w:val="none" w:sz="0" w:space="0" w:color="auto"/>
                <w:left w:val="none" w:sz="0" w:space="0" w:color="auto"/>
                <w:bottom w:val="none" w:sz="0" w:space="0" w:color="auto"/>
                <w:right w:val="none" w:sz="0" w:space="0" w:color="auto"/>
              </w:divBdr>
              <w:divsChild>
                <w:div w:id="1131246868">
                  <w:marLeft w:val="0"/>
                  <w:marRight w:val="0"/>
                  <w:marTop w:val="0"/>
                  <w:marBottom w:val="0"/>
                  <w:divBdr>
                    <w:top w:val="none" w:sz="0" w:space="0" w:color="auto"/>
                    <w:left w:val="none" w:sz="0" w:space="0" w:color="auto"/>
                    <w:bottom w:val="none" w:sz="0" w:space="0" w:color="auto"/>
                    <w:right w:val="none" w:sz="0" w:space="0" w:color="auto"/>
                  </w:divBdr>
                </w:div>
              </w:divsChild>
            </w:div>
            <w:div w:id="698244170">
              <w:marLeft w:val="0"/>
              <w:marRight w:val="0"/>
              <w:marTop w:val="0"/>
              <w:marBottom w:val="0"/>
              <w:divBdr>
                <w:top w:val="none" w:sz="0" w:space="0" w:color="auto"/>
                <w:left w:val="none" w:sz="0" w:space="0" w:color="auto"/>
                <w:bottom w:val="none" w:sz="0" w:space="0" w:color="auto"/>
                <w:right w:val="none" w:sz="0" w:space="0" w:color="auto"/>
              </w:divBdr>
              <w:divsChild>
                <w:div w:id="1568105056">
                  <w:marLeft w:val="0"/>
                  <w:marRight w:val="0"/>
                  <w:marTop w:val="0"/>
                  <w:marBottom w:val="0"/>
                  <w:divBdr>
                    <w:top w:val="none" w:sz="0" w:space="0" w:color="auto"/>
                    <w:left w:val="none" w:sz="0" w:space="0" w:color="auto"/>
                    <w:bottom w:val="none" w:sz="0" w:space="0" w:color="auto"/>
                    <w:right w:val="none" w:sz="0" w:space="0" w:color="auto"/>
                  </w:divBdr>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806361011">
                  <w:marLeft w:val="0"/>
                  <w:marRight w:val="0"/>
                  <w:marTop w:val="0"/>
                  <w:marBottom w:val="0"/>
                  <w:divBdr>
                    <w:top w:val="none" w:sz="0" w:space="0" w:color="auto"/>
                    <w:left w:val="none" w:sz="0" w:space="0" w:color="auto"/>
                    <w:bottom w:val="none" w:sz="0" w:space="0" w:color="auto"/>
                    <w:right w:val="none" w:sz="0" w:space="0" w:color="auto"/>
                  </w:divBdr>
                </w:div>
              </w:divsChild>
            </w:div>
            <w:div w:id="822241446">
              <w:marLeft w:val="0"/>
              <w:marRight w:val="0"/>
              <w:marTop w:val="0"/>
              <w:marBottom w:val="0"/>
              <w:divBdr>
                <w:top w:val="none" w:sz="0" w:space="0" w:color="auto"/>
                <w:left w:val="none" w:sz="0" w:space="0" w:color="auto"/>
                <w:bottom w:val="none" w:sz="0" w:space="0" w:color="auto"/>
                <w:right w:val="none" w:sz="0" w:space="0" w:color="auto"/>
              </w:divBdr>
              <w:divsChild>
                <w:div w:id="1983389749">
                  <w:marLeft w:val="0"/>
                  <w:marRight w:val="0"/>
                  <w:marTop w:val="0"/>
                  <w:marBottom w:val="0"/>
                  <w:divBdr>
                    <w:top w:val="none" w:sz="0" w:space="0" w:color="auto"/>
                    <w:left w:val="none" w:sz="0" w:space="0" w:color="auto"/>
                    <w:bottom w:val="none" w:sz="0" w:space="0" w:color="auto"/>
                    <w:right w:val="none" w:sz="0" w:space="0" w:color="auto"/>
                  </w:divBdr>
                </w:div>
              </w:divsChild>
            </w:div>
            <w:div w:id="938370563">
              <w:marLeft w:val="0"/>
              <w:marRight w:val="0"/>
              <w:marTop w:val="0"/>
              <w:marBottom w:val="0"/>
              <w:divBdr>
                <w:top w:val="none" w:sz="0" w:space="0" w:color="auto"/>
                <w:left w:val="none" w:sz="0" w:space="0" w:color="auto"/>
                <w:bottom w:val="none" w:sz="0" w:space="0" w:color="auto"/>
                <w:right w:val="none" w:sz="0" w:space="0" w:color="auto"/>
              </w:divBdr>
              <w:divsChild>
                <w:div w:id="2094887875">
                  <w:marLeft w:val="0"/>
                  <w:marRight w:val="0"/>
                  <w:marTop w:val="0"/>
                  <w:marBottom w:val="0"/>
                  <w:divBdr>
                    <w:top w:val="none" w:sz="0" w:space="0" w:color="auto"/>
                    <w:left w:val="none" w:sz="0" w:space="0" w:color="auto"/>
                    <w:bottom w:val="none" w:sz="0" w:space="0" w:color="auto"/>
                    <w:right w:val="none" w:sz="0" w:space="0" w:color="auto"/>
                  </w:divBdr>
                </w:div>
              </w:divsChild>
            </w:div>
            <w:div w:id="995912429">
              <w:marLeft w:val="0"/>
              <w:marRight w:val="0"/>
              <w:marTop w:val="0"/>
              <w:marBottom w:val="0"/>
              <w:divBdr>
                <w:top w:val="none" w:sz="0" w:space="0" w:color="auto"/>
                <w:left w:val="none" w:sz="0" w:space="0" w:color="auto"/>
                <w:bottom w:val="none" w:sz="0" w:space="0" w:color="auto"/>
                <w:right w:val="none" w:sz="0" w:space="0" w:color="auto"/>
              </w:divBdr>
              <w:divsChild>
                <w:div w:id="1478955688">
                  <w:marLeft w:val="0"/>
                  <w:marRight w:val="0"/>
                  <w:marTop w:val="0"/>
                  <w:marBottom w:val="0"/>
                  <w:divBdr>
                    <w:top w:val="none" w:sz="0" w:space="0" w:color="auto"/>
                    <w:left w:val="none" w:sz="0" w:space="0" w:color="auto"/>
                    <w:bottom w:val="none" w:sz="0" w:space="0" w:color="auto"/>
                    <w:right w:val="none" w:sz="0" w:space="0" w:color="auto"/>
                  </w:divBdr>
                </w:div>
              </w:divsChild>
            </w:div>
            <w:div w:id="1081024077">
              <w:marLeft w:val="0"/>
              <w:marRight w:val="0"/>
              <w:marTop w:val="0"/>
              <w:marBottom w:val="0"/>
              <w:divBdr>
                <w:top w:val="none" w:sz="0" w:space="0" w:color="auto"/>
                <w:left w:val="none" w:sz="0" w:space="0" w:color="auto"/>
                <w:bottom w:val="none" w:sz="0" w:space="0" w:color="auto"/>
                <w:right w:val="none" w:sz="0" w:space="0" w:color="auto"/>
              </w:divBdr>
              <w:divsChild>
                <w:div w:id="2136020198">
                  <w:marLeft w:val="0"/>
                  <w:marRight w:val="0"/>
                  <w:marTop w:val="0"/>
                  <w:marBottom w:val="0"/>
                  <w:divBdr>
                    <w:top w:val="none" w:sz="0" w:space="0" w:color="auto"/>
                    <w:left w:val="none" w:sz="0" w:space="0" w:color="auto"/>
                    <w:bottom w:val="none" w:sz="0" w:space="0" w:color="auto"/>
                    <w:right w:val="none" w:sz="0" w:space="0" w:color="auto"/>
                  </w:divBdr>
                </w:div>
              </w:divsChild>
            </w:div>
            <w:div w:id="1201819784">
              <w:marLeft w:val="0"/>
              <w:marRight w:val="0"/>
              <w:marTop w:val="0"/>
              <w:marBottom w:val="0"/>
              <w:divBdr>
                <w:top w:val="none" w:sz="0" w:space="0" w:color="auto"/>
                <w:left w:val="none" w:sz="0" w:space="0" w:color="auto"/>
                <w:bottom w:val="none" w:sz="0" w:space="0" w:color="auto"/>
                <w:right w:val="none" w:sz="0" w:space="0" w:color="auto"/>
              </w:divBdr>
              <w:divsChild>
                <w:div w:id="1915580292">
                  <w:marLeft w:val="0"/>
                  <w:marRight w:val="0"/>
                  <w:marTop w:val="0"/>
                  <w:marBottom w:val="0"/>
                  <w:divBdr>
                    <w:top w:val="none" w:sz="0" w:space="0" w:color="auto"/>
                    <w:left w:val="none" w:sz="0" w:space="0" w:color="auto"/>
                    <w:bottom w:val="none" w:sz="0" w:space="0" w:color="auto"/>
                    <w:right w:val="none" w:sz="0" w:space="0" w:color="auto"/>
                  </w:divBdr>
                </w:div>
              </w:divsChild>
            </w:div>
            <w:div w:id="1247110747">
              <w:marLeft w:val="0"/>
              <w:marRight w:val="0"/>
              <w:marTop w:val="0"/>
              <w:marBottom w:val="0"/>
              <w:divBdr>
                <w:top w:val="none" w:sz="0" w:space="0" w:color="auto"/>
                <w:left w:val="none" w:sz="0" w:space="0" w:color="auto"/>
                <w:bottom w:val="none" w:sz="0" w:space="0" w:color="auto"/>
                <w:right w:val="none" w:sz="0" w:space="0" w:color="auto"/>
              </w:divBdr>
              <w:divsChild>
                <w:div w:id="1371109209">
                  <w:marLeft w:val="0"/>
                  <w:marRight w:val="0"/>
                  <w:marTop w:val="0"/>
                  <w:marBottom w:val="0"/>
                  <w:divBdr>
                    <w:top w:val="none" w:sz="0" w:space="0" w:color="auto"/>
                    <w:left w:val="none" w:sz="0" w:space="0" w:color="auto"/>
                    <w:bottom w:val="none" w:sz="0" w:space="0" w:color="auto"/>
                    <w:right w:val="none" w:sz="0" w:space="0" w:color="auto"/>
                  </w:divBdr>
                </w:div>
              </w:divsChild>
            </w:div>
            <w:div w:id="1280261257">
              <w:marLeft w:val="0"/>
              <w:marRight w:val="0"/>
              <w:marTop w:val="0"/>
              <w:marBottom w:val="0"/>
              <w:divBdr>
                <w:top w:val="none" w:sz="0" w:space="0" w:color="auto"/>
                <w:left w:val="none" w:sz="0" w:space="0" w:color="auto"/>
                <w:bottom w:val="none" w:sz="0" w:space="0" w:color="auto"/>
                <w:right w:val="none" w:sz="0" w:space="0" w:color="auto"/>
              </w:divBdr>
              <w:divsChild>
                <w:div w:id="392853020">
                  <w:marLeft w:val="0"/>
                  <w:marRight w:val="0"/>
                  <w:marTop w:val="0"/>
                  <w:marBottom w:val="0"/>
                  <w:divBdr>
                    <w:top w:val="none" w:sz="0" w:space="0" w:color="auto"/>
                    <w:left w:val="none" w:sz="0" w:space="0" w:color="auto"/>
                    <w:bottom w:val="none" w:sz="0" w:space="0" w:color="auto"/>
                    <w:right w:val="none" w:sz="0" w:space="0" w:color="auto"/>
                  </w:divBdr>
                </w:div>
              </w:divsChild>
            </w:div>
            <w:div w:id="1394620949">
              <w:marLeft w:val="0"/>
              <w:marRight w:val="0"/>
              <w:marTop w:val="0"/>
              <w:marBottom w:val="0"/>
              <w:divBdr>
                <w:top w:val="none" w:sz="0" w:space="0" w:color="auto"/>
                <w:left w:val="none" w:sz="0" w:space="0" w:color="auto"/>
                <w:bottom w:val="none" w:sz="0" w:space="0" w:color="auto"/>
                <w:right w:val="none" w:sz="0" w:space="0" w:color="auto"/>
              </w:divBdr>
              <w:divsChild>
                <w:div w:id="1780754724">
                  <w:marLeft w:val="0"/>
                  <w:marRight w:val="0"/>
                  <w:marTop w:val="0"/>
                  <w:marBottom w:val="0"/>
                  <w:divBdr>
                    <w:top w:val="none" w:sz="0" w:space="0" w:color="auto"/>
                    <w:left w:val="none" w:sz="0" w:space="0" w:color="auto"/>
                    <w:bottom w:val="none" w:sz="0" w:space="0" w:color="auto"/>
                    <w:right w:val="none" w:sz="0" w:space="0" w:color="auto"/>
                  </w:divBdr>
                </w:div>
              </w:divsChild>
            </w:div>
            <w:div w:id="1708027049">
              <w:marLeft w:val="0"/>
              <w:marRight w:val="0"/>
              <w:marTop w:val="0"/>
              <w:marBottom w:val="0"/>
              <w:divBdr>
                <w:top w:val="none" w:sz="0" w:space="0" w:color="auto"/>
                <w:left w:val="none" w:sz="0" w:space="0" w:color="auto"/>
                <w:bottom w:val="none" w:sz="0" w:space="0" w:color="auto"/>
                <w:right w:val="none" w:sz="0" w:space="0" w:color="auto"/>
              </w:divBdr>
              <w:divsChild>
                <w:div w:id="573589702">
                  <w:marLeft w:val="0"/>
                  <w:marRight w:val="0"/>
                  <w:marTop w:val="0"/>
                  <w:marBottom w:val="0"/>
                  <w:divBdr>
                    <w:top w:val="none" w:sz="0" w:space="0" w:color="auto"/>
                    <w:left w:val="none" w:sz="0" w:space="0" w:color="auto"/>
                    <w:bottom w:val="none" w:sz="0" w:space="0" w:color="auto"/>
                    <w:right w:val="none" w:sz="0" w:space="0" w:color="auto"/>
                  </w:divBdr>
                </w:div>
              </w:divsChild>
            </w:div>
            <w:div w:id="1973752409">
              <w:marLeft w:val="0"/>
              <w:marRight w:val="0"/>
              <w:marTop w:val="0"/>
              <w:marBottom w:val="0"/>
              <w:divBdr>
                <w:top w:val="none" w:sz="0" w:space="0" w:color="auto"/>
                <w:left w:val="none" w:sz="0" w:space="0" w:color="auto"/>
                <w:bottom w:val="none" w:sz="0" w:space="0" w:color="auto"/>
                <w:right w:val="none" w:sz="0" w:space="0" w:color="auto"/>
              </w:divBdr>
              <w:divsChild>
                <w:div w:id="1117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77207">
      <w:bodyDiv w:val="1"/>
      <w:marLeft w:val="0"/>
      <w:marRight w:val="0"/>
      <w:marTop w:val="0"/>
      <w:marBottom w:val="0"/>
      <w:divBdr>
        <w:top w:val="none" w:sz="0" w:space="0" w:color="auto"/>
        <w:left w:val="none" w:sz="0" w:space="0" w:color="auto"/>
        <w:bottom w:val="none" w:sz="0" w:space="0" w:color="auto"/>
        <w:right w:val="none" w:sz="0" w:space="0" w:color="auto"/>
      </w:divBdr>
    </w:div>
    <w:div w:id="1644308872">
      <w:bodyDiv w:val="1"/>
      <w:marLeft w:val="0"/>
      <w:marRight w:val="0"/>
      <w:marTop w:val="0"/>
      <w:marBottom w:val="0"/>
      <w:divBdr>
        <w:top w:val="none" w:sz="0" w:space="0" w:color="auto"/>
        <w:left w:val="none" w:sz="0" w:space="0" w:color="auto"/>
        <w:bottom w:val="none" w:sz="0" w:space="0" w:color="auto"/>
        <w:right w:val="none" w:sz="0" w:space="0" w:color="auto"/>
      </w:divBdr>
    </w:div>
    <w:div w:id="1870484128">
      <w:bodyDiv w:val="1"/>
      <w:marLeft w:val="0"/>
      <w:marRight w:val="0"/>
      <w:marTop w:val="0"/>
      <w:marBottom w:val="0"/>
      <w:divBdr>
        <w:top w:val="none" w:sz="0" w:space="0" w:color="auto"/>
        <w:left w:val="none" w:sz="0" w:space="0" w:color="auto"/>
        <w:bottom w:val="none" w:sz="0" w:space="0" w:color="auto"/>
        <w:right w:val="none" w:sz="0" w:space="0" w:color="auto"/>
      </w:divBdr>
    </w:div>
    <w:div w:id="20800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ourwatch.org.au/resource/changing-the-landscape" TargetMode="External"/><Relationship Id="rId26" Type="http://schemas.openxmlformats.org/officeDocument/2006/relationships/hyperlink" Target="https://www.latrobe.edu.au/arcshs/work/rainbow-realities" TargetMode="External"/><Relationship Id="rId3" Type="http://schemas.openxmlformats.org/officeDocument/2006/relationships/customXml" Target="../customXml/item3.xml"/><Relationship Id="rId21" Type="http://schemas.openxmlformats.org/officeDocument/2006/relationships/hyperlink" Target="https://www.dss.gov.au/the-national-plan-to-end-violence-against-women-and-children/aboriginal-and-torres-strait-islander-action-plan-2023-2025"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urwatch.org.au/resource/changing-the-picture" TargetMode="External"/><Relationship Id="rId25"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urwatch.org.au/resource/change-the-story-a-shared-framework-for-the-primary-prevention-of-violence-against-women-in-australia/" TargetMode="External"/><Relationship Id="rId20" Type="http://schemas.openxmlformats.org/officeDocument/2006/relationships/hyperlink" Target="https://www.dss.gov.au/ending-violence" TargetMode="External"/><Relationship Id="rId29" Type="http://schemas.openxmlformats.org/officeDocument/2006/relationships/hyperlink" Target="https://www.transfemme.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ransjustice.org.au/fuelling-hate-report-blog/"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ourwatch.org.au/" TargetMode="External"/><Relationship Id="rId23" Type="http://schemas.openxmlformats.org/officeDocument/2006/relationships/hyperlink" Target="https://www.latrobe.edu.au/arcshs/work/writing-themselves-in-4" TargetMode="External"/><Relationship Id="rId28" Type="http://schemas.openxmlformats.org/officeDocument/2006/relationships/hyperlink" Target="https://sayitoutloud.org.au/?state=all"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manda.alford@ourwatch.org.a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ing-the-picture/" TargetMode="External"/><Relationship Id="rId22" Type="http://schemas.openxmlformats.org/officeDocument/2006/relationships/hyperlink" Target="https://www.latrobe.edu.au/__data/assets/pdf_file/0009/1185885/Private-Lives-3.pdf" TargetMode="External"/><Relationship Id="rId27" Type="http://schemas.openxmlformats.org/officeDocument/2006/relationships/hyperlink" Target="https://rainbowhealthaustralia.org.au/news/launch-pride-in-prevention-evidence-guide" TargetMode="External"/><Relationship Id="rId30" Type="http://schemas.openxmlformats.org/officeDocument/2006/relationships/hyperlink" Target="https://media.ourwatch.org.au/reporting-violence-against-women/reporting-guide-violence-against-transgender-and-gender-diverse/"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13" Type="http://schemas.openxmlformats.org/officeDocument/2006/relationships/hyperlink" Target="https://www.latrobe.edu.au/arcshs/work/private-lives-3" TargetMode="External"/><Relationship Id="rId18" Type="http://schemas.openxmlformats.org/officeDocument/2006/relationships/hyperlink" Target="https://www.dss.gov.au/the-national-plan-to-end-violence-against-women-and-children/aboriginal-and-torres-strait-islander-action-plan-2023-2025" TargetMode="External"/><Relationship Id="rId26" Type="http://schemas.openxmlformats.org/officeDocument/2006/relationships/hyperlink" Target="https://www.respectvictoria.vic.gov.au/understanding-backlash-and-resistance" TargetMode="External"/><Relationship Id="rId3" Type="http://schemas.openxmlformats.org/officeDocument/2006/relationships/hyperlink" Target="https://www.latrobe.edu.au/arcshs/work/writing-themselves-in-4" TargetMode="External"/><Relationship Id="rId21" Type="http://schemas.openxmlformats.org/officeDocument/2006/relationships/hyperlink" Target="https://www.ourwatch.org.au/resource/primary-prevention-of-family-violence-against-people-from-lgbtiq-communities-an-analysis-of-existing-research/" TargetMode="External"/><Relationship Id="rId34" Type="http://schemas.openxmlformats.org/officeDocument/2006/relationships/hyperlink" Target="https://media.ourwatch.org.au/reporting-violence-against-women/reporting-guide-violence-against-transgender-and-gender-diverse/" TargetMode="External"/><Relationship Id="rId7" Type="http://schemas.openxmlformats.org/officeDocument/2006/relationships/hyperlink" Target="https://media.ourwatch.org.au/reporting-violence-against-women/reporting-guide-violence-against-transgender-and-gender-diverse/" TargetMode="External"/><Relationship Id="rId12" Type="http://schemas.openxmlformats.org/officeDocument/2006/relationships/hyperlink" Target="https://media.ourwatch.org.au/reporting-violence-against-women/reporting-guide-violence-against-transgender-and-gender-diverse/" TargetMode="External"/><Relationship Id="rId17" Type="http://schemas.openxmlformats.org/officeDocument/2006/relationships/hyperlink" Target="https://www.anrows.org.au/project/crossing-the-line-lived-experience-of-sexual-violence-among-trans-women-from-culturally-and-linguistically-diverse-backgrounds-in-australia/" TargetMode="External"/><Relationship Id="rId25" Type="http://schemas.openxmlformats.org/officeDocument/2006/relationships/hyperlink" Target="https://www.ourwatch.org.au/resource/change-the-story-a-shared-framework-for-the-primary-prevention-of-violence-against-women-in-australia" TargetMode="External"/><Relationship Id="rId33" Type="http://schemas.openxmlformats.org/officeDocument/2006/relationships/hyperlink" Target="https://www.splcenter.org/fighting-hate/extremist-files/ideology/anti-lgbtq" TargetMode="External"/><Relationship Id="rId2" Type="http://schemas.openxmlformats.org/officeDocument/2006/relationships/hyperlink" Target="https://www.latrobe.edu.au/arcshs/work/private-lives-3" TargetMode="External"/><Relationship Id="rId16" Type="http://schemas.openxmlformats.org/officeDocument/2006/relationships/hyperlink" Target="https://www.ourwatch.org.au/resource/primary-prevention-of-family-violence-against-people-from-lgbtiq-communities-an-analysis-of-existing-research/" TargetMode="External"/><Relationship Id="rId20" Type="http://schemas.openxmlformats.org/officeDocument/2006/relationships/hyperlink" Target="https://www.ourwatch.org.au/resource/change-the-story-a-shared-framework-for-the-primary-prevention-of-violence-against-women-in-australia" TargetMode="External"/><Relationship Id="rId29" Type="http://schemas.openxmlformats.org/officeDocument/2006/relationships/hyperlink" Target="https://theconversation.com/we-must-all-speak-out-to-stop-anti-lgbtq-legislation-204805" TargetMode="External"/><Relationship Id="rId1" Type="http://schemas.openxmlformats.org/officeDocument/2006/relationships/hyperlink" Target="https://rainbowhealthaustralia.org.au/news/launch-pride-in-prevention-evidence-guide" TargetMode="External"/><Relationship Id="rId6" Type="http://schemas.openxmlformats.org/officeDocument/2006/relationships/hyperlink" Target="https://www.ourwatch.org.au/resource/change-the-story-a-shared-framework-for-the-primary-prevention-of-violence-against-women-in-australia" TargetMode="External"/><Relationship Id="rId11" Type="http://schemas.openxmlformats.org/officeDocument/2006/relationships/hyperlink" Target="https://transjustice.org.au/fuelling-hate-report-blog/" TargetMode="External"/><Relationship Id="rId24" Type="http://schemas.openxmlformats.org/officeDocument/2006/relationships/hyperlink" Target="https://www.ourwatch.org.au/resource/change-the-story-a-shared-framework-for-the-primary-prevention-of-violence-against-women-in-australia" TargetMode="External"/><Relationship Id="rId32" Type="http://schemas.openxmlformats.org/officeDocument/2006/relationships/hyperlink" Target="https://glaad.org/2023-year-in-review-anti-lgbtq-online-hate-and-disinformation/" TargetMode="External"/><Relationship Id="rId5" Type="http://schemas.openxmlformats.org/officeDocument/2006/relationships/hyperlink" Target="https://www.dss.gov.au/the-national-plan-to-end-violence-against-women-and-children/aboriginal-and-torres-strait-islander-action-plan-2023-2025" TargetMode="External"/><Relationship Id="rId15" Type="http://schemas.openxmlformats.org/officeDocument/2006/relationships/hyperlink" Target="https://www.telethonkids.org.au/projects/past/trans-pathways/" TargetMode="External"/><Relationship Id="rId23" Type="http://schemas.openxmlformats.org/officeDocument/2006/relationships/hyperlink" Target="https://www.latrobe.edu.au/arcshs/work/private-lives-3" TargetMode="External"/><Relationship Id="rId28" Type="http://schemas.openxmlformats.org/officeDocument/2006/relationships/hyperlink" Target="https://glaad.org/2023-year-in-review-anti-lgbtq-online-hate-and-disinformation/" TargetMode="External"/><Relationship Id="rId10" Type="http://schemas.openxmlformats.org/officeDocument/2006/relationships/hyperlink" Target="https://transjustice.org.au/fuelling-hate-report-blog/" TargetMode="External"/><Relationship Id="rId19" Type="http://schemas.openxmlformats.org/officeDocument/2006/relationships/hyperlink" Target="https://www.ourwatch.org.au/resource/change-the-story-a-shared-framework-for-the-primary-prevention-of-violence-against-women-in-australia" TargetMode="External"/><Relationship Id="rId31" Type="http://schemas.openxmlformats.org/officeDocument/2006/relationships/hyperlink" Target="https://commonslibrary.org/the-anti-trans-movement/" TargetMode="External"/><Relationship Id="rId4" Type="http://schemas.openxmlformats.org/officeDocument/2006/relationships/hyperlink" Target="https://www.latrobe.edu.au/arcshs/work/rainbow-realities" TargetMode="External"/><Relationship Id="rId9" Type="http://schemas.openxmlformats.org/officeDocument/2006/relationships/hyperlink" Target="https://www.latrobe.edu.au/arcshs/work/private-lives-3" TargetMode="External"/><Relationship Id="rId14" Type="http://schemas.openxmlformats.org/officeDocument/2006/relationships/hyperlink" Target="https://www.latrobe.edu.au/arcshs/work/writing-themselves-in-4" TargetMode="External"/><Relationship Id="rId22" Type="http://schemas.openxmlformats.org/officeDocument/2006/relationships/hyperlink" Target="https://rainbowhealthaustralia.org.au/news/launch-pride-in-prevention-evidence-guide" TargetMode="External"/><Relationship Id="rId27" Type="http://schemas.openxmlformats.org/officeDocument/2006/relationships/hyperlink" Target="https://www.amnesty.org/en/latest/news/2024/01/africa-barrage-of-discriminatory-laws-stoking-hate-against-lgbti-persons/" TargetMode="External"/><Relationship Id="rId30" Type="http://schemas.openxmlformats.org/officeDocument/2006/relationships/hyperlink" Target="https://translegislation.com/" TargetMode="External"/><Relationship Id="rId8" Type="http://schemas.openxmlformats.org/officeDocument/2006/relationships/hyperlink" Target="https://action.ourwatch.org.au/what-is-prevention/preventing-violence-against-lgbtiq-peop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hewitt\Downloads\Our%20Watch%20-%20Word%20letterhead%20template%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02BF4D1D20B40669EC4E42DF416FC61"/>
        <w:category>
          <w:name w:val="General"/>
          <w:gallery w:val="placeholder"/>
        </w:category>
        <w:types>
          <w:type w:val="bbPlcHdr"/>
        </w:types>
        <w:behaviors>
          <w:behavior w:val="content"/>
        </w:behaviors>
        <w:guid w:val="{A1488374-E61D-4ED4-AF12-880CED3EA34F}"/>
      </w:docPartPr>
      <w:docPartBody>
        <w:p w:rsidR="003F7D2E" w:rsidRDefault="00B864F5" w:rsidP="00B864F5">
          <w:pPr>
            <w:pStyle w:val="902BF4D1D20B40669EC4E42DF416FC61"/>
          </w:pPr>
          <w:r w:rsidRPr="00A97B80">
            <w:rPr>
              <w:highlight w:val="lightGray"/>
            </w:rPr>
            <w:t>[Select Month Year]</w:t>
          </w:r>
        </w:p>
      </w:docPartBody>
    </w:docPart>
    <w:docPart>
      <w:docPartPr>
        <w:name w:val="61FCA97ACDCC48C486402BBBCA60088A"/>
        <w:category>
          <w:name w:val="General"/>
          <w:gallery w:val="placeholder"/>
        </w:category>
        <w:types>
          <w:type w:val="bbPlcHdr"/>
        </w:types>
        <w:behaviors>
          <w:behavior w:val="content"/>
        </w:behaviors>
        <w:guid w:val="{50F3ADA1-6F25-422C-B06D-BF1FDD5C552D}"/>
      </w:docPartPr>
      <w:docPartBody>
        <w:p w:rsidR="003F7D2E" w:rsidRDefault="00B864F5" w:rsidP="00B864F5">
          <w:pPr>
            <w:pStyle w:val="61FCA97ACDCC48C486402BBBCA60088A"/>
          </w:pPr>
          <w:r w:rsidRPr="00521E81">
            <w:rPr>
              <w:rStyle w:val="PlaceholderText"/>
            </w:rPr>
            <w:t>Click or tap here to enter text.</w:t>
          </w:r>
        </w:p>
      </w:docPartBody>
    </w:docPart>
    <w:docPart>
      <w:docPartPr>
        <w:name w:val="8D2EF0E6AD1D46448AE2A8A3759AE9CB"/>
        <w:category>
          <w:name w:val="General"/>
          <w:gallery w:val="placeholder"/>
        </w:category>
        <w:types>
          <w:type w:val="bbPlcHdr"/>
        </w:types>
        <w:behaviors>
          <w:behavior w:val="content"/>
        </w:behaviors>
        <w:guid w:val="{92B01A9A-36CA-4010-A851-5EE53DF532C3}"/>
      </w:docPartPr>
      <w:docPartBody>
        <w:p w:rsidR="003F7D2E" w:rsidRDefault="00B864F5">
          <w:pPr>
            <w:pStyle w:val="8D2EF0E6AD1D46448AE2A8A3759AE9CB"/>
          </w:pPr>
          <w:r w:rsidRPr="00521E8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cumin Pro Medium">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roman"/>
    <w:notTrueType/>
    <w:pitch w:val="default"/>
  </w:font>
  <w:font w:name="Poppins">
    <w:altName w:val="Nirmala UI"/>
    <w:charset w:val="00"/>
    <w:family w:val="auto"/>
    <w:pitch w:val="variable"/>
    <w:sig w:usb0="00008007" w:usb1="00000000" w:usb2="00000000" w:usb3="00000000" w:csb0="00000093" w:csb1="00000000"/>
  </w:font>
  <w:font w:name="ZWAdobeF">
    <w:panose1 w:val="00000000000000000000"/>
    <w:charset w:val="00"/>
    <w:family w:val="auto"/>
    <w:pitch w:val="variable"/>
    <w:sig w:usb0="20002A87" w:usb1="00000000" w:usb2="00000000" w:usb3="00000000" w:csb0="000001FF" w:csb1="00000000"/>
  </w:font>
  <w:font w:name="Acumin Pro">
    <w:altName w:val="Acumin Pro"/>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4F5"/>
    <w:rsid w:val="003F7D2E"/>
    <w:rsid w:val="006B346F"/>
    <w:rsid w:val="006B3E22"/>
    <w:rsid w:val="00835CD7"/>
    <w:rsid w:val="00A96504"/>
    <w:rsid w:val="00B86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4F5"/>
    <w:rPr>
      <w:color w:val="808080"/>
    </w:rPr>
  </w:style>
  <w:style w:type="paragraph" w:customStyle="1" w:styleId="8D2EF0E6AD1D46448AE2A8A3759AE9CB">
    <w:name w:val="8D2EF0E6AD1D46448AE2A8A3759AE9CB"/>
    <w:pPr>
      <w:spacing w:line="278" w:lineRule="auto"/>
    </w:pPr>
    <w:rPr>
      <w:kern w:val="2"/>
      <w:sz w:val="24"/>
      <w:szCs w:val="24"/>
      <w14:ligatures w14:val="standardContextual"/>
    </w:rPr>
  </w:style>
  <w:style w:type="paragraph" w:customStyle="1" w:styleId="902BF4D1D20B40669EC4E42DF416FC61">
    <w:name w:val="902BF4D1D20B40669EC4E42DF416FC61"/>
    <w:rsid w:val="00B864F5"/>
  </w:style>
  <w:style w:type="paragraph" w:customStyle="1" w:styleId="61FCA97ACDCC48C486402BBBCA60088A">
    <w:name w:val="61FCA97ACDCC48C486402BBBCA60088A"/>
    <w:rsid w:val="00B86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3AD12-645E-4F95-B27C-2BABBE715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F38A-BB3A-4991-9243-FCDBA0DD313C}">
  <ds:schemaRefs>
    <ds:schemaRef ds:uri="http://schemas.microsoft.com/sharepoint/v3/contenttype/forms"/>
  </ds:schemaRefs>
</ds:datastoreItem>
</file>

<file path=customXml/itemProps4.xml><?xml version="1.0" encoding="utf-8"?>
<ds:datastoreItem xmlns:ds="http://schemas.openxmlformats.org/officeDocument/2006/customXml" ds:itemID="{9B5F4AE7-A86F-4DAD-8B50-5F568F7AD193}">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9b65d406-1a41-489f-810e-00adeea62ff5"/>
    <ds:schemaRef ds:uri="http://schemas.microsoft.com/office/infopath/2007/PartnerControls"/>
    <ds:schemaRef ds:uri="ef89dfe1-2fd6-4ffd-966a-b6a657178080"/>
    <ds:schemaRef ds:uri="http://schemas.microsoft.com/office/2006/metadata/properties"/>
  </ds:schemaRefs>
</ds:datastoreItem>
</file>

<file path=customXml/itemProps5.xml><?xml version="1.0" encoding="utf-8"?>
<ds:datastoreItem xmlns:ds="http://schemas.openxmlformats.org/officeDocument/2006/customXml" ds:itemID="{AF662B6B-16C7-4F55-B2FF-CB783A95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Our Watch - Word letterhead template (4)</Template>
  <TotalTime>0</TotalTime>
  <Pages>11</Pages>
  <Words>3561</Words>
  <Characters>20624</Characters>
  <Application>Microsoft Office Word</Application>
  <DocSecurity>0</DocSecurity>
  <Lines>332</Lines>
  <Paragraphs>83</Paragraphs>
  <ScaleCrop>false</ScaleCrop>
  <Manager/>
  <Company>Our Watch</Company>
  <LinksUpToDate>false</LinksUpToDate>
  <CharactersWithSpaces>24102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Watch Submission to the Australian Human Rights Commission consultation into current and emerging threats to trans and gender diverse human rights</dc:title>
  <dc:subject>Letterhead</dc:subject>
  <dc:creator>Sarah Hewitt</dc:creator>
  <cp:keywords/>
  <dc:description/>
  <cp:lastModifiedBy>Catherine Warczak</cp:lastModifiedBy>
  <cp:revision>2</cp:revision>
  <cp:lastPrinted>2024-05-08T23:49:00Z</cp:lastPrinted>
  <dcterms:created xsi:type="dcterms:W3CDTF">2024-05-08T23:51:00Z</dcterms:created>
  <dcterms:modified xsi:type="dcterms:W3CDTF">2024-05-08T23:51:00Z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Resource topic">
    <vt:lpwstr>2;#Human Resources​|891f3b2e-31d8-4e10-b722-b6aa05761426</vt:lpwstr>
  </property>
  <property fmtid="{D5CDD505-2E9C-101B-9397-08002B2CF9AE}" pid="4" name="Document Type">
    <vt:lpwstr>50;#Template|f56ca8d8-20d6-4804-b4a3-7a1d87ff7ac6</vt:lpwstr>
  </property>
  <property fmtid="{D5CDD505-2E9C-101B-9397-08002B2CF9AE}" pid="5" name="Sub topic">
    <vt:lpwstr>39;#Selection, Recruitment and Contracting|743e46ba-11be-4679-baaa-684d04e1c999</vt:lpwstr>
  </property>
  <property fmtid="{D5CDD505-2E9C-101B-9397-08002B2CF9AE}" pid="6" name="Resource page">
    <vt:lpwstr>48;#Human resources|a80eb382-9f0e-42af-9f36-d13e42b7e82f</vt:lpwstr>
  </property>
  <property fmtid="{D5CDD505-2E9C-101B-9397-08002B2CF9AE}" pid="7" name="AuthorIds_UIVersion_2560">
    <vt:lpwstr>3099</vt:lpwstr>
  </property>
  <property fmtid="{D5CDD505-2E9C-101B-9397-08002B2CF9AE}" pid="8" name="MediaServiceImageTags">
    <vt:lpwstr/>
  </property>
</Properties>
</file>