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9639"/>
      </w:tblGrid>
      <w:tr w:rsidR="00113DC6" w:rsidRPr="00117237" w14:paraId="1A0908E9" w14:textId="77777777">
        <w:tc>
          <w:tcPr>
            <w:tcW w:w="9639" w:type="dxa"/>
          </w:tcPr>
          <w:p w14:paraId="3CD387AF" w14:textId="77777777" w:rsidR="00113DC6" w:rsidRPr="00117237" w:rsidRDefault="00113DC6" w:rsidP="00DF4B1B">
            <w:pPr>
              <w:pStyle w:val="ListBullet"/>
              <w:numPr>
                <w:ilvl w:val="0"/>
                <w:numId w:val="0"/>
              </w:numPr>
            </w:pPr>
            <w:bookmarkStart w:id="0" w:name="CoverGrid"/>
            <w:bookmarkStart w:id="1" w:name="_Toc515978148"/>
          </w:p>
        </w:tc>
      </w:tr>
      <w:tr w:rsidR="00113DC6" w:rsidRPr="00117237" w14:paraId="4EEDB97A" w14:textId="77777777">
        <w:trPr>
          <w:trHeight w:val="6746"/>
        </w:trPr>
        <w:tc>
          <w:tcPr>
            <w:tcW w:w="9639" w:type="dxa"/>
            <w:vAlign w:val="bottom"/>
          </w:tcPr>
          <w:p w14:paraId="67A79F4B" w14:textId="77777777" w:rsidR="00113DC6" w:rsidRPr="00117237" w:rsidRDefault="00113DC6">
            <w:pPr>
              <w:pStyle w:val="CoverSubtitle"/>
              <w:spacing w:before="0" w:line="276" w:lineRule="auto"/>
              <w:rPr>
                <w:color w:val="931B2F"/>
                <w:sz w:val="72"/>
              </w:rPr>
            </w:pPr>
            <w:r w:rsidRPr="00117237">
              <w:rPr>
                <w:color w:val="931B2F"/>
                <w:sz w:val="72"/>
              </w:rPr>
              <w:t>Evaluation of the respect and equality at tafes 2 project</w:t>
            </w:r>
          </w:p>
          <w:p w14:paraId="2496F97B" w14:textId="3E3CF277" w:rsidR="00113DC6" w:rsidRPr="00117237" w:rsidRDefault="003E1AE9">
            <w:pPr>
              <w:pStyle w:val="CoverSubtitle"/>
              <w:spacing w:before="0" w:line="276" w:lineRule="auto"/>
            </w:pPr>
            <w:r>
              <w:t xml:space="preserve">final </w:t>
            </w:r>
            <w:r w:rsidR="00FF65AA" w:rsidRPr="00117237">
              <w:t xml:space="preserve">EVALUATION </w:t>
            </w:r>
            <w:r w:rsidR="00113DC6" w:rsidRPr="00117237">
              <w:t xml:space="preserve">REPORT </w:t>
            </w:r>
          </w:p>
        </w:tc>
      </w:tr>
      <w:tr w:rsidR="00113DC6" w:rsidRPr="00117237" w14:paraId="1589F2FE" w14:textId="77777777">
        <w:trPr>
          <w:trHeight w:val="20"/>
        </w:trPr>
        <w:tc>
          <w:tcPr>
            <w:tcW w:w="9639" w:type="dxa"/>
            <w:vAlign w:val="bottom"/>
          </w:tcPr>
          <w:p w14:paraId="16C2E7DA" w14:textId="4802F540" w:rsidR="00C72EF6" w:rsidRPr="00117237" w:rsidRDefault="003E1AE9">
            <w:pPr>
              <w:pStyle w:val="CoverDate"/>
              <w:spacing w:after="120" w:line="276" w:lineRule="auto"/>
            </w:pPr>
            <w:r>
              <w:t>march</w:t>
            </w:r>
            <w:r w:rsidR="00113DC6" w:rsidRPr="00117237">
              <w:t xml:space="preserve"> 2025</w:t>
            </w:r>
          </w:p>
          <w:p w14:paraId="10F15657" w14:textId="6CC32DDA" w:rsidR="00113DC6" w:rsidRPr="00117237" w:rsidRDefault="00113DC6">
            <w:pPr>
              <w:pStyle w:val="CoverDate"/>
              <w:spacing w:after="120" w:line="276" w:lineRule="auto"/>
            </w:pPr>
            <w:r w:rsidRPr="00117237">
              <w:t xml:space="preserve"> </w:t>
            </w:r>
          </w:p>
        </w:tc>
      </w:tr>
    </w:tbl>
    <w:bookmarkEnd w:id="0"/>
    <w:p w14:paraId="683BB444" w14:textId="77777777" w:rsidR="00113DC6" w:rsidRPr="00117237" w:rsidRDefault="00113DC6" w:rsidP="00113DC6">
      <w:pPr>
        <w:pStyle w:val="BodyText"/>
        <w:spacing w:line="276" w:lineRule="auto"/>
      </w:pPr>
      <w:r w:rsidRPr="00117237">
        <w:rPr>
          <w:noProof/>
        </w:rPr>
        <mc:AlternateContent>
          <mc:Choice Requires="wps">
            <w:drawing>
              <wp:anchor distT="0" distB="0" distL="114300" distR="114300" simplePos="0" relativeHeight="251658240" behindDoc="1" locked="0" layoutInCell="1" allowOverlap="1" wp14:anchorId="0C010CB4" wp14:editId="1F510127">
                <wp:simplePos x="0" y="0"/>
                <wp:positionH relativeFrom="column">
                  <wp:posOffset>-765810</wp:posOffset>
                </wp:positionH>
                <wp:positionV relativeFrom="paragraph">
                  <wp:posOffset>-5791200</wp:posOffset>
                </wp:positionV>
                <wp:extent cx="7639050" cy="8201025"/>
                <wp:effectExtent l="0" t="0" r="0" b="0"/>
                <wp:wrapNone/>
                <wp:docPr id="12"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9050" cy="8201025"/>
                        </a:xfrm>
                        <a:prstGeom prst="rect">
                          <a:avLst/>
                        </a:prstGeom>
                        <a:solidFill>
                          <a:srgbClr val="E4E5E3"/>
                        </a:solidFill>
                        <a:ln>
                          <a:noFill/>
                        </a:ln>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204D8" id="Rectangle 30" o:spid="_x0000_s1026" alt="&quot;&quot;" style="position:absolute;margin-left:-60.3pt;margin-top:-456pt;width:601.5pt;height:6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" fillcolor="#e4e5e3" stroked="f">
                <v:textbox inset=",7.2pt,,7.2pt"/>
              </v:rect>
            </w:pict>
          </mc:Fallback>
        </mc:AlternateContent>
      </w:r>
    </w:p>
    <w:p w14:paraId="557F852B" w14:textId="77777777" w:rsidR="00113DC6" w:rsidRPr="00117237" w:rsidRDefault="00113DC6" w:rsidP="00113DC6">
      <w:pPr>
        <w:spacing w:line="276" w:lineRule="auto"/>
      </w:pPr>
    </w:p>
    <w:p w14:paraId="1824B51D" w14:textId="77777777" w:rsidR="00113DC6" w:rsidRPr="00117237" w:rsidRDefault="00113DC6" w:rsidP="00113DC6">
      <w:pPr>
        <w:spacing w:line="276" w:lineRule="auto"/>
      </w:pPr>
    </w:p>
    <w:p w14:paraId="5344E1FD" w14:textId="77777777" w:rsidR="00113DC6" w:rsidRPr="00117237" w:rsidRDefault="00113DC6" w:rsidP="00113DC6">
      <w:pPr>
        <w:spacing w:line="276" w:lineRule="auto"/>
      </w:pPr>
    </w:p>
    <w:p w14:paraId="149E998E" w14:textId="77777777" w:rsidR="00113DC6" w:rsidRPr="00117237" w:rsidRDefault="00113DC6" w:rsidP="00113DC6">
      <w:pPr>
        <w:spacing w:line="276" w:lineRule="auto"/>
      </w:pPr>
    </w:p>
    <w:p w14:paraId="23758C9E" w14:textId="77777777" w:rsidR="00113DC6" w:rsidRPr="00117237" w:rsidRDefault="00113DC6" w:rsidP="00113DC6">
      <w:pPr>
        <w:spacing w:line="276" w:lineRule="auto"/>
      </w:pPr>
    </w:p>
    <w:p w14:paraId="6FA04D6E" w14:textId="77777777" w:rsidR="00113DC6" w:rsidRPr="00117237" w:rsidRDefault="00113DC6" w:rsidP="00113DC6">
      <w:pPr>
        <w:spacing w:line="276" w:lineRule="auto"/>
      </w:pPr>
    </w:p>
    <w:p w14:paraId="73C77277" w14:textId="77777777" w:rsidR="00113DC6" w:rsidRPr="00117237" w:rsidRDefault="00113DC6" w:rsidP="00113DC6">
      <w:pPr>
        <w:spacing w:line="276" w:lineRule="auto"/>
      </w:pPr>
    </w:p>
    <w:p w14:paraId="457F22A9" w14:textId="77777777" w:rsidR="00113DC6" w:rsidRPr="00117237" w:rsidRDefault="00113DC6" w:rsidP="00113DC6">
      <w:pPr>
        <w:spacing w:line="276" w:lineRule="auto"/>
      </w:pPr>
    </w:p>
    <w:p w14:paraId="396188BC" w14:textId="77777777" w:rsidR="00113DC6" w:rsidRPr="00117237" w:rsidRDefault="00113DC6" w:rsidP="00113DC6">
      <w:pPr>
        <w:pStyle w:val="TOC1"/>
        <w:spacing w:line="276" w:lineRule="auto"/>
        <w:rPr>
          <w:noProof w:val="0"/>
          <w:color w:val="931B2F"/>
          <w:lang w:eastAsia="en-AU"/>
        </w:rPr>
      </w:pPr>
      <w:bookmarkStart w:id="2" w:name="TOCFigures"/>
      <w:bookmarkEnd w:id="2"/>
    </w:p>
    <w:p w14:paraId="6DC757E1" w14:textId="77777777" w:rsidR="00113DC6" w:rsidRPr="00117237" w:rsidRDefault="00113DC6" w:rsidP="00113DC6">
      <w:pPr>
        <w:pStyle w:val="BodyText"/>
        <w:spacing w:line="276" w:lineRule="auto"/>
        <w:sectPr w:rsidR="00113DC6" w:rsidRPr="00117237" w:rsidSect="00113DC6">
          <w:headerReference w:type="default" r:id="rId11"/>
          <w:footerReference w:type="default" r:id="rId12"/>
          <w:footerReference w:type="first" r:id="rId13"/>
          <w:pgSz w:w="11906" w:h="16838" w:code="9"/>
          <w:pgMar w:top="720" w:right="1134" w:bottom="720" w:left="1134" w:header="567" w:footer="567" w:gutter="0"/>
          <w:cols w:space="708"/>
          <w:titlePg/>
          <w:docGrid w:linePitch="360"/>
        </w:sectPr>
      </w:pPr>
    </w:p>
    <w:bookmarkEnd w:id="1" w:displacedByCustomXml="next"/>
    <w:bookmarkStart w:id="3" w:name="_Toc166050824" w:displacedByCustomXml="next"/>
    <w:sdt>
      <w:sdtPr>
        <w:rPr>
          <w:rFonts w:asciiTheme="minorHAnsi" w:eastAsia="Century Gothic" w:hAnsiTheme="minorHAnsi" w:cstheme="minorBidi"/>
          <w:b w:val="0"/>
          <w:color w:val="000000" w:themeColor="text1"/>
          <w:sz w:val="22"/>
          <w:szCs w:val="22"/>
          <w:lang w:eastAsia="en-US"/>
        </w:rPr>
        <w:id w:val="-1406835467"/>
        <w:docPartObj>
          <w:docPartGallery w:val="Table of Contents"/>
          <w:docPartUnique/>
        </w:docPartObj>
      </w:sdtPr>
      <w:sdtEndPr/>
      <w:sdtContent>
        <w:p w14:paraId="778973F9" w14:textId="5FE352F1" w:rsidR="00113DC6" w:rsidRPr="00117237" w:rsidRDefault="00113DC6" w:rsidP="00585F8A">
          <w:pPr>
            <w:pStyle w:val="TOCHeading"/>
            <w:numPr>
              <w:ilvl w:val="0"/>
              <w:numId w:val="0"/>
            </w:numPr>
          </w:pPr>
          <w:r w:rsidRPr="00117237">
            <w:t>Table of Contents</w:t>
          </w:r>
        </w:p>
        <w:p w14:paraId="7F7318E3" w14:textId="787A88B9" w:rsidR="00C066A4" w:rsidRDefault="00585F8A">
          <w:pPr>
            <w:pStyle w:val="TOC1"/>
            <w:rPr>
              <w:rFonts w:eastAsiaTheme="minorEastAsia"/>
              <w:color w:val="auto"/>
              <w:kern w:val="2"/>
              <w:sz w:val="24"/>
              <w:szCs w:val="24"/>
              <w:lang w:eastAsia="en-AU"/>
              <w14:ligatures w14:val="standardContextual"/>
            </w:rPr>
          </w:pPr>
          <w:r w:rsidRPr="00117237">
            <w:rPr>
              <w:noProof w:val="0"/>
            </w:rPr>
            <w:fldChar w:fldCharType="begin"/>
          </w:r>
          <w:r w:rsidRPr="00117237">
            <w:rPr>
              <w:noProof w:val="0"/>
            </w:rPr>
            <w:instrText xml:space="preserve"> TOC \o "1-2" \h \z \u </w:instrText>
          </w:r>
          <w:r w:rsidRPr="00117237">
            <w:rPr>
              <w:noProof w:val="0"/>
            </w:rPr>
            <w:fldChar w:fldCharType="separate"/>
          </w:r>
          <w:hyperlink w:anchor="_Toc204168349" w:history="1">
            <w:r w:rsidR="00C066A4" w:rsidRPr="005D772A">
              <w:rPr>
                <w:rStyle w:val="Hyperlink"/>
              </w:rPr>
              <w:t>1</w:t>
            </w:r>
            <w:r w:rsidR="00C066A4">
              <w:rPr>
                <w:rFonts w:eastAsiaTheme="minorEastAsia"/>
                <w:color w:val="auto"/>
                <w:kern w:val="2"/>
                <w:sz w:val="24"/>
                <w:szCs w:val="24"/>
                <w:lang w:eastAsia="en-AU"/>
                <w14:ligatures w14:val="standardContextual"/>
              </w:rPr>
              <w:tab/>
            </w:r>
            <w:r w:rsidR="00C066A4" w:rsidRPr="005D772A">
              <w:rPr>
                <w:rStyle w:val="Hyperlink"/>
              </w:rPr>
              <w:t>Acknowledgements</w:t>
            </w:r>
            <w:r w:rsidR="00C066A4">
              <w:rPr>
                <w:webHidden/>
              </w:rPr>
              <w:tab/>
            </w:r>
            <w:r w:rsidR="00C066A4">
              <w:rPr>
                <w:webHidden/>
              </w:rPr>
              <w:fldChar w:fldCharType="begin"/>
            </w:r>
            <w:r w:rsidR="00C066A4">
              <w:rPr>
                <w:webHidden/>
              </w:rPr>
              <w:instrText xml:space="preserve"> PAGEREF _Toc204168349 \h </w:instrText>
            </w:r>
            <w:r w:rsidR="00C066A4">
              <w:rPr>
                <w:webHidden/>
              </w:rPr>
            </w:r>
            <w:r w:rsidR="00C066A4">
              <w:rPr>
                <w:webHidden/>
              </w:rPr>
              <w:fldChar w:fldCharType="separate"/>
            </w:r>
            <w:r w:rsidR="00E3688B">
              <w:rPr>
                <w:webHidden/>
              </w:rPr>
              <w:t>3</w:t>
            </w:r>
            <w:r w:rsidR="00C066A4">
              <w:rPr>
                <w:webHidden/>
              </w:rPr>
              <w:fldChar w:fldCharType="end"/>
            </w:r>
          </w:hyperlink>
        </w:p>
        <w:p w14:paraId="7D8EBEC3" w14:textId="7758B009" w:rsidR="00C066A4" w:rsidRDefault="00C066A4">
          <w:pPr>
            <w:pStyle w:val="TOC1"/>
            <w:rPr>
              <w:rFonts w:eastAsiaTheme="minorEastAsia"/>
              <w:color w:val="auto"/>
              <w:kern w:val="2"/>
              <w:sz w:val="24"/>
              <w:szCs w:val="24"/>
              <w:lang w:eastAsia="en-AU"/>
              <w14:ligatures w14:val="standardContextual"/>
            </w:rPr>
          </w:pPr>
          <w:hyperlink w:anchor="_Toc204168350" w:history="1">
            <w:r w:rsidRPr="005D772A">
              <w:rPr>
                <w:rStyle w:val="Hyperlink"/>
              </w:rPr>
              <w:t>2</w:t>
            </w:r>
            <w:r>
              <w:rPr>
                <w:rFonts w:eastAsiaTheme="minorEastAsia"/>
                <w:color w:val="auto"/>
                <w:kern w:val="2"/>
                <w:sz w:val="24"/>
                <w:szCs w:val="24"/>
                <w:lang w:eastAsia="en-AU"/>
                <w14:ligatures w14:val="standardContextual"/>
              </w:rPr>
              <w:tab/>
            </w:r>
            <w:r w:rsidRPr="005D772A">
              <w:rPr>
                <w:rStyle w:val="Hyperlink"/>
              </w:rPr>
              <w:t>Acronyms and terminology</w:t>
            </w:r>
            <w:r>
              <w:rPr>
                <w:webHidden/>
              </w:rPr>
              <w:tab/>
            </w:r>
            <w:r>
              <w:rPr>
                <w:webHidden/>
              </w:rPr>
              <w:fldChar w:fldCharType="begin"/>
            </w:r>
            <w:r>
              <w:rPr>
                <w:webHidden/>
              </w:rPr>
              <w:instrText xml:space="preserve"> PAGEREF _Toc204168350 \h </w:instrText>
            </w:r>
            <w:r>
              <w:rPr>
                <w:webHidden/>
              </w:rPr>
            </w:r>
            <w:r>
              <w:rPr>
                <w:webHidden/>
              </w:rPr>
              <w:fldChar w:fldCharType="separate"/>
            </w:r>
            <w:r w:rsidR="00E3688B">
              <w:rPr>
                <w:webHidden/>
              </w:rPr>
              <w:t>4</w:t>
            </w:r>
            <w:r>
              <w:rPr>
                <w:webHidden/>
              </w:rPr>
              <w:fldChar w:fldCharType="end"/>
            </w:r>
          </w:hyperlink>
        </w:p>
        <w:p w14:paraId="68393A3F" w14:textId="0F2EB7EE" w:rsidR="00C066A4" w:rsidRDefault="00C066A4">
          <w:pPr>
            <w:pStyle w:val="TOC1"/>
            <w:rPr>
              <w:rFonts w:eastAsiaTheme="minorEastAsia"/>
              <w:color w:val="auto"/>
              <w:kern w:val="2"/>
              <w:sz w:val="24"/>
              <w:szCs w:val="24"/>
              <w:lang w:eastAsia="en-AU"/>
              <w14:ligatures w14:val="standardContextual"/>
            </w:rPr>
          </w:pPr>
          <w:hyperlink w:anchor="_Toc204168351" w:history="1">
            <w:r w:rsidRPr="005D772A">
              <w:rPr>
                <w:rStyle w:val="Hyperlink"/>
              </w:rPr>
              <w:t>3</w:t>
            </w:r>
            <w:r>
              <w:rPr>
                <w:rFonts w:eastAsiaTheme="minorEastAsia"/>
                <w:color w:val="auto"/>
                <w:kern w:val="2"/>
                <w:sz w:val="24"/>
                <w:szCs w:val="24"/>
                <w:lang w:eastAsia="en-AU"/>
                <w14:ligatures w14:val="standardContextual"/>
              </w:rPr>
              <w:tab/>
            </w:r>
            <w:r w:rsidRPr="005D772A">
              <w:rPr>
                <w:rStyle w:val="Hyperlink"/>
              </w:rPr>
              <w:t>Executive summary</w:t>
            </w:r>
            <w:r>
              <w:rPr>
                <w:webHidden/>
              </w:rPr>
              <w:tab/>
            </w:r>
            <w:r>
              <w:rPr>
                <w:webHidden/>
              </w:rPr>
              <w:fldChar w:fldCharType="begin"/>
            </w:r>
            <w:r>
              <w:rPr>
                <w:webHidden/>
              </w:rPr>
              <w:instrText xml:space="preserve"> PAGEREF _Toc204168351 \h </w:instrText>
            </w:r>
            <w:r>
              <w:rPr>
                <w:webHidden/>
              </w:rPr>
            </w:r>
            <w:r>
              <w:rPr>
                <w:webHidden/>
              </w:rPr>
              <w:fldChar w:fldCharType="separate"/>
            </w:r>
            <w:r w:rsidR="00E3688B">
              <w:rPr>
                <w:webHidden/>
              </w:rPr>
              <w:t>6</w:t>
            </w:r>
            <w:r>
              <w:rPr>
                <w:webHidden/>
              </w:rPr>
              <w:fldChar w:fldCharType="end"/>
            </w:r>
          </w:hyperlink>
        </w:p>
        <w:p w14:paraId="767C6304" w14:textId="1E5E7E13" w:rsidR="00C066A4" w:rsidRDefault="00C066A4">
          <w:pPr>
            <w:pStyle w:val="TOC2"/>
            <w:rPr>
              <w:rFonts w:eastAsiaTheme="minorEastAsia"/>
              <w:color w:val="auto"/>
              <w:kern w:val="2"/>
              <w:sz w:val="24"/>
              <w:szCs w:val="24"/>
              <w:lang w:eastAsia="en-AU"/>
              <w14:ligatures w14:val="standardContextual"/>
            </w:rPr>
          </w:pPr>
          <w:hyperlink w:anchor="_Toc204168352" w:history="1">
            <w:r w:rsidRPr="005D772A">
              <w:rPr>
                <w:rStyle w:val="Hyperlink"/>
              </w:rPr>
              <w:t>Evaluation findings</w:t>
            </w:r>
            <w:r>
              <w:rPr>
                <w:webHidden/>
              </w:rPr>
              <w:tab/>
            </w:r>
            <w:r>
              <w:rPr>
                <w:webHidden/>
              </w:rPr>
              <w:fldChar w:fldCharType="begin"/>
            </w:r>
            <w:r>
              <w:rPr>
                <w:webHidden/>
              </w:rPr>
              <w:instrText xml:space="preserve"> PAGEREF _Toc204168352 \h </w:instrText>
            </w:r>
            <w:r>
              <w:rPr>
                <w:webHidden/>
              </w:rPr>
            </w:r>
            <w:r>
              <w:rPr>
                <w:webHidden/>
              </w:rPr>
              <w:fldChar w:fldCharType="separate"/>
            </w:r>
            <w:r w:rsidR="00E3688B">
              <w:rPr>
                <w:webHidden/>
              </w:rPr>
              <w:t>6</w:t>
            </w:r>
            <w:r>
              <w:rPr>
                <w:webHidden/>
              </w:rPr>
              <w:fldChar w:fldCharType="end"/>
            </w:r>
          </w:hyperlink>
        </w:p>
        <w:p w14:paraId="1CEF9262" w14:textId="5C473ED5" w:rsidR="00C066A4" w:rsidRDefault="00C066A4">
          <w:pPr>
            <w:pStyle w:val="TOC2"/>
            <w:rPr>
              <w:rFonts w:eastAsiaTheme="minorEastAsia"/>
              <w:color w:val="auto"/>
              <w:kern w:val="2"/>
              <w:sz w:val="24"/>
              <w:szCs w:val="24"/>
              <w:lang w:eastAsia="en-AU"/>
              <w14:ligatures w14:val="standardContextual"/>
            </w:rPr>
          </w:pPr>
          <w:hyperlink w:anchor="_Toc204168353" w:history="1">
            <w:r w:rsidRPr="005D772A">
              <w:rPr>
                <w:rStyle w:val="Hyperlink"/>
              </w:rPr>
              <w:t>Key learnings and future considerations</w:t>
            </w:r>
            <w:r>
              <w:rPr>
                <w:webHidden/>
              </w:rPr>
              <w:tab/>
            </w:r>
            <w:r>
              <w:rPr>
                <w:webHidden/>
              </w:rPr>
              <w:fldChar w:fldCharType="begin"/>
            </w:r>
            <w:r>
              <w:rPr>
                <w:webHidden/>
              </w:rPr>
              <w:instrText xml:space="preserve"> PAGEREF _Toc204168353 \h </w:instrText>
            </w:r>
            <w:r>
              <w:rPr>
                <w:webHidden/>
              </w:rPr>
            </w:r>
            <w:r>
              <w:rPr>
                <w:webHidden/>
              </w:rPr>
              <w:fldChar w:fldCharType="separate"/>
            </w:r>
            <w:r w:rsidR="00E3688B">
              <w:rPr>
                <w:webHidden/>
              </w:rPr>
              <w:t>7</w:t>
            </w:r>
            <w:r>
              <w:rPr>
                <w:webHidden/>
              </w:rPr>
              <w:fldChar w:fldCharType="end"/>
            </w:r>
          </w:hyperlink>
        </w:p>
        <w:p w14:paraId="2DCF6BE1" w14:textId="6DF35906" w:rsidR="00C066A4" w:rsidRDefault="00C066A4">
          <w:pPr>
            <w:pStyle w:val="TOC1"/>
            <w:rPr>
              <w:rFonts w:eastAsiaTheme="minorEastAsia"/>
              <w:color w:val="auto"/>
              <w:kern w:val="2"/>
              <w:sz w:val="24"/>
              <w:szCs w:val="24"/>
              <w:lang w:eastAsia="en-AU"/>
              <w14:ligatures w14:val="standardContextual"/>
            </w:rPr>
          </w:pPr>
          <w:hyperlink w:anchor="_Toc204168354" w:history="1">
            <w:r w:rsidRPr="005D772A">
              <w:rPr>
                <w:rStyle w:val="Hyperlink"/>
              </w:rPr>
              <w:t>4</w:t>
            </w:r>
            <w:r>
              <w:rPr>
                <w:rFonts w:eastAsiaTheme="minorEastAsia"/>
                <w:color w:val="auto"/>
                <w:kern w:val="2"/>
                <w:sz w:val="24"/>
                <w:szCs w:val="24"/>
                <w:lang w:eastAsia="en-AU"/>
                <w14:ligatures w14:val="standardContextual"/>
              </w:rPr>
              <w:tab/>
            </w:r>
            <w:r w:rsidRPr="005D772A">
              <w:rPr>
                <w:rStyle w:val="Hyperlink"/>
              </w:rPr>
              <w:t>Introduction</w:t>
            </w:r>
            <w:r>
              <w:rPr>
                <w:webHidden/>
              </w:rPr>
              <w:tab/>
            </w:r>
            <w:r>
              <w:rPr>
                <w:webHidden/>
              </w:rPr>
              <w:fldChar w:fldCharType="begin"/>
            </w:r>
            <w:r>
              <w:rPr>
                <w:webHidden/>
              </w:rPr>
              <w:instrText xml:space="preserve"> PAGEREF _Toc204168354 \h </w:instrText>
            </w:r>
            <w:r>
              <w:rPr>
                <w:webHidden/>
              </w:rPr>
            </w:r>
            <w:r>
              <w:rPr>
                <w:webHidden/>
              </w:rPr>
              <w:fldChar w:fldCharType="separate"/>
            </w:r>
            <w:r w:rsidR="00E3688B">
              <w:rPr>
                <w:webHidden/>
              </w:rPr>
              <w:t>9</w:t>
            </w:r>
            <w:r>
              <w:rPr>
                <w:webHidden/>
              </w:rPr>
              <w:fldChar w:fldCharType="end"/>
            </w:r>
          </w:hyperlink>
        </w:p>
        <w:p w14:paraId="096A6C03" w14:textId="5F26BD8E" w:rsidR="00C066A4" w:rsidRDefault="00C066A4">
          <w:pPr>
            <w:pStyle w:val="TOC2"/>
            <w:rPr>
              <w:rFonts w:eastAsiaTheme="minorEastAsia"/>
              <w:color w:val="auto"/>
              <w:kern w:val="2"/>
              <w:sz w:val="24"/>
              <w:szCs w:val="24"/>
              <w:lang w:eastAsia="en-AU"/>
              <w14:ligatures w14:val="standardContextual"/>
            </w:rPr>
          </w:pPr>
          <w:hyperlink w:anchor="_Toc204168355" w:history="1">
            <w:r w:rsidRPr="005D772A">
              <w:rPr>
                <w:rStyle w:val="Hyperlink"/>
              </w:rPr>
              <w:t>4.1</w:t>
            </w:r>
            <w:r>
              <w:rPr>
                <w:rFonts w:eastAsiaTheme="minorEastAsia"/>
                <w:color w:val="auto"/>
                <w:kern w:val="2"/>
                <w:sz w:val="24"/>
                <w:szCs w:val="24"/>
                <w:lang w:eastAsia="en-AU"/>
                <w14:ligatures w14:val="standardContextual"/>
              </w:rPr>
              <w:tab/>
            </w:r>
            <w:r w:rsidRPr="005D772A">
              <w:rPr>
                <w:rStyle w:val="Hyperlink"/>
              </w:rPr>
              <w:t>Overview of the Respect and Equality in TAFEs 2 project</w:t>
            </w:r>
            <w:r>
              <w:rPr>
                <w:webHidden/>
              </w:rPr>
              <w:tab/>
            </w:r>
            <w:r>
              <w:rPr>
                <w:webHidden/>
              </w:rPr>
              <w:fldChar w:fldCharType="begin"/>
            </w:r>
            <w:r>
              <w:rPr>
                <w:webHidden/>
              </w:rPr>
              <w:instrText xml:space="preserve"> PAGEREF _Toc204168355 \h </w:instrText>
            </w:r>
            <w:r>
              <w:rPr>
                <w:webHidden/>
              </w:rPr>
            </w:r>
            <w:r>
              <w:rPr>
                <w:webHidden/>
              </w:rPr>
              <w:fldChar w:fldCharType="separate"/>
            </w:r>
            <w:r w:rsidR="00E3688B">
              <w:rPr>
                <w:webHidden/>
              </w:rPr>
              <w:t>9</w:t>
            </w:r>
            <w:r>
              <w:rPr>
                <w:webHidden/>
              </w:rPr>
              <w:fldChar w:fldCharType="end"/>
            </w:r>
          </w:hyperlink>
        </w:p>
        <w:p w14:paraId="52BE5753" w14:textId="5E337187" w:rsidR="00C066A4" w:rsidRDefault="00C066A4">
          <w:pPr>
            <w:pStyle w:val="TOC2"/>
            <w:rPr>
              <w:rFonts w:eastAsiaTheme="minorEastAsia"/>
              <w:color w:val="auto"/>
              <w:kern w:val="2"/>
              <w:sz w:val="24"/>
              <w:szCs w:val="24"/>
              <w:lang w:eastAsia="en-AU"/>
              <w14:ligatures w14:val="standardContextual"/>
            </w:rPr>
          </w:pPr>
          <w:hyperlink w:anchor="_Toc204168356" w:history="1">
            <w:r w:rsidRPr="005D772A">
              <w:rPr>
                <w:rStyle w:val="Hyperlink"/>
              </w:rPr>
              <w:t>4.2</w:t>
            </w:r>
            <w:r>
              <w:rPr>
                <w:rFonts w:eastAsiaTheme="minorEastAsia"/>
                <w:color w:val="auto"/>
                <w:kern w:val="2"/>
                <w:sz w:val="24"/>
                <w:szCs w:val="24"/>
                <w:lang w:eastAsia="en-AU"/>
                <w14:ligatures w14:val="standardContextual"/>
              </w:rPr>
              <w:tab/>
            </w:r>
            <w:r w:rsidRPr="005D772A">
              <w:rPr>
                <w:rStyle w:val="Hyperlink"/>
              </w:rPr>
              <w:t>About this evaluation</w:t>
            </w:r>
            <w:r>
              <w:rPr>
                <w:webHidden/>
              </w:rPr>
              <w:tab/>
            </w:r>
            <w:r>
              <w:rPr>
                <w:webHidden/>
              </w:rPr>
              <w:fldChar w:fldCharType="begin"/>
            </w:r>
            <w:r>
              <w:rPr>
                <w:webHidden/>
              </w:rPr>
              <w:instrText xml:space="preserve"> PAGEREF _Toc204168356 \h </w:instrText>
            </w:r>
            <w:r>
              <w:rPr>
                <w:webHidden/>
              </w:rPr>
            </w:r>
            <w:r>
              <w:rPr>
                <w:webHidden/>
              </w:rPr>
              <w:fldChar w:fldCharType="separate"/>
            </w:r>
            <w:r w:rsidR="00E3688B">
              <w:rPr>
                <w:webHidden/>
              </w:rPr>
              <w:t>10</w:t>
            </w:r>
            <w:r>
              <w:rPr>
                <w:webHidden/>
              </w:rPr>
              <w:fldChar w:fldCharType="end"/>
            </w:r>
          </w:hyperlink>
        </w:p>
        <w:p w14:paraId="6B28F9BF" w14:textId="22F53EFF" w:rsidR="00C066A4" w:rsidRDefault="00C066A4">
          <w:pPr>
            <w:pStyle w:val="TOC2"/>
            <w:rPr>
              <w:rFonts w:eastAsiaTheme="minorEastAsia"/>
              <w:color w:val="auto"/>
              <w:kern w:val="2"/>
              <w:sz w:val="24"/>
              <w:szCs w:val="24"/>
              <w:lang w:eastAsia="en-AU"/>
              <w14:ligatures w14:val="standardContextual"/>
            </w:rPr>
          </w:pPr>
          <w:hyperlink w:anchor="_Toc204168357" w:history="1">
            <w:r w:rsidRPr="005D772A">
              <w:rPr>
                <w:rStyle w:val="Hyperlink"/>
              </w:rPr>
              <w:t>4.3</w:t>
            </w:r>
            <w:r>
              <w:rPr>
                <w:rFonts w:eastAsiaTheme="minorEastAsia"/>
                <w:color w:val="auto"/>
                <w:kern w:val="2"/>
                <w:sz w:val="24"/>
                <w:szCs w:val="24"/>
                <w:lang w:eastAsia="en-AU"/>
                <w14:ligatures w14:val="standardContextual"/>
              </w:rPr>
              <w:tab/>
            </w:r>
            <w:r w:rsidRPr="005D772A">
              <w:rPr>
                <w:rStyle w:val="Hyperlink"/>
              </w:rPr>
              <w:t>About this report</w:t>
            </w:r>
            <w:r>
              <w:rPr>
                <w:webHidden/>
              </w:rPr>
              <w:tab/>
            </w:r>
            <w:r>
              <w:rPr>
                <w:webHidden/>
              </w:rPr>
              <w:fldChar w:fldCharType="begin"/>
            </w:r>
            <w:r>
              <w:rPr>
                <w:webHidden/>
              </w:rPr>
              <w:instrText xml:space="preserve"> PAGEREF _Toc204168357 \h </w:instrText>
            </w:r>
            <w:r>
              <w:rPr>
                <w:webHidden/>
              </w:rPr>
            </w:r>
            <w:r>
              <w:rPr>
                <w:webHidden/>
              </w:rPr>
              <w:fldChar w:fldCharType="separate"/>
            </w:r>
            <w:r w:rsidR="00E3688B">
              <w:rPr>
                <w:webHidden/>
              </w:rPr>
              <w:t>11</w:t>
            </w:r>
            <w:r>
              <w:rPr>
                <w:webHidden/>
              </w:rPr>
              <w:fldChar w:fldCharType="end"/>
            </w:r>
          </w:hyperlink>
        </w:p>
        <w:p w14:paraId="1E01F220" w14:textId="4E665CCB" w:rsidR="00C066A4" w:rsidRDefault="00C066A4">
          <w:pPr>
            <w:pStyle w:val="TOC1"/>
            <w:rPr>
              <w:rFonts w:eastAsiaTheme="minorEastAsia"/>
              <w:color w:val="auto"/>
              <w:kern w:val="2"/>
              <w:sz w:val="24"/>
              <w:szCs w:val="24"/>
              <w:lang w:eastAsia="en-AU"/>
              <w14:ligatures w14:val="standardContextual"/>
            </w:rPr>
          </w:pPr>
          <w:hyperlink w:anchor="_Toc204168358" w:history="1">
            <w:r w:rsidRPr="005D772A">
              <w:rPr>
                <w:rStyle w:val="Hyperlink"/>
              </w:rPr>
              <w:t>5</w:t>
            </w:r>
            <w:r>
              <w:rPr>
                <w:rFonts w:eastAsiaTheme="minorEastAsia"/>
                <w:color w:val="auto"/>
                <w:kern w:val="2"/>
                <w:sz w:val="24"/>
                <w:szCs w:val="24"/>
                <w:lang w:eastAsia="en-AU"/>
                <w14:ligatures w14:val="standardContextual"/>
              </w:rPr>
              <w:tab/>
            </w:r>
            <w:r w:rsidRPr="005D772A">
              <w:rPr>
                <w:rStyle w:val="Hyperlink"/>
              </w:rPr>
              <w:t>Evaluation findings</w:t>
            </w:r>
            <w:r>
              <w:rPr>
                <w:webHidden/>
              </w:rPr>
              <w:tab/>
            </w:r>
            <w:r>
              <w:rPr>
                <w:webHidden/>
              </w:rPr>
              <w:fldChar w:fldCharType="begin"/>
            </w:r>
            <w:r>
              <w:rPr>
                <w:webHidden/>
              </w:rPr>
              <w:instrText xml:space="preserve"> PAGEREF _Toc204168358 \h </w:instrText>
            </w:r>
            <w:r>
              <w:rPr>
                <w:webHidden/>
              </w:rPr>
            </w:r>
            <w:r>
              <w:rPr>
                <w:webHidden/>
              </w:rPr>
              <w:fldChar w:fldCharType="separate"/>
            </w:r>
            <w:r w:rsidR="00E3688B">
              <w:rPr>
                <w:webHidden/>
              </w:rPr>
              <w:t>13</w:t>
            </w:r>
            <w:r>
              <w:rPr>
                <w:webHidden/>
              </w:rPr>
              <w:fldChar w:fldCharType="end"/>
            </w:r>
          </w:hyperlink>
        </w:p>
        <w:p w14:paraId="4BB27217" w14:textId="2B2CD01D" w:rsidR="00C066A4" w:rsidRDefault="00C066A4">
          <w:pPr>
            <w:pStyle w:val="TOC2"/>
            <w:rPr>
              <w:rFonts w:eastAsiaTheme="minorEastAsia"/>
              <w:color w:val="auto"/>
              <w:kern w:val="2"/>
              <w:sz w:val="24"/>
              <w:szCs w:val="24"/>
              <w:lang w:eastAsia="en-AU"/>
              <w14:ligatures w14:val="standardContextual"/>
            </w:rPr>
          </w:pPr>
          <w:hyperlink w:anchor="_Toc204168359" w:history="1">
            <w:r w:rsidRPr="005D772A">
              <w:rPr>
                <w:rStyle w:val="Hyperlink"/>
              </w:rPr>
              <w:t>5.1</w:t>
            </w:r>
            <w:r>
              <w:rPr>
                <w:rFonts w:eastAsiaTheme="minorEastAsia"/>
                <w:color w:val="auto"/>
                <w:kern w:val="2"/>
                <w:sz w:val="24"/>
                <w:szCs w:val="24"/>
                <w:lang w:eastAsia="en-AU"/>
                <w14:ligatures w14:val="standardContextual"/>
              </w:rPr>
              <w:tab/>
            </w:r>
            <w:r w:rsidRPr="005D772A">
              <w:rPr>
                <w:rStyle w:val="Hyperlink"/>
              </w:rPr>
              <w:t>Problem definition, program rationale and design</w:t>
            </w:r>
            <w:r>
              <w:rPr>
                <w:webHidden/>
              </w:rPr>
              <w:tab/>
            </w:r>
            <w:r>
              <w:rPr>
                <w:webHidden/>
              </w:rPr>
              <w:fldChar w:fldCharType="begin"/>
            </w:r>
            <w:r>
              <w:rPr>
                <w:webHidden/>
              </w:rPr>
              <w:instrText xml:space="preserve"> PAGEREF _Toc204168359 \h </w:instrText>
            </w:r>
            <w:r>
              <w:rPr>
                <w:webHidden/>
              </w:rPr>
            </w:r>
            <w:r>
              <w:rPr>
                <w:webHidden/>
              </w:rPr>
              <w:fldChar w:fldCharType="separate"/>
            </w:r>
            <w:r w:rsidR="00E3688B">
              <w:rPr>
                <w:webHidden/>
              </w:rPr>
              <w:t>13</w:t>
            </w:r>
            <w:r>
              <w:rPr>
                <w:webHidden/>
              </w:rPr>
              <w:fldChar w:fldCharType="end"/>
            </w:r>
          </w:hyperlink>
        </w:p>
        <w:p w14:paraId="17CFCC9A" w14:textId="2677D1BA" w:rsidR="00C066A4" w:rsidRDefault="00C066A4">
          <w:pPr>
            <w:pStyle w:val="TOC2"/>
            <w:rPr>
              <w:rFonts w:eastAsiaTheme="minorEastAsia"/>
              <w:color w:val="auto"/>
              <w:kern w:val="2"/>
              <w:sz w:val="24"/>
              <w:szCs w:val="24"/>
              <w:lang w:eastAsia="en-AU"/>
              <w14:ligatures w14:val="standardContextual"/>
            </w:rPr>
          </w:pPr>
          <w:hyperlink w:anchor="_Toc204168360" w:history="1">
            <w:r w:rsidRPr="005D772A">
              <w:rPr>
                <w:rStyle w:val="Hyperlink"/>
              </w:rPr>
              <w:t>5.2</w:t>
            </w:r>
            <w:r>
              <w:rPr>
                <w:rFonts w:eastAsiaTheme="minorEastAsia"/>
                <w:color w:val="auto"/>
                <w:kern w:val="2"/>
                <w:sz w:val="24"/>
                <w:szCs w:val="24"/>
                <w:lang w:eastAsia="en-AU"/>
                <w14:ligatures w14:val="standardContextual"/>
              </w:rPr>
              <w:tab/>
            </w:r>
            <w:r w:rsidRPr="005D772A">
              <w:rPr>
                <w:rStyle w:val="Hyperlink"/>
              </w:rPr>
              <w:t>Program delivery</w:t>
            </w:r>
            <w:r>
              <w:rPr>
                <w:webHidden/>
              </w:rPr>
              <w:tab/>
            </w:r>
            <w:r>
              <w:rPr>
                <w:webHidden/>
              </w:rPr>
              <w:fldChar w:fldCharType="begin"/>
            </w:r>
            <w:r>
              <w:rPr>
                <w:webHidden/>
              </w:rPr>
              <w:instrText xml:space="preserve"> PAGEREF _Toc204168360 \h </w:instrText>
            </w:r>
            <w:r>
              <w:rPr>
                <w:webHidden/>
              </w:rPr>
            </w:r>
            <w:r>
              <w:rPr>
                <w:webHidden/>
              </w:rPr>
              <w:fldChar w:fldCharType="separate"/>
            </w:r>
            <w:r w:rsidR="00E3688B">
              <w:rPr>
                <w:webHidden/>
              </w:rPr>
              <w:t>22</w:t>
            </w:r>
            <w:r>
              <w:rPr>
                <w:webHidden/>
              </w:rPr>
              <w:fldChar w:fldCharType="end"/>
            </w:r>
          </w:hyperlink>
        </w:p>
        <w:p w14:paraId="19E8E72C" w14:textId="18349011" w:rsidR="00C066A4" w:rsidRDefault="00C066A4">
          <w:pPr>
            <w:pStyle w:val="TOC2"/>
            <w:rPr>
              <w:rFonts w:eastAsiaTheme="minorEastAsia"/>
              <w:color w:val="auto"/>
              <w:kern w:val="2"/>
              <w:sz w:val="24"/>
              <w:szCs w:val="24"/>
              <w:lang w:eastAsia="en-AU"/>
              <w14:ligatures w14:val="standardContextual"/>
            </w:rPr>
          </w:pPr>
          <w:hyperlink w:anchor="_Toc204168361" w:history="1">
            <w:r w:rsidRPr="005D772A">
              <w:rPr>
                <w:rStyle w:val="Hyperlink"/>
              </w:rPr>
              <w:t>5.3</w:t>
            </w:r>
            <w:r>
              <w:rPr>
                <w:rFonts w:eastAsiaTheme="minorEastAsia"/>
                <w:color w:val="auto"/>
                <w:kern w:val="2"/>
                <w:sz w:val="24"/>
                <w:szCs w:val="24"/>
                <w:lang w:eastAsia="en-AU"/>
                <w14:ligatures w14:val="standardContextual"/>
              </w:rPr>
              <w:tab/>
            </w:r>
            <w:r w:rsidRPr="005D772A">
              <w:rPr>
                <w:rStyle w:val="Hyperlink"/>
              </w:rPr>
              <w:t>Program impact</w:t>
            </w:r>
            <w:r>
              <w:rPr>
                <w:webHidden/>
              </w:rPr>
              <w:tab/>
            </w:r>
            <w:r>
              <w:rPr>
                <w:webHidden/>
              </w:rPr>
              <w:fldChar w:fldCharType="begin"/>
            </w:r>
            <w:r>
              <w:rPr>
                <w:webHidden/>
              </w:rPr>
              <w:instrText xml:space="preserve"> PAGEREF _Toc204168361 \h </w:instrText>
            </w:r>
            <w:r>
              <w:rPr>
                <w:webHidden/>
              </w:rPr>
            </w:r>
            <w:r>
              <w:rPr>
                <w:webHidden/>
              </w:rPr>
              <w:fldChar w:fldCharType="separate"/>
            </w:r>
            <w:r w:rsidR="00E3688B">
              <w:rPr>
                <w:webHidden/>
              </w:rPr>
              <w:t>30</w:t>
            </w:r>
            <w:r>
              <w:rPr>
                <w:webHidden/>
              </w:rPr>
              <w:fldChar w:fldCharType="end"/>
            </w:r>
          </w:hyperlink>
        </w:p>
        <w:p w14:paraId="16F93171" w14:textId="74D7F1BB" w:rsidR="00C066A4" w:rsidRDefault="00C066A4">
          <w:pPr>
            <w:pStyle w:val="TOC1"/>
            <w:rPr>
              <w:rFonts w:eastAsiaTheme="minorEastAsia"/>
              <w:color w:val="auto"/>
              <w:kern w:val="2"/>
              <w:sz w:val="24"/>
              <w:szCs w:val="24"/>
              <w:lang w:eastAsia="en-AU"/>
              <w14:ligatures w14:val="standardContextual"/>
            </w:rPr>
          </w:pPr>
          <w:hyperlink w:anchor="_Toc204168362" w:history="1">
            <w:r w:rsidRPr="005D772A">
              <w:rPr>
                <w:rStyle w:val="Hyperlink"/>
              </w:rPr>
              <w:t>6</w:t>
            </w:r>
            <w:r>
              <w:rPr>
                <w:rFonts w:eastAsiaTheme="minorEastAsia"/>
                <w:color w:val="auto"/>
                <w:kern w:val="2"/>
                <w:sz w:val="24"/>
                <w:szCs w:val="24"/>
                <w:lang w:eastAsia="en-AU"/>
                <w14:ligatures w14:val="standardContextual"/>
              </w:rPr>
              <w:tab/>
            </w:r>
            <w:r w:rsidRPr="005D772A">
              <w:rPr>
                <w:rStyle w:val="Hyperlink"/>
              </w:rPr>
              <w:t>Key learnings and future considerations</w:t>
            </w:r>
            <w:r>
              <w:rPr>
                <w:webHidden/>
              </w:rPr>
              <w:tab/>
            </w:r>
            <w:r>
              <w:rPr>
                <w:webHidden/>
              </w:rPr>
              <w:fldChar w:fldCharType="begin"/>
            </w:r>
            <w:r>
              <w:rPr>
                <w:webHidden/>
              </w:rPr>
              <w:instrText xml:space="preserve"> PAGEREF _Toc204168362 \h </w:instrText>
            </w:r>
            <w:r>
              <w:rPr>
                <w:webHidden/>
              </w:rPr>
            </w:r>
            <w:r>
              <w:rPr>
                <w:webHidden/>
              </w:rPr>
              <w:fldChar w:fldCharType="separate"/>
            </w:r>
            <w:r w:rsidR="00E3688B">
              <w:rPr>
                <w:webHidden/>
              </w:rPr>
              <w:t>36</w:t>
            </w:r>
            <w:r>
              <w:rPr>
                <w:webHidden/>
              </w:rPr>
              <w:fldChar w:fldCharType="end"/>
            </w:r>
          </w:hyperlink>
        </w:p>
        <w:p w14:paraId="70EA8734" w14:textId="07B88A17" w:rsidR="00C066A4" w:rsidRDefault="00C066A4">
          <w:pPr>
            <w:pStyle w:val="TOC1"/>
            <w:rPr>
              <w:rFonts w:eastAsiaTheme="minorEastAsia"/>
              <w:color w:val="auto"/>
              <w:kern w:val="2"/>
              <w:sz w:val="24"/>
              <w:szCs w:val="24"/>
              <w:lang w:eastAsia="en-AU"/>
              <w14:ligatures w14:val="standardContextual"/>
            </w:rPr>
          </w:pPr>
          <w:hyperlink w:anchor="_Toc204168363" w:history="1">
            <w:r w:rsidRPr="005D772A">
              <w:rPr>
                <w:rStyle w:val="Hyperlink"/>
              </w:rPr>
              <w:t>7</w:t>
            </w:r>
            <w:r>
              <w:rPr>
                <w:rFonts w:eastAsiaTheme="minorEastAsia"/>
                <w:color w:val="auto"/>
                <w:kern w:val="2"/>
                <w:sz w:val="24"/>
                <w:szCs w:val="24"/>
                <w:lang w:eastAsia="en-AU"/>
                <w14:ligatures w14:val="standardContextual"/>
              </w:rPr>
              <w:tab/>
            </w:r>
            <w:r w:rsidRPr="005D772A">
              <w:rPr>
                <w:rStyle w:val="Hyperlink"/>
              </w:rPr>
              <w:t>Appendices</w:t>
            </w:r>
            <w:r>
              <w:rPr>
                <w:webHidden/>
              </w:rPr>
              <w:tab/>
            </w:r>
            <w:r>
              <w:rPr>
                <w:webHidden/>
              </w:rPr>
              <w:fldChar w:fldCharType="begin"/>
            </w:r>
            <w:r>
              <w:rPr>
                <w:webHidden/>
              </w:rPr>
              <w:instrText xml:space="preserve"> PAGEREF _Toc204168363 \h </w:instrText>
            </w:r>
            <w:r>
              <w:rPr>
                <w:webHidden/>
              </w:rPr>
            </w:r>
            <w:r>
              <w:rPr>
                <w:webHidden/>
              </w:rPr>
              <w:fldChar w:fldCharType="separate"/>
            </w:r>
            <w:r w:rsidR="00E3688B">
              <w:rPr>
                <w:webHidden/>
              </w:rPr>
              <w:t>41</w:t>
            </w:r>
            <w:r>
              <w:rPr>
                <w:webHidden/>
              </w:rPr>
              <w:fldChar w:fldCharType="end"/>
            </w:r>
          </w:hyperlink>
        </w:p>
        <w:p w14:paraId="7051B6D8" w14:textId="173ABFFB" w:rsidR="00C066A4" w:rsidRDefault="00C066A4">
          <w:pPr>
            <w:pStyle w:val="TOC2"/>
            <w:rPr>
              <w:rFonts w:eastAsiaTheme="minorEastAsia"/>
              <w:color w:val="auto"/>
              <w:kern w:val="2"/>
              <w:sz w:val="24"/>
              <w:szCs w:val="24"/>
              <w:lang w:eastAsia="en-AU"/>
              <w14:ligatures w14:val="standardContextual"/>
            </w:rPr>
          </w:pPr>
          <w:hyperlink w:anchor="_Toc204168364" w:history="1">
            <w:r w:rsidRPr="005D772A">
              <w:rPr>
                <w:rStyle w:val="Hyperlink"/>
              </w:rPr>
              <w:t>Appendix A: Data sources</w:t>
            </w:r>
            <w:r>
              <w:rPr>
                <w:webHidden/>
              </w:rPr>
              <w:tab/>
            </w:r>
            <w:r>
              <w:rPr>
                <w:webHidden/>
              </w:rPr>
              <w:fldChar w:fldCharType="begin"/>
            </w:r>
            <w:r>
              <w:rPr>
                <w:webHidden/>
              </w:rPr>
              <w:instrText xml:space="preserve"> PAGEREF _Toc204168364 \h </w:instrText>
            </w:r>
            <w:r>
              <w:rPr>
                <w:webHidden/>
              </w:rPr>
            </w:r>
            <w:r>
              <w:rPr>
                <w:webHidden/>
              </w:rPr>
              <w:fldChar w:fldCharType="separate"/>
            </w:r>
            <w:r w:rsidR="00E3688B">
              <w:rPr>
                <w:webHidden/>
              </w:rPr>
              <w:t>41</w:t>
            </w:r>
            <w:r>
              <w:rPr>
                <w:webHidden/>
              </w:rPr>
              <w:fldChar w:fldCharType="end"/>
            </w:r>
          </w:hyperlink>
        </w:p>
        <w:p w14:paraId="09E07E79" w14:textId="10A41540" w:rsidR="00C066A4" w:rsidRDefault="00C066A4">
          <w:pPr>
            <w:pStyle w:val="TOC2"/>
            <w:rPr>
              <w:rFonts w:eastAsiaTheme="minorEastAsia"/>
              <w:color w:val="auto"/>
              <w:kern w:val="2"/>
              <w:sz w:val="24"/>
              <w:szCs w:val="24"/>
              <w:lang w:eastAsia="en-AU"/>
              <w14:ligatures w14:val="standardContextual"/>
            </w:rPr>
          </w:pPr>
          <w:hyperlink w:anchor="_Toc204168365" w:history="1">
            <w:r w:rsidRPr="005D772A">
              <w:rPr>
                <w:rStyle w:val="Hyperlink"/>
              </w:rPr>
              <w:t>Appendix B: Respect and Equality in TAFE Framework</w:t>
            </w:r>
            <w:r>
              <w:rPr>
                <w:webHidden/>
              </w:rPr>
              <w:tab/>
            </w:r>
            <w:r>
              <w:rPr>
                <w:webHidden/>
              </w:rPr>
              <w:fldChar w:fldCharType="begin"/>
            </w:r>
            <w:r>
              <w:rPr>
                <w:webHidden/>
              </w:rPr>
              <w:instrText xml:space="preserve"> PAGEREF _Toc204168365 \h </w:instrText>
            </w:r>
            <w:r>
              <w:rPr>
                <w:webHidden/>
              </w:rPr>
            </w:r>
            <w:r>
              <w:rPr>
                <w:webHidden/>
              </w:rPr>
              <w:fldChar w:fldCharType="separate"/>
            </w:r>
            <w:r w:rsidR="00E3688B">
              <w:rPr>
                <w:webHidden/>
              </w:rPr>
              <w:t>42</w:t>
            </w:r>
            <w:r>
              <w:rPr>
                <w:webHidden/>
              </w:rPr>
              <w:fldChar w:fldCharType="end"/>
            </w:r>
          </w:hyperlink>
        </w:p>
        <w:p w14:paraId="0460A122" w14:textId="241C8782" w:rsidR="00C066A4" w:rsidRDefault="00C066A4">
          <w:pPr>
            <w:pStyle w:val="TOC2"/>
            <w:rPr>
              <w:rFonts w:eastAsiaTheme="minorEastAsia"/>
              <w:color w:val="auto"/>
              <w:kern w:val="2"/>
              <w:sz w:val="24"/>
              <w:szCs w:val="24"/>
              <w:lang w:eastAsia="en-AU"/>
              <w14:ligatures w14:val="standardContextual"/>
            </w:rPr>
          </w:pPr>
          <w:hyperlink w:anchor="_Toc204168366" w:history="1">
            <w:r w:rsidRPr="005D772A">
              <w:rPr>
                <w:rStyle w:val="Hyperlink"/>
              </w:rPr>
              <w:t>Appendix C: Theory of Change (ToC)</w:t>
            </w:r>
            <w:r>
              <w:rPr>
                <w:webHidden/>
              </w:rPr>
              <w:tab/>
            </w:r>
            <w:r>
              <w:rPr>
                <w:webHidden/>
              </w:rPr>
              <w:fldChar w:fldCharType="begin"/>
            </w:r>
            <w:r>
              <w:rPr>
                <w:webHidden/>
              </w:rPr>
              <w:instrText xml:space="preserve"> PAGEREF _Toc204168366 \h </w:instrText>
            </w:r>
            <w:r>
              <w:rPr>
                <w:webHidden/>
              </w:rPr>
            </w:r>
            <w:r>
              <w:rPr>
                <w:webHidden/>
              </w:rPr>
              <w:fldChar w:fldCharType="separate"/>
            </w:r>
            <w:r w:rsidR="00E3688B">
              <w:rPr>
                <w:webHidden/>
              </w:rPr>
              <w:t>43</w:t>
            </w:r>
            <w:r>
              <w:rPr>
                <w:webHidden/>
              </w:rPr>
              <w:fldChar w:fldCharType="end"/>
            </w:r>
          </w:hyperlink>
        </w:p>
        <w:p w14:paraId="0A12392C" w14:textId="609AED1B" w:rsidR="00C066A4" w:rsidRDefault="00C066A4">
          <w:pPr>
            <w:pStyle w:val="TOC2"/>
            <w:rPr>
              <w:rFonts w:eastAsiaTheme="minorEastAsia"/>
              <w:color w:val="auto"/>
              <w:kern w:val="2"/>
              <w:sz w:val="24"/>
              <w:szCs w:val="24"/>
              <w:lang w:eastAsia="en-AU"/>
              <w14:ligatures w14:val="standardContextual"/>
            </w:rPr>
          </w:pPr>
          <w:hyperlink w:anchor="_Toc204168367" w:history="1">
            <w:r w:rsidRPr="005D772A">
              <w:rPr>
                <w:rStyle w:val="Hyperlink"/>
              </w:rPr>
              <w:t>Appendix D: Respect and Equality in TAFE 2 Project model</w:t>
            </w:r>
            <w:r>
              <w:rPr>
                <w:webHidden/>
              </w:rPr>
              <w:tab/>
            </w:r>
            <w:r>
              <w:rPr>
                <w:webHidden/>
              </w:rPr>
              <w:fldChar w:fldCharType="begin"/>
            </w:r>
            <w:r>
              <w:rPr>
                <w:webHidden/>
              </w:rPr>
              <w:instrText xml:space="preserve"> PAGEREF _Toc204168367 \h </w:instrText>
            </w:r>
            <w:r>
              <w:rPr>
                <w:webHidden/>
              </w:rPr>
            </w:r>
            <w:r>
              <w:rPr>
                <w:webHidden/>
              </w:rPr>
              <w:fldChar w:fldCharType="separate"/>
            </w:r>
            <w:r w:rsidR="00E3688B">
              <w:rPr>
                <w:webHidden/>
              </w:rPr>
              <w:t>44</w:t>
            </w:r>
            <w:r>
              <w:rPr>
                <w:webHidden/>
              </w:rPr>
              <w:fldChar w:fldCharType="end"/>
            </w:r>
          </w:hyperlink>
        </w:p>
        <w:p w14:paraId="7827F9B7" w14:textId="02ACD7E8" w:rsidR="00C066A4" w:rsidRDefault="00C066A4">
          <w:pPr>
            <w:pStyle w:val="TOC2"/>
            <w:rPr>
              <w:rFonts w:eastAsiaTheme="minorEastAsia"/>
              <w:color w:val="auto"/>
              <w:kern w:val="2"/>
              <w:sz w:val="24"/>
              <w:szCs w:val="24"/>
              <w:lang w:eastAsia="en-AU"/>
              <w14:ligatures w14:val="standardContextual"/>
            </w:rPr>
          </w:pPr>
          <w:hyperlink w:anchor="_Toc204168368" w:history="1">
            <w:r w:rsidRPr="005D772A">
              <w:rPr>
                <w:rStyle w:val="Hyperlink"/>
              </w:rPr>
              <w:t>Appendix E: Evaluation framework</w:t>
            </w:r>
            <w:r>
              <w:rPr>
                <w:webHidden/>
              </w:rPr>
              <w:tab/>
            </w:r>
            <w:r>
              <w:rPr>
                <w:webHidden/>
              </w:rPr>
              <w:fldChar w:fldCharType="begin"/>
            </w:r>
            <w:r>
              <w:rPr>
                <w:webHidden/>
              </w:rPr>
              <w:instrText xml:space="preserve"> PAGEREF _Toc204168368 \h </w:instrText>
            </w:r>
            <w:r>
              <w:rPr>
                <w:webHidden/>
              </w:rPr>
            </w:r>
            <w:r>
              <w:rPr>
                <w:webHidden/>
              </w:rPr>
              <w:fldChar w:fldCharType="separate"/>
            </w:r>
            <w:r w:rsidR="00E3688B">
              <w:rPr>
                <w:webHidden/>
              </w:rPr>
              <w:t>45</w:t>
            </w:r>
            <w:r>
              <w:rPr>
                <w:webHidden/>
              </w:rPr>
              <w:fldChar w:fldCharType="end"/>
            </w:r>
          </w:hyperlink>
        </w:p>
        <w:p w14:paraId="30A3CC2E" w14:textId="26819722" w:rsidR="00C066A4" w:rsidRDefault="00C066A4">
          <w:pPr>
            <w:pStyle w:val="TOC2"/>
            <w:rPr>
              <w:rFonts w:eastAsiaTheme="minorEastAsia"/>
              <w:color w:val="auto"/>
              <w:kern w:val="2"/>
              <w:sz w:val="24"/>
              <w:szCs w:val="24"/>
              <w:lang w:eastAsia="en-AU"/>
              <w14:ligatures w14:val="standardContextual"/>
            </w:rPr>
          </w:pPr>
          <w:hyperlink w:anchor="_Toc204168369" w:history="1">
            <w:r w:rsidRPr="005D772A">
              <w:rPr>
                <w:rStyle w:val="Hyperlink"/>
              </w:rPr>
              <w:t>Appendix F: List of stakeholders consulted</w:t>
            </w:r>
            <w:r>
              <w:rPr>
                <w:webHidden/>
              </w:rPr>
              <w:tab/>
            </w:r>
            <w:r>
              <w:rPr>
                <w:webHidden/>
              </w:rPr>
              <w:fldChar w:fldCharType="begin"/>
            </w:r>
            <w:r>
              <w:rPr>
                <w:webHidden/>
              </w:rPr>
              <w:instrText xml:space="preserve"> PAGEREF _Toc204168369 \h </w:instrText>
            </w:r>
            <w:r>
              <w:rPr>
                <w:webHidden/>
              </w:rPr>
            </w:r>
            <w:r>
              <w:rPr>
                <w:webHidden/>
              </w:rPr>
              <w:fldChar w:fldCharType="separate"/>
            </w:r>
            <w:r w:rsidR="00E3688B">
              <w:rPr>
                <w:webHidden/>
              </w:rPr>
              <w:t>49</w:t>
            </w:r>
            <w:r>
              <w:rPr>
                <w:webHidden/>
              </w:rPr>
              <w:fldChar w:fldCharType="end"/>
            </w:r>
          </w:hyperlink>
        </w:p>
        <w:p w14:paraId="16DCCD5E" w14:textId="28AEE5C8" w:rsidR="00C066A4" w:rsidRDefault="00C066A4">
          <w:pPr>
            <w:pStyle w:val="TOC2"/>
            <w:rPr>
              <w:rFonts w:eastAsiaTheme="minorEastAsia"/>
              <w:color w:val="auto"/>
              <w:kern w:val="2"/>
              <w:sz w:val="24"/>
              <w:szCs w:val="24"/>
              <w:lang w:eastAsia="en-AU"/>
              <w14:ligatures w14:val="standardContextual"/>
            </w:rPr>
          </w:pPr>
          <w:hyperlink w:anchor="_Toc204168370" w:history="1">
            <w:r w:rsidRPr="005D772A">
              <w:rPr>
                <w:rStyle w:val="Hyperlink"/>
              </w:rPr>
              <w:t>Appendix G: Methodology</w:t>
            </w:r>
            <w:r>
              <w:rPr>
                <w:webHidden/>
              </w:rPr>
              <w:tab/>
            </w:r>
            <w:r>
              <w:rPr>
                <w:webHidden/>
              </w:rPr>
              <w:fldChar w:fldCharType="begin"/>
            </w:r>
            <w:r>
              <w:rPr>
                <w:webHidden/>
              </w:rPr>
              <w:instrText xml:space="preserve"> PAGEREF _Toc204168370 \h </w:instrText>
            </w:r>
            <w:r>
              <w:rPr>
                <w:webHidden/>
              </w:rPr>
            </w:r>
            <w:r>
              <w:rPr>
                <w:webHidden/>
              </w:rPr>
              <w:fldChar w:fldCharType="separate"/>
            </w:r>
            <w:r w:rsidR="00E3688B">
              <w:rPr>
                <w:webHidden/>
              </w:rPr>
              <w:t>49</w:t>
            </w:r>
            <w:r>
              <w:rPr>
                <w:webHidden/>
              </w:rPr>
              <w:fldChar w:fldCharType="end"/>
            </w:r>
          </w:hyperlink>
        </w:p>
        <w:p w14:paraId="2FBF3BA8" w14:textId="3C4BFE34" w:rsidR="00C066A4" w:rsidRDefault="00C066A4">
          <w:pPr>
            <w:pStyle w:val="TOC2"/>
            <w:rPr>
              <w:rFonts w:eastAsiaTheme="minorEastAsia"/>
              <w:color w:val="auto"/>
              <w:kern w:val="2"/>
              <w:sz w:val="24"/>
              <w:szCs w:val="24"/>
              <w:lang w:eastAsia="en-AU"/>
              <w14:ligatures w14:val="standardContextual"/>
            </w:rPr>
          </w:pPr>
          <w:hyperlink w:anchor="_Toc204168371" w:history="1">
            <w:r w:rsidRPr="005D772A">
              <w:rPr>
                <w:rStyle w:val="Hyperlink"/>
              </w:rPr>
              <w:t>Appendix H: dandolo Analysis Sources</w:t>
            </w:r>
            <w:r>
              <w:rPr>
                <w:webHidden/>
              </w:rPr>
              <w:tab/>
            </w:r>
            <w:r>
              <w:rPr>
                <w:webHidden/>
              </w:rPr>
              <w:fldChar w:fldCharType="begin"/>
            </w:r>
            <w:r>
              <w:rPr>
                <w:webHidden/>
              </w:rPr>
              <w:instrText xml:space="preserve"> PAGEREF _Toc204168371 \h </w:instrText>
            </w:r>
            <w:r>
              <w:rPr>
                <w:webHidden/>
              </w:rPr>
            </w:r>
            <w:r>
              <w:rPr>
                <w:webHidden/>
              </w:rPr>
              <w:fldChar w:fldCharType="separate"/>
            </w:r>
            <w:r w:rsidR="00E3688B">
              <w:rPr>
                <w:webHidden/>
              </w:rPr>
              <w:t>51</w:t>
            </w:r>
            <w:r>
              <w:rPr>
                <w:webHidden/>
              </w:rPr>
              <w:fldChar w:fldCharType="end"/>
            </w:r>
          </w:hyperlink>
        </w:p>
        <w:p w14:paraId="50AEFCA7" w14:textId="566071D3" w:rsidR="004D5C5F" w:rsidRPr="00117237" w:rsidRDefault="00585F8A">
          <w:r w:rsidRPr="00117237">
            <w:rPr>
              <w:color w:val="931B2F" w:themeColor="background2"/>
            </w:rPr>
            <w:fldChar w:fldCharType="end"/>
          </w:r>
        </w:p>
      </w:sdtContent>
    </w:sdt>
    <w:p w14:paraId="7EE66A75" w14:textId="77777777" w:rsidR="00113DC6" w:rsidRPr="00117237" w:rsidRDefault="00113DC6" w:rsidP="00113DC6">
      <w:pPr>
        <w:spacing w:line="276" w:lineRule="auto"/>
      </w:pPr>
      <w:r w:rsidRPr="00117237">
        <w:br w:type="page"/>
      </w:r>
    </w:p>
    <w:p w14:paraId="3FF1BAA1" w14:textId="33CDE087" w:rsidR="00D51A26" w:rsidRPr="00D51A26" w:rsidRDefault="00D51A26" w:rsidP="00D51A26">
      <w:pPr>
        <w:pStyle w:val="Heading1"/>
        <w:numPr>
          <w:ilvl w:val="0"/>
          <w:numId w:val="0"/>
        </w:numPr>
        <w:ind w:left="567"/>
        <w:sectPr w:rsidR="00D51A26" w:rsidRPr="00D51A26" w:rsidSect="003368C4">
          <w:headerReference w:type="default" r:id="rId14"/>
          <w:footerReference w:type="default" r:id="rId15"/>
          <w:headerReference w:type="first" r:id="rId16"/>
          <w:footerReference w:type="first" r:id="rId17"/>
          <w:pgSz w:w="11906" w:h="16838" w:code="9"/>
          <w:pgMar w:top="720" w:right="1134" w:bottom="720" w:left="1134" w:header="567" w:footer="567" w:gutter="0"/>
          <w:cols w:space="708"/>
          <w:docGrid w:linePitch="360"/>
        </w:sectPr>
      </w:pPr>
      <w:bookmarkStart w:id="4" w:name="_Toc173950454"/>
      <w:bookmarkEnd w:id="3"/>
    </w:p>
    <w:p w14:paraId="294103D9" w14:textId="1069CDD4" w:rsidR="00991AEF" w:rsidRPr="00117237" w:rsidRDefault="00991AEF" w:rsidP="005D51DE">
      <w:pPr>
        <w:pStyle w:val="Heading1"/>
      </w:pPr>
      <w:bookmarkStart w:id="5" w:name="_Toc204168349"/>
      <w:r w:rsidRPr="00117237">
        <w:lastRenderedPageBreak/>
        <w:t>Acknowledgements</w:t>
      </w:r>
      <w:bookmarkEnd w:id="4"/>
      <w:bookmarkEnd w:id="5"/>
    </w:p>
    <w:p w14:paraId="3E3D541B" w14:textId="77777777" w:rsidR="00991AEF" w:rsidRPr="00117237" w:rsidRDefault="00991AEF" w:rsidP="00991AEF">
      <w:pPr>
        <w:pStyle w:val="Heading3Normal"/>
      </w:pPr>
      <w:r w:rsidRPr="00117237">
        <w:t>Acknowledgement of Country</w:t>
      </w:r>
    </w:p>
    <w:p w14:paraId="51D05318" w14:textId="3A698C1C" w:rsidR="00991AEF" w:rsidRPr="00117237" w:rsidRDefault="00577668" w:rsidP="00991AEF">
      <w:pPr>
        <w:pStyle w:val="BodyText"/>
      </w:pPr>
      <w:r w:rsidRPr="00117237">
        <w:t>d</w:t>
      </w:r>
      <w:r w:rsidR="00991AEF" w:rsidRPr="00117237">
        <w:t xml:space="preserve">andolopartners acknowledges the traditional owners of the lands and water on which we live and work. </w:t>
      </w:r>
    </w:p>
    <w:p w14:paraId="40109DE7" w14:textId="77777777" w:rsidR="00991AEF" w:rsidRPr="00117237" w:rsidRDefault="00991AEF" w:rsidP="00991AEF">
      <w:pPr>
        <w:pStyle w:val="BodyText"/>
      </w:pPr>
      <w:r w:rsidRPr="00117237">
        <w:t xml:space="preserve">We acknowledge Aboriginal and Torres Strait Islander people’s deep spiritual connection to this land and water and that Aboriginal sovereignty has never been ceded. </w:t>
      </w:r>
    </w:p>
    <w:p w14:paraId="58868D1E" w14:textId="77777777" w:rsidR="00991AEF" w:rsidRPr="00117237" w:rsidRDefault="00991AEF" w:rsidP="00991AEF">
      <w:pPr>
        <w:pStyle w:val="BodyText"/>
      </w:pPr>
      <w:r w:rsidRPr="00117237">
        <w:t xml:space="preserve">We pay our respect to Elders past and present and extend that respect to any Aboriginal and Torres Strait Islander readers. </w:t>
      </w:r>
    </w:p>
    <w:p w14:paraId="3CE0AECF" w14:textId="77777777" w:rsidR="00991AEF" w:rsidRPr="00117237" w:rsidRDefault="00991AEF" w:rsidP="00991AEF">
      <w:pPr>
        <w:pStyle w:val="BodyText"/>
      </w:pPr>
      <w:r w:rsidRPr="00117237">
        <w:t xml:space="preserve">We recognise the disproportionate rate that Aboriginal and Torres Strait Islander women, and Aboriginal and Torres Strait Islander women with disabilities, experience violence, and acknowledge their strength and resilience in facing sexism, ableism, racism and the effects of colonisation. </w:t>
      </w:r>
    </w:p>
    <w:p w14:paraId="129F1F28" w14:textId="77777777" w:rsidR="00991AEF" w:rsidRPr="00117237" w:rsidRDefault="00991AEF" w:rsidP="00991AEF">
      <w:pPr>
        <w:pStyle w:val="Heading3Normal"/>
      </w:pPr>
      <w:r w:rsidRPr="00117237">
        <w:t>Acknowledgement of those who contributed to this report</w:t>
      </w:r>
    </w:p>
    <w:p w14:paraId="7D7B00D8" w14:textId="253F79E9" w:rsidR="00991AEF" w:rsidRPr="00117237" w:rsidRDefault="00577668" w:rsidP="00991AEF">
      <w:pPr>
        <w:pStyle w:val="BodyText"/>
      </w:pPr>
      <w:r w:rsidRPr="00117237">
        <w:t>d</w:t>
      </w:r>
      <w:r w:rsidR="00991AEF" w:rsidRPr="00117237">
        <w:t>andolopartners sincerely thanks the individuals from Our Watch</w:t>
      </w:r>
      <w:r w:rsidR="00897F08" w:rsidRPr="00117237">
        <w:t xml:space="preserve">, involved TAFEs </w:t>
      </w:r>
      <w:r w:rsidR="00991AEF" w:rsidRPr="00117237">
        <w:t>and other key stakeholders who worked with us on this project, gave us their time and shared their reflections with us.</w:t>
      </w:r>
    </w:p>
    <w:p w14:paraId="72DC4AF6" w14:textId="132138AF" w:rsidR="00991AEF" w:rsidRPr="00117237" w:rsidRDefault="00991AEF" w:rsidP="00991AEF">
      <w:pPr>
        <w:pStyle w:val="BodyText"/>
      </w:pPr>
      <w:r w:rsidRPr="00117237">
        <w:t>This evaluation would not have been possible without the generous contributions of fieldwork participants, all of who</w:t>
      </w:r>
      <w:r w:rsidR="000A6E64" w:rsidRPr="00117237">
        <w:t xml:space="preserve">m </w:t>
      </w:r>
      <w:r w:rsidRPr="00117237">
        <w:t xml:space="preserve">provided invaluable insights into our evaluation. </w:t>
      </w:r>
    </w:p>
    <w:p w14:paraId="2EDA6BB6" w14:textId="77777777" w:rsidR="00E902BC" w:rsidRPr="00117237" w:rsidRDefault="00E902BC" w:rsidP="00E902BC"/>
    <w:p w14:paraId="4D34EAAB" w14:textId="77777777" w:rsidR="00E902BC" w:rsidRPr="00117237" w:rsidRDefault="00E902BC" w:rsidP="00E902BC"/>
    <w:p w14:paraId="717854AB" w14:textId="77777777" w:rsidR="00E902BC" w:rsidRPr="00117237" w:rsidRDefault="00E902BC" w:rsidP="00E902BC"/>
    <w:p w14:paraId="4C261AD9" w14:textId="77777777" w:rsidR="00E902BC" w:rsidRPr="00117237" w:rsidRDefault="00E902BC" w:rsidP="00E902BC"/>
    <w:p w14:paraId="094D35AB" w14:textId="77777777" w:rsidR="00E902BC" w:rsidRPr="00117237" w:rsidRDefault="00E902BC" w:rsidP="00E902BC"/>
    <w:p w14:paraId="3B243589" w14:textId="77777777" w:rsidR="00E902BC" w:rsidRPr="00117237" w:rsidRDefault="00E902BC" w:rsidP="00E902BC"/>
    <w:p w14:paraId="21D9D998" w14:textId="77777777" w:rsidR="00E902BC" w:rsidRPr="00117237" w:rsidRDefault="00E902BC" w:rsidP="00E902BC"/>
    <w:p w14:paraId="3EDD9676" w14:textId="77777777" w:rsidR="00E902BC" w:rsidRPr="00117237" w:rsidRDefault="00E902BC" w:rsidP="00E902BC"/>
    <w:p w14:paraId="5837014F" w14:textId="77777777" w:rsidR="00E902BC" w:rsidRPr="00117237" w:rsidRDefault="00E902BC" w:rsidP="00E902BC"/>
    <w:p w14:paraId="70F779D4" w14:textId="77777777" w:rsidR="00E902BC" w:rsidRPr="00117237" w:rsidRDefault="00E902BC" w:rsidP="00E902BC"/>
    <w:p w14:paraId="4BD2782E" w14:textId="77777777" w:rsidR="00E902BC" w:rsidRPr="00117237" w:rsidRDefault="00E902BC" w:rsidP="00E902BC"/>
    <w:p w14:paraId="22FE2B1F" w14:textId="77777777" w:rsidR="005D51DE" w:rsidRPr="00117237" w:rsidRDefault="005D51DE">
      <w:pPr>
        <w:pStyle w:val="Heading1"/>
        <w:sectPr w:rsidR="005D51DE" w:rsidRPr="00117237" w:rsidSect="003368C4">
          <w:footerReference w:type="default" r:id="rId18"/>
          <w:footerReference w:type="first" r:id="rId19"/>
          <w:pgSz w:w="11906" w:h="16838" w:code="9"/>
          <w:pgMar w:top="720" w:right="1134" w:bottom="720" w:left="1134" w:header="567" w:footer="567" w:gutter="0"/>
          <w:cols w:space="708"/>
          <w:docGrid w:linePitch="360"/>
        </w:sectPr>
      </w:pPr>
    </w:p>
    <w:p w14:paraId="76EB5167" w14:textId="55E1F313" w:rsidR="00E902BC" w:rsidRPr="00117237" w:rsidRDefault="00E902BC" w:rsidP="005D51DE">
      <w:pPr>
        <w:pStyle w:val="Heading1"/>
      </w:pPr>
      <w:bookmarkStart w:id="6" w:name="_Toc204168350"/>
      <w:r w:rsidRPr="00117237">
        <w:lastRenderedPageBreak/>
        <w:t>Acronyms and terminology</w:t>
      </w:r>
      <w:bookmarkEnd w:id="6"/>
    </w:p>
    <w:tbl>
      <w:tblPr>
        <w:tblStyle w:val="TableGrid"/>
        <w:tblW w:w="0" w:type="auto"/>
        <w:tblLook w:val="04A0" w:firstRow="1" w:lastRow="0" w:firstColumn="1" w:lastColumn="0" w:noHBand="0" w:noVBand="1"/>
      </w:tblPr>
      <w:tblGrid>
        <w:gridCol w:w="2830"/>
        <w:gridCol w:w="6798"/>
      </w:tblGrid>
      <w:tr w:rsidR="00452E1C" w:rsidRPr="00117237" w14:paraId="356EF0FD" w14:textId="77777777" w:rsidTr="4E54170A">
        <w:tc>
          <w:tcPr>
            <w:tcW w:w="2830" w:type="dxa"/>
          </w:tcPr>
          <w:p w14:paraId="1A9A08AA" w14:textId="20286B35" w:rsidR="00452E1C" w:rsidRPr="00117237" w:rsidRDefault="00452E1C">
            <w:pPr>
              <w:pStyle w:val="BodyText"/>
              <w:spacing w:line="276" w:lineRule="auto"/>
            </w:pPr>
            <w:r w:rsidRPr="00117237">
              <w:t>ACT</w:t>
            </w:r>
          </w:p>
        </w:tc>
        <w:tc>
          <w:tcPr>
            <w:tcW w:w="6798" w:type="dxa"/>
          </w:tcPr>
          <w:p w14:paraId="224B14F0" w14:textId="3579FC32" w:rsidR="00452E1C" w:rsidRPr="00117237" w:rsidRDefault="009C78A1">
            <w:pPr>
              <w:pBdr>
                <w:top w:val="nil"/>
                <w:left w:val="nil"/>
                <w:bottom w:val="nil"/>
                <w:right w:val="nil"/>
                <w:between w:val="nil"/>
              </w:pBdr>
              <w:spacing w:line="276" w:lineRule="auto"/>
            </w:pPr>
            <w:r w:rsidRPr="00117237">
              <w:t xml:space="preserve">Australian Capital Territory </w:t>
            </w:r>
          </w:p>
        </w:tc>
      </w:tr>
      <w:tr w:rsidR="001910C4" w:rsidRPr="00117237" w14:paraId="41DD449A" w14:textId="77777777" w:rsidTr="4E54170A">
        <w:tc>
          <w:tcPr>
            <w:tcW w:w="2830" w:type="dxa"/>
          </w:tcPr>
          <w:p w14:paraId="35371DAA" w14:textId="4A82181A" w:rsidR="001910C4" w:rsidRPr="00117237" w:rsidRDefault="001910C4">
            <w:pPr>
              <w:pStyle w:val="BodyText"/>
              <w:spacing w:line="276" w:lineRule="auto"/>
            </w:pPr>
            <w:r w:rsidRPr="00117237">
              <w:t>ASQA</w:t>
            </w:r>
          </w:p>
        </w:tc>
        <w:tc>
          <w:tcPr>
            <w:tcW w:w="6798" w:type="dxa"/>
          </w:tcPr>
          <w:p w14:paraId="1E79CDEA" w14:textId="31F9863D" w:rsidR="001910C4" w:rsidRPr="00117237" w:rsidRDefault="003A1D9F">
            <w:pPr>
              <w:pBdr>
                <w:top w:val="nil"/>
                <w:left w:val="nil"/>
                <w:bottom w:val="nil"/>
                <w:right w:val="nil"/>
                <w:between w:val="nil"/>
              </w:pBdr>
              <w:spacing w:line="276" w:lineRule="auto"/>
            </w:pPr>
            <w:r w:rsidRPr="00117237">
              <w:t xml:space="preserve">Australian Skills Quality Authority </w:t>
            </w:r>
          </w:p>
        </w:tc>
      </w:tr>
      <w:tr w:rsidR="00BA4474" w:rsidRPr="00117237" w14:paraId="64CD744D" w14:textId="77777777" w:rsidTr="4E54170A">
        <w:tc>
          <w:tcPr>
            <w:tcW w:w="2830" w:type="dxa"/>
          </w:tcPr>
          <w:p w14:paraId="1263A262" w14:textId="44D8E593" w:rsidR="00BA4474" w:rsidRPr="00117237" w:rsidRDefault="00BA4474">
            <w:pPr>
              <w:pStyle w:val="BodyText"/>
              <w:spacing w:line="276" w:lineRule="auto"/>
            </w:pPr>
            <w:r w:rsidRPr="00117237">
              <w:t>BIITE</w:t>
            </w:r>
          </w:p>
        </w:tc>
        <w:tc>
          <w:tcPr>
            <w:tcW w:w="6798" w:type="dxa"/>
          </w:tcPr>
          <w:p w14:paraId="135952E2" w14:textId="661EEF2C" w:rsidR="00BA4474" w:rsidRPr="00117237" w:rsidRDefault="00F830DE">
            <w:pPr>
              <w:pBdr>
                <w:top w:val="nil"/>
                <w:left w:val="nil"/>
                <w:bottom w:val="nil"/>
                <w:right w:val="nil"/>
                <w:between w:val="nil"/>
              </w:pBdr>
              <w:spacing w:line="276" w:lineRule="auto"/>
            </w:pPr>
            <w:r w:rsidRPr="00117237">
              <w:t xml:space="preserve">Batchelor Institute of Indigenous Tertiary Education </w:t>
            </w:r>
          </w:p>
        </w:tc>
      </w:tr>
      <w:tr w:rsidR="001910C4" w:rsidRPr="00117237" w14:paraId="21701072" w14:textId="77777777" w:rsidTr="4E54170A">
        <w:tc>
          <w:tcPr>
            <w:tcW w:w="2830" w:type="dxa"/>
          </w:tcPr>
          <w:p w14:paraId="1D5965DB" w14:textId="16223FA6" w:rsidR="001910C4" w:rsidRPr="00117237" w:rsidRDefault="001910C4">
            <w:pPr>
              <w:pStyle w:val="BodyText"/>
              <w:spacing w:line="276" w:lineRule="auto"/>
            </w:pPr>
            <w:r w:rsidRPr="00117237">
              <w:t>CDU</w:t>
            </w:r>
          </w:p>
        </w:tc>
        <w:tc>
          <w:tcPr>
            <w:tcW w:w="6798" w:type="dxa"/>
          </w:tcPr>
          <w:p w14:paraId="09A531B1" w14:textId="658E7C86" w:rsidR="001910C4" w:rsidRPr="00117237" w:rsidRDefault="009C78A1">
            <w:pPr>
              <w:pBdr>
                <w:top w:val="nil"/>
                <w:left w:val="nil"/>
                <w:bottom w:val="nil"/>
                <w:right w:val="nil"/>
                <w:between w:val="nil"/>
              </w:pBdr>
              <w:spacing w:line="276" w:lineRule="auto"/>
            </w:pPr>
            <w:r w:rsidRPr="00117237">
              <w:t xml:space="preserve">Charles Darwin University </w:t>
            </w:r>
          </w:p>
        </w:tc>
      </w:tr>
      <w:tr w:rsidR="00D65FB2" w:rsidRPr="00117237" w14:paraId="30D6A3CD" w14:textId="77777777" w:rsidTr="4E54170A">
        <w:tc>
          <w:tcPr>
            <w:tcW w:w="2830" w:type="dxa"/>
          </w:tcPr>
          <w:p w14:paraId="1E788179" w14:textId="02C6385F" w:rsidR="00D65FB2" w:rsidRPr="00117237" w:rsidRDefault="00D65FB2">
            <w:pPr>
              <w:pStyle w:val="BodyText"/>
              <w:spacing w:line="276" w:lineRule="auto"/>
            </w:pPr>
            <w:r w:rsidRPr="00117237">
              <w:t>CEO</w:t>
            </w:r>
          </w:p>
        </w:tc>
        <w:tc>
          <w:tcPr>
            <w:tcW w:w="6798" w:type="dxa"/>
          </w:tcPr>
          <w:p w14:paraId="100BD427" w14:textId="2100E8DD" w:rsidR="00D65FB2" w:rsidRPr="00117237" w:rsidRDefault="009C78A1">
            <w:pPr>
              <w:pBdr>
                <w:top w:val="nil"/>
                <w:left w:val="nil"/>
                <w:bottom w:val="nil"/>
                <w:right w:val="nil"/>
                <w:between w:val="nil"/>
              </w:pBdr>
              <w:spacing w:line="276" w:lineRule="auto"/>
            </w:pPr>
            <w:r w:rsidRPr="00117237">
              <w:t xml:space="preserve">Chief Executive Officer </w:t>
            </w:r>
          </w:p>
        </w:tc>
      </w:tr>
      <w:tr w:rsidR="009264A2" w:rsidRPr="00117237" w14:paraId="7BEA9493" w14:textId="77777777" w:rsidTr="4E54170A">
        <w:tc>
          <w:tcPr>
            <w:tcW w:w="2830" w:type="dxa"/>
          </w:tcPr>
          <w:p w14:paraId="3F84ED7D" w14:textId="568B7E69" w:rsidR="009264A2" w:rsidRPr="00117237" w:rsidRDefault="009264A2">
            <w:pPr>
              <w:pStyle w:val="BodyText"/>
              <w:spacing w:line="276" w:lineRule="auto"/>
            </w:pPr>
            <w:r w:rsidRPr="00117237">
              <w:t>CIT</w:t>
            </w:r>
          </w:p>
        </w:tc>
        <w:tc>
          <w:tcPr>
            <w:tcW w:w="6798" w:type="dxa"/>
          </w:tcPr>
          <w:p w14:paraId="6997B43E" w14:textId="4536D9C3" w:rsidR="009264A2" w:rsidRPr="00117237" w:rsidRDefault="00F830DE">
            <w:pPr>
              <w:pBdr>
                <w:top w:val="nil"/>
                <w:left w:val="nil"/>
                <w:bottom w:val="nil"/>
                <w:right w:val="nil"/>
                <w:between w:val="nil"/>
              </w:pBdr>
              <w:spacing w:line="276" w:lineRule="auto"/>
            </w:pPr>
            <w:r w:rsidRPr="00117237">
              <w:t xml:space="preserve">Canberra Institute of Technology </w:t>
            </w:r>
          </w:p>
        </w:tc>
      </w:tr>
      <w:tr w:rsidR="00BA4474" w:rsidRPr="00117237" w14:paraId="37207178" w14:textId="77777777" w:rsidTr="4E54170A">
        <w:tc>
          <w:tcPr>
            <w:tcW w:w="2830" w:type="dxa"/>
          </w:tcPr>
          <w:p w14:paraId="51E0F0F3" w14:textId="45475E0C" w:rsidR="00BA4474" w:rsidRPr="00117237" w:rsidRDefault="00BA4474">
            <w:pPr>
              <w:pStyle w:val="BodyText"/>
              <w:spacing w:line="276" w:lineRule="auto"/>
            </w:pPr>
            <w:r w:rsidRPr="00117237">
              <w:t>CoP</w:t>
            </w:r>
          </w:p>
        </w:tc>
        <w:tc>
          <w:tcPr>
            <w:tcW w:w="6798" w:type="dxa"/>
          </w:tcPr>
          <w:p w14:paraId="3D8875EA" w14:textId="188405D7" w:rsidR="00BA4474" w:rsidRPr="00117237" w:rsidRDefault="009C78A1">
            <w:pPr>
              <w:pBdr>
                <w:top w:val="nil"/>
                <w:left w:val="nil"/>
                <w:bottom w:val="nil"/>
                <w:right w:val="nil"/>
                <w:between w:val="nil"/>
              </w:pBdr>
              <w:spacing w:line="276" w:lineRule="auto"/>
            </w:pPr>
            <w:r w:rsidRPr="00117237">
              <w:t xml:space="preserve">Communities of Practice </w:t>
            </w:r>
          </w:p>
        </w:tc>
      </w:tr>
      <w:tr w:rsidR="00443679" w:rsidRPr="00117237" w14:paraId="0E2B4781" w14:textId="77777777" w:rsidTr="4E54170A">
        <w:tc>
          <w:tcPr>
            <w:tcW w:w="2830" w:type="dxa"/>
          </w:tcPr>
          <w:p w14:paraId="0D9F21C6" w14:textId="5F4926DB" w:rsidR="00443679" w:rsidRPr="00117237" w:rsidRDefault="00443679">
            <w:pPr>
              <w:pStyle w:val="BodyText"/>
              <w:spacing w:line="276" w:lineRule="auto"/>
            </w:pPr>
            <w:r w:rsidRPr="00117237">
              <w:t>EA</w:t>
            </w:r>
          </w:p>
        </w:tc>
        <w:tc>
          <w:tcPr>
            <w:tcW w:w="6798" w:type="dxa"/>
          </w:tcPr>
          <w:p w14:paraId="2CDF50CB" w14:textId="1C542287" w:rsidR="00443679" w:rsidRPr="00117237" w:rsidRDefault="009C78A1">
            <w:pPr>
              <w:pBdr>
                <w:top w:val="nil"/>
                <w:left w:val="nil"/>
                <w:bottom w:val="nil"/>
                <w:right w:val="nil"/>
                <w:between w:val="nil"/>
              </w:pBdr>
              <w:spacing w:line="276" w:lineRule="auto"/>
            </w:pPr>
            <w:r w:rsidRPr="00117237">
              <w:t xml:space="preserve">Enterprise Agreement </w:t>
            </w:r>
          </w:p>
        </w:tc>
      </w:tr>
      <w:tr w:rsidR="00A646AF" w:rsidRPr="00117237" w14:paraId="31F2EDF3" w14:textId="77777777" w:rsidTr="4E54170A">
        <w:tc>
          <w:tcPr>
            <w:tcW w:w="2830" w:type="dxa"/>
          </w:tcPr>
          <w:p w14:paraId="71648248" w14:textId="69F3F830" w:rsidR="00A646AF" w:rsidRPr="00117237" w:rsidRDefault="00A646AF">
            <w:pPr>
              <w:pStyle w:val="BodyText"/>
              <w:spacing w:line="276" w:lineRule="auto"/>
            </w:pPr>
            <w:r w:rsidRPr="00117237">
              <w:t>DEI</w:t>
            </w:r>
          </w:p>
        </w:tc>
        <w:tc>
          <w:tcPr>
            <w:tcW w:w="6798" w:type="dxa"/>
          </w:tcPr>
          <w:p w14:paraId="37E6F287" w14:textId="7091A6C4" w:rsidR="00A646AF" w:rsidRPr="00117237" w:rsidRDefault="00A646AF">
            <w:pPr>
              <w:pBdr>
                <w:top w:val="nil"/>
                <w:left w:val="nil"/>
                <w:bottom w:val="nil"/>
                <w:right w:val="nil"/>
                <w:between w:val="nil"/>
              </w:pBdr>
              <w:spacing w:line="276" w:lineRule="auto"/>
            </w:pPr>
            <w:r w:rsidRPr="00117237">
              <w:t xml:space="preserve">Diversity, equity and inclusion </w:t>
            </w:r>
          </w:p>
        </w:tc>
      </w:tr>
      <w:tr w:rsidR="00387506" w:rsidRPr="00117237" w14:paraId="7BBF0FC4" w14:textId="77777777" w:rsidTr="4E54170A">
        <w:tc>
          <w:tcPr>
            <w:tcW w:w="2830" w:type="dxa"/>
          </w:tcPr>
          <w:p w14:paraId="2CED72F6" w14:textId="4A1B6651" w:rsidR="00387506" w:rsidRPr="00117237" w:rsidRDefault="00387506">
            <w:pPr>
              <w:pStyle w:val="BodyText"/>
              <w:spacing w:line="276" w:lineRule="auto"/>
            </w:pPr>
            <w:r w:rsidRPr="00117237">
              <w:t>DEWR</w:t>
            </w:r>
          </w:p>
        </w:tc>
        <w:tc>
          <w:tcPr>
            <w:tcW w:w="6798" w:type="dxa"/>
          </w:tcPr>
          <w:p w14:paraId="2C600C27" w14:textId="1F130BD4" w:rsidR="00387506" w:rsidRPr="00117237" w:rsidRDefault="009C78A1">
            <w:pPr>
              <w:pBdr>
                <w:top w:val="nil"/>
                <w:left w:val="nil"/>
                <w:bottom w:val="nil"/>
                <w:right w:val="nil"/>
                <w:between w:val="nil"/>
              </w:pBdr>
              <w:spacing w:line="276" w:lineRule="auto"/>
            </w:pPr>
            <w:r w:rsidRPr="00117237">
              <w:t xml:space="preserve">Department of Employment and Workplace Relations </w:t>
            </w:r>
          </w:p>
        </w:tc>
      </w:tr>
      <w:tr w:rsidR="00E902BC" w:rsidRPr="00117237" w14:paraId="1AC557C4" w14:textId="77777777" w:rsidTr="4E54170A">
        <w:tc>
          <w:tcPr>
            <w:tcW w:w="2830" w:type="dxa"/>
          </w:tcPr>
          <w:p w14:paraId="3C9ECCBC" w14:textId="77777777" w:rsidR="00E902BC" w:rsidRPr="00117237" w:rsidRDefault="00E902BC">
            <w:pPr>
              <w:pStyle w:val="BodyText"/>
              <w:spacing w:line="276" w:lineRule="auto"/>
              <w:rPr>
                <w:b/>
                <w:i/>
              </w:rPr>
            </w:pPr>
            <w:r w:rsidRPr="00117237">
              <w:t>DSS</w:t>
            </w:r>
          </w:p>
        </w:tc>
        <w:tc>
          <w:tcPr>
            <w:tcW w:w="6798" w:type="dxa"/>
          </w:tcPr>
          <w:p w14:paraId="33212CED" w14:textId="77777777" w:rsidR="00E902BC" w:rsidRPr="00117237" w:rsidRDefault="00E902BC">
            <w:pPr>
              <w:pBdr>
                <w:top w:val="nil"/>
                <w:left w:val="nil"/>
                <w:bottom w:val="nil"/>
                <w:right w:val="nil"/>
                <w:between w:val="nil"/>
              </w:pBdr>
              <w:spacing w:line="276" w:lineRule="auto"/>
              <w:rPr>
                <w:color w:val="000000"/>
              </w:rPr>
            </w:pPr>
            <w:r w:rsidRPr="00117237">
              <w:t>Department of Social Services, Australian Government (project funder)</w:t>
            </w:r>
          </w:p>
        </w:tc>
      </w:tr>
      <w:tr w:rsidR="00F30717" w:rsidRPr="00117237" w14:paraId="4AAE7EC5" w14:textId="77777777" w:rsidTr="4E54170A">
        <w:tc>
          <w:tcPr>
            <w:tcW w:w="2830" w:type="dxa"/>
          </w:tcPr>
          <w:p w14:paraId="4C448C9C" w14:textId="72B71C4D" w:rsidR="00F30717" w:rsidRPr="00117237" w:rsidRDefault="00F30717">
            <w:pPr>
              <w:pStyle w:val="BodyText"/>
              <w:spacing w:line="276" w:lineRule="auto"/>
            </w:pPr>
            <w:r w:rsidRPr="00117237">
              <w:t>JSC</w:t>
            </w:r>
          </w:p>
        </w:tc>
        <w:tc>
          <w:tcPr>
            <w:tcW w:w="6798" w:type="dxa"/>
          </w:tcPr>
          <w:p w14:paraId="7CD32139" w14:textId="3BF4EA58" w:rsidR="00F30717" w:rsidRPr="00117237" w:rsidRDefault="009C78A1">
            <w:pPr>
              <w:pBdr>
                <w:top w:val="nil"/>
                <w:left w:val="nil"/>
                <w:bottom w:val="nil"/>
                <w:right w:val="nil"/>
                <w:between w:val="nil"/>
              </w:pBdr>
              <w:spacing w:line="276" w:lineRule="auto"/>
            </w:pPr>
            <w:r w:rsidRPr="00117237">
              <w:t>Jobs and Skills Council</w:t>
            </w:r>
          </w:p>
        </w:tc>
      </w:tr>
      <w:tr w:rsidR="00E740C7" w:rsidRPr="00117237" w14:paraId="2170B1CA" w14:textId="77777777" w:rsidTr="4E54170A">
        <w:tc>
          <w:tcPr>
            <w:tcW w:w="2830" w:type="dxa"/>
          </w:tcPr>
          <w:p w14:paraId="11D1F44F" w14:textId="2B8CD80D" w:rsidR="00E740C7" w:rsidRPr="00117237" w:rsidRDefault="00E740C7">
            <w:pPr>
              <w:pStyle w:val="BodyText"/>
              <w:spacing w:line="276" w:lineRule="auto"/>
            </w:pPr>
            <w:r w:rsidRPr="00117237">
              <w:t>LOTE</w:t>
            </w:r>
          </w:p>
        </w:tc>
        <w:tc>
          <w:tcPr>
            <w:tcW w:w="6798" w:type="dxa"/>
          </w:tcPr>
          <w:p w14:paraId="3E96275B" w14:textId="7CB8C70A" w:rsidR="00E740C7" w:rsidRPr="00117237" w:rsidRDefault="009C78A1">
            <w:pPr>
              <w:pBdr>
                <w:top w:val="nil"/>
                <w:left w:val="nil"/>
                <w:bottom w:val="nil"/>
                <w:right w:val="nil"/>
                <w:between w:val="nil"/>
              </w:pBdr>
              <w:spacing w:line="276" w:lineRule="auto"/>
            </w:pPr>
            <w:r w:rsidRPr="00117237">
              <w:t xml:space="preserve">Languages other than English </w:t>
            </w:r>
          </w:p>
        </w:tc>
      </w:tr>
      <w:tr w:rsidR="002D33AD" w:rsidRPr="00117237" w14:paraId="23B34454" w14:textId="77777777" w:rsidTr="4E54170A">
        <w:tc>
          <w:tcPr>
            <w:tcW w:w="2830" w:type="dxa"/>
          </w:tcPr>
          <w:p w14:paraId="1B491592" w14:textId="26C602CA" w:rsidR="002D33AD" w:rsidRPr="00117237" w:rsidRDefault="002D33AD">
            <w:pPr>
              <w:pStyle w:val="BodyText"/>
              <w:spacing w:line="276" w:lineRule="auto"/>
            </w:pPr>
            <w:r w:rsidRPr="00117237">
              <w:t>MoU</w:t>
            </w:r>
          </w:p>
        </w:tc>
        <w:tc>
          <w:tcPr>
            <w:tcW w:w="6798" w:type="dxa"/>
          </w:tcPr>
          <w:p w14:paraId="5DCD2FE5" w14:textId="532FAAC4" w:rsidR="002D33AD" w:rsidRPr="00117237" w:rsidRDefault="003A1D9F">
            <w:pPr>
              <w:pBdr>
                <w:top w:val="nil"/>
                <w:left w:val="nil"/>
                <w:bottom w:val="nil"/>
                <w:right w:val="nil"/>
                <w:between w:val="nil"/>
              </w:pBdr>
              <w:spacing w:line="276" w:lineRule="auto"/>
            </w:pPr>
            <w:r w:rsidRPr="00117237">
              <w:t>Mem</w:t>
            </w:r>
            <w:r w:rsidR="00ED490F" w:rsidRPr="00117237">
              <w:t xml:space="preserve">orandum of Understanding </w:t>
            </w:r>
          </w:p>
        </w:tc>
      </w:tr>
      <w:tr w:rsidR="0097259D" w:rsidRPr="00117237" w14:paraId="5343B193" w14:textId="77777777" w:rsidTr="4E54170A">
        <w:tc>
          <w:tcPr>
            <w:tcW w:w="2830" w:type="dxa"/>
          </w:tcPr>
          <w:p w14:paraId="657BAE60" w14:textId="6CCC10A7" w:rsidR="0097259D" w:rsidRPr="00117237" w:rsidRDefault="0097259D">
            <w:pPr>
              <w:pStyle w:val="BodyText"/>
              <w:spacing w:line="276" w:lineRule="auto"/>
            </w:pPr>
            <w:r w:rsidRPr="00117237">
              <w:t>NT</w:t>
            </w:r>
          </w:p>
        </w:tc>
        <w:tc>
          <w:tcPr>
            <w:tcW w:w="6798" w:type="dxa"/>
          </w:tcPr>
          <w:p w14:paraId="54DD9255" w14:textId="63C5472B" w:rsidR="0097259D" w:rsidRPr="00117237" w:rsidRDefault="009C78A1">
            <w:pPr>
              <w:pBdr>
                <w:top w:val="nil"/>
                <w:left w:val="nil"/>
                <w:bottom w:val="nil"/>
                <w:right w:val="nil"/>
                <w:between w:val="nil"/>
              </w:pBdr>
              <w:spacing w:line="276" w:lineRule="auto"/>
            </w:pPr>
            <w:r w:rsidRPr="00117237">
              <w:t xml:space="preserve">Northern Territory </w:t>
            </w:r>
          </w:p>
        </w:tc>
      </w:tr>
      <w:tr w:rsidR="00D95E1C" w:rsidRPr="00117237" w14:paraId="57EB430B" w14:textId="77777777" w:rsidTr="4E54170A">
        <w:tc>
          <w:tcPr>
            <w:tcW w:w="2830" w:type="dxa"/>
          </w:tcPr>
          <w:p w14:paraId="1EFACFB6" w14:textId="1614F557" w:rsidR="00D95E1C" w:rsidRPr="00117237" w:rsidRDefault="00D95E1C" w:rsidP="00D95E1C">
            <w:pPr>
              <w:pStyle w:val="BodyText"/>
              <w:spacing w:line="276" w:lineRule="auto"/>
            </w:pPr>
            <w:r w:rsidRPr="00117237">
              <w:t xml:space="preserve">Our Watch </w:t>
            </w:r>
          </w:p>
        </w:tc>
        <w:tc>
          <w:tcPr>
            <w:tcW w:w="6798" w:type="dxa"/>
            <w:vAlign w:val="center"/>
          </w:tcPr>
          <w:p w14:paraId="3D14CFFD" w14:textId="77777777" w:rsidR="00D95E1C" w:rsidRPr="00117237" w:rsidRDefault="00D95E1C" w:rsidP="00D95E1C">
            <w:pPr>
              <w:pStyle w:val="BodyText"/>
            </w:pPr>
            <w:r w:rsidRPr="00117237">
              <w:t>Our Watch is a national leader in the primary prevention of violence against women and their children in Australia. They work to embed gender equality and prevent violence where Australians live, learn, work and socialise.</w:t>
            </w:r>
          </w:p>
          <w:p w14:paraId="16FF36F0" w14:textId="627BFE64" w:rsidR="00D95E1C" w:rsidRPr="00117237" w:rsidRDefault="00D95E1C" w:rsidP="00D95E1C">
            <w:pPr>
              <w:pBdr>
                <w:top w:val="nil"/>
                <w:left w:val="nil"/>
                <w:bottom w:val="nil"/>
                <w:right w:val="nil"/>
                <w:between w:val="nil"/>
              </w:pBdr>
              <w:spacing w:line="276" w:lineRule="auto"/>
            </w:pPr>
            <w:r w:rsidRPr="00117237">
              <w:t xml:space="preserve">Our Watch were the grant recipient and project leader for the </w:t>
            </w:r>
            <w:r w:rsidRPr="00117237">
              <w:rPr>
                <w:i/>
              </w:rPr>
              <w:t>Changing the landscape</w:t>
            </w:r>
            <w:r w:rsidRPr="00117237">
              <w:rPr>
                <w:i/>
                <w:iCs/>
              </w:rPr>
              <w:t xml:space="preserve"> </w:t>
            </w:r>
            <w:r w:rsidRPr="00117237">
              <w:t>project, and they commissioned us to complete this evaluation.</w:t>
            </w:r>
          </w:p>
        </w:tc>
      </w:tr>
      <w:tr w:rsidR="00D95E1C" w:rsidRPr="00117237" w14:paraId="0B766769" w14:textId="77777777" w:rsidTr="4E54170A">
        <w:tc>
          <w:tcPr>
            <w:tcW w:w="2830" w:type="dxa"/>
          </w:tcPr>
          <w:p w14:paraId="1FC4C19D" w14:textId="77777777" w:rsidR="00D95E1C" w:rsidRPr="00117237" w:rsidRDefault="00D95E1C" w:rsidP="00D95E1C">
            <w:pPr>
              <w:pStyle w:val="BodyText"/>
              <w:spacing w:line="276" w:lineRule="auto"/>
              <w:rPr>
                <w:b/>
              </w:rPr>
            </w:pPr>
            <w:r w:rsidRPr="00117237">
              <w:t>RET</w:t>
            </w:r>
          </w:p>
        </w:tc>
        <w:tc>
          <w:tcPr>
            <w:tcW w:w="6798" w:type="dxa"/>
          </w:tcPr>
          <w:p w14:paraId="5A445B7B" w14:textId="77777777" w:rsidR="00D95E1C" w:rsidRPr="00117237" w:rsidRDefault="00D95E1C" w:rsidP="00D95E1C">
            <w:pPr>
              <w:pStyle w:val="BodyText"/>
              <w:spacing w:line="276" w:lineRule="auto"/>
            </w:pPr>
            <w:r w:rsidRPr="00117237">
              <w:t>Respect and Equality in TAFE</w:t>
            </w:r>
          </w:p>
        </w:tc>
      </w:tr>
      <w:tr w:rsidR="00D95E1C" w:rsidRPr="00117237" w14:paraId="2A820C35" w14:textId="77777777" w:rsidTr="4E54170A">
        <w:tc>
          <w:tcPr>
            <w:tcW w:w="2830" w:type="dxa"/>
          </w:tcPr>
          <w:p w14:paraId="5869E5EF" w14:textId="77777777" w:rsidR="00D95E1C" w:rsidRPr="00117237" w:rsidRDefault="00D95E1C" w:rsidP="00D95E1C">
            <w:pPr>
              <w:pStyle w:val="BodyText"/>
              <w:spacing w:line="276" w:lineRule="auto"/>
            </w:pPr>
            <w:r w:rsidRPr="00117237">
              <w:t xml:space="preserve">RET framework </w:t>
            </w:r>
          </w:p>
        </w:tc>
        <w:tc>
          <w:tcPr>
            <w:tcW w:w="6798" w:type="dxa"/>
          </w:tcPr>
          <w:p w14:paraId="71A6E3E7" w14:textId="750791C3" w:rsidR="00D95E1C" w:rsidRPr="00117237" w:rsidRDefault="00D95E1C" w:rsidP="00D95E1C">
            <w:pPr>
              <w:pStyle w:val="BodyText"/>
              <w:spacing w:line="276" w:lineRule="auto"/>
            </w:pPr>
            <w:r w:rsidRPr="00117237">
              <w:t xml:space="preserve">Refers to the Respect and </w:t>
            </w:r>
            <w:r w:rsidR="00FD0BDE" w:rsidRPr="00117237">
              <w:t>Eq</w:t>
            </w:r>
            <w:r w:rsidRPr="00117237">
              <w:t>uality in TAFE framework that was developed during the earlier stage of the project conducted in Victoria.</w:t>
            </w:r>
          </w:p>
        </w:tc>
      </w:tr>
      <w:tr w:rsidR="00D95E1C" w:rsidRPr="00117237" w14:paraId="1F4B9514" w14:textId="77777777" w:rsidTr="4E54170A">
        <w:tc>
          <w:tcPr>
            <w:tcW w:w="2830" w:type="dxa"/>
          </w:tcPr>
          <w:p w14:paraId="5A1B0752" w14:textId="77777777" w:rsidR="00D95E1C" w:rsidRPr="00117237" w:rsidRDefault="00D95E1C" w:rsidP="00D95E1C">
            <w:pPr>
              <w:pStyle w:val="BodyText"/>
              <w:spacing w:line="276" w:lineRule="auto"/>
            </w:pPr>
            <w:r w:rsidRPr="00117237">
              <w:t xml:space="preserve">RET2 project </w:t>
            </w:r>
          </w:p>
        </w:tc>
        <w:tc>
          <w:tcPr>
            <w:tcW w:w="6798" w:type="dxa"/>
          </w:tcPr>
          <w:p w14:paraId="59F4CC39" w14:textId="77777777" w:rsidR="00D95E1C" w:rsidRPr="00117237" w:rsidRDefault="00D95E1C" w:rsidP="00D95E1C">
            <w:pPr>
              <w:pStyle w:val="BodyText"/>
              <w:spacing w:line="276" w:lineRule="auto"/>
            </w:pPr>
            <w:r w:rsidRPr="00117237">
              <w:t>Refers to the current project, the implementation and testing of the framework in four new jurisdictions: Australian Capital Territory (ACT), South Australia (SA), Tasmania and Northern Territory (NT).</w:t>
            </w:r>
          </w:p>
        </w:tc>
      </w:tr>
      <w:tr w:rsidR="004118C4" w:rsidRPr="00117237" w14:paraId="1866602B" w14:textId="77777777" w:rsidTr="4E54170A">
        <w:tc>
          <w:tcPr>
            <w:tcW w:w="2830" w:type="dxa"/>
          </w:tcPr>
          <w:p w14:paraId="370007D7" w14:textId="43374091" w:rsidR="004118C4" w:rsidRPr="00117237" w:rsidRDefault="004118C4" w:rsidP="00D95E1C">
            <w:pPr>
              <w:pStyle w:val="BodyText"/>
              <w:spacing w:line="276" w:lineRule="auto"/>
            </w:pPr>
            <w:r w:rsidRPr="00117237">
              <w:t>RTO</w:t>
            </w:r>
          </w:p>
        </w:tc>
        <w:tc>
          <w:tcPr>
            <w:tcW w:w="6798" w:type="dxa"/>
          </w:tcPr>
          <w:p w14:paraId="17399DC6" w14:textId="3F7F0188" w:rsidR="004118C4" w:rsidRPr="00117237" w:rsidRDefault="009C78A1" w:rsidP="00D95E1C">
            <w:pPr>
              <w:pStyle w:val="BodyText"/>
              <w:spacing w:line="276" w:lineRule="auto"/>
            </w:pPr>
            <w:r w:rsidRPr="00117237">
              <w:t xml:space="preserve">Registered Training Organisation </w:t>
            </w:r>
          </w:p>
        </w:tc>
      </w:tr>
      <w:tr w:rsidR="00E740C7" w:rsidRPr="00117237" w14:paraId="13E3260B" w14:textId="77777777" w:rsidTr="4E54170A">
        <w:tc>
          <w:tcPr>
            <w:tcW w:w="2830" w:type="dxa"/>
          </w:tcPr>
          <w:p w14:paraId="013162BD" w14:textId="43CB640C" w:rsidR="00E740C7" w:rsidRPr="00117237" w:rsidRDefault="00E740C7" w:rsidP="00D95E1C">
            <w:pPr>
              <w:pStyle w:val="BodyText"/>
              <w:spacing w:line="276" w:lineRule="auto"/>
            </w:pPr>
            <w:r w:rsidRPr="00117237">
              <w:t>SA</w:t>
            </w:r>
          </w:p>
        </w:tc>
        <w:tc>
          <w:tcPr>
            <w:tcW w:w="6798" w:type="dxa"/>
          </w:tcPr>
          <w:p w14:paraId="5EA5A621" w14:textId="66B6F545" w:rsidR="00E740C7" w:rsidRPr="00117237" w:rsidRDefault="009C78A1" w:rsidP="00D95E1C">
            <w:pPr>
              <w:pStyle w:val="BodyText"/>
              <w:spacing w:line="276" w:lineRule="auto"/>
            </w:pPr>
            <w:r w:rsidRPr="00117237">
              <w:t>South Au</w:t>
            </w:r>
            <w:r w:rsidR="00ED490F" w:rsidRPr="00117237">
              <w:t>s</w:t>
            </w:r>
            <w:r w:rsidRPr="00117237">
              <w:t xml:space="preserve">tralia </w:t>
            </w:r>
          </w:p>
        </w:tc>
      </w:tr>
      <w:tr w:rsidR="00E740C7" w:rsidRPr="00117237" w14:paraId="6774E5C3" w14:textId="77777777" w:rsidTr="4E54170A">
        <w:tc>
          <w:tcPr>
            <w:tcW w:w="2830" w:type="dxa"/>
          </w:tcPr>
          <w:p w14:paraId="3439170C" w14:textId="689B5468" w:rsidR="00E740C7" w:rsidRPr="00117237" w:rsidRDefault="00E740C7" w:rsidP="00E740C7">
            <w:pPr>
              <w:pStyle w:val="BodyText"/>
              <w:spacing w:line="276" w:lineRule="auto"/>
            </w:pPr>
            <w:r w:rsidRPr="00117237">
              <w:lastRenderedPageBreak/>
              <w:t xml:space="preserve">Stakeholders </w:t>
            </w:r>
          </w:p>
        </w:tc>
        <w:tc>
          <w:tcPr>
            <w:tcW w:w="6798" w:type="dxa"/>
            <w:vAlign w:val="center"/>
          </w:tcPr>
          <w:p w14:paraId="0D35E3E8" w14:textId="0D70B23B" w:rsidR="00E740C7" w:rsidRPr="00117237" w:rsidRDefault="00E740C7" w:rsidP="00E740C7">
            <w:pPr>
              <w:pStyle w:val="BodyText"/>
              <w:spacing w:line="276" w:lineRule="auto"/>
            </w:pPr>
            <w:r w:rsidRPr="00117237">
              <w:t xml:space="preserve">In this report we use the term stakeholders to collectively refer to the relevant groups and individuals relevant to implementation of the </w:t>
            </w:r>
            <w:r w:rsidR="00E4318D" w:rsidRPr="00117237">
              <w:t>Respect and Equality in TAFE</w:t>
            </w:r>
            <w:r w:rsidRPr="00117237">
              <w:t xml:space="preserve"> project we consulted with as part of this report.</w:t>
            </w:r>
          </w:p>
        </w:tc>
      </w:tr>
      <w:tr w:rsidR="00D95E1C" w:rsidRPr="00117237" w14:paraId="7A25F5E4" w14:textId="77777777" w:rsidTr="4E54170A">
        <w:tc>
          <w:tcPr>
            <w:tcW w:w="2830" w:type="dxa"/>
          </w:tcPr>
          <w:p w14:paraId="31A2E919" w14:textId="77777777" w:rsidR="00D95E1C" w:rsidRPr="00117237" w:rsidRDefault="00D95E1C" w:rsidP="00D95E1C">
            <w:pPr>
              <w:pStyle w:val="BodyText"/>
              <w:spacing w:line="276" w:lineRule="auto"/>
              <w:rPr>
                <w:b/>
              </w:rPr>
            </w:pPr>
            <w:r w:rsidRPr="00117237">
              <w:t>TAFE</w:t>
            </w:r>
          </w:p>
        </w:tc>
        <w:tc>
          <w:tcPr>
            <w:tcW w:w="6798" w:type="dxa"/>
          </w:tcPr>
          <w:p w14:paraId="51D52CD6" w14:textId="77777777" w:rsidR="00D95E1C" w:rsidRPr="00117237" w:rsidRDefault="00D95E1C" w:rsidP="00D95E1C">
            <w:pPr>
              <w:pStyle w:val="BodyText"/>
              <w:spacing w:line="276" w:lineRule="auto"/>
            </w:pPr>
            <w:r w:rsidRPr="00117237">
              <w:rPr>
                <w:rFonts w:eastAsia="Calibri" w:cs="Calibri"/>
                <w:color w:val="000000"/>
                <w:szCs w:val="24"/>
              </w:rPr>
              <w:t>Technical and further education institutions, that provide vocational qualifications</w:t>
            </w:r>
          </w:p>
        </w:tc>
      </w:tr>
      <w:tr w:rsidR="0097259D" w:rsidRPr="00117237" w14:paraId="3C253B0F" w14:textId="77777777" w:rsidTr="4E54170A">
        <w:tc>
          <w:tcPr>
            <w:tcW w:w="2830" w:type="dxa"/>
          </w:tcPr>
          <w:p w14:paraId="5325DC43" w14:textId="2A8B1A9E" w:rsidR="0097259D" w:rsidRPr="00117237" w:rsidRDefault="0097259D" w:rsidP="00E740C7">
            <w:pPr>
              <w:pStyle w:val="BodyText"/>
              <w:spacing w:line="276" w:lineRule="auto"/>
            </w:pPr>
            <w:r w:rsidRPr="00117237">
              <w:t>TAFE SA</w:t>
            </w:r>
          </w:p>
        </w:tc>
        <w:tc>
          <w:tcPr>
            <w:tcW w:w="6798" w:type="dxa"/>
          </w:tcPr>
          <w:p w14:paraId="6E7FE947" w14:textId="2275FEC4" w:rsidR="0097259D" w:rsidRPr="00117237" w:rsidRDefault="009C78A1" w:rsidP="00E740C7">
            <w:pPr>
              <w:pStyle w:val="BodyText"/>
              <w:spacing w:line="276" w:lineRule="auto"/>
              <w:rPr>
                <w:rFonts w:eastAsia="Calibri" w:cs="Calibri"/>
                <w:color w:val="000000"/>
                <w:szCs w:val="24"/>
              </w:rPr>
            </w:pPr>
            <w:r w:rsidRPr="00117237">
              <w:rPr>
                <w:rFonts w:eastAsia="Calibri" w:cs="Calibri"/>
                <w:color w:val="000000"/>
                <w:szCs w:val="24"/>
              </w:rPr>
              <w:t>TAFE</w:t>
            </w:r>
            <w:r w:rsidR="00C117CF" w:rsidRPr="00117237">
              <w:rPr>
                <w:rFonts w:eastAsia="Calibri" w:cs="Calibri"/>
                <w:color w:val="000000"/>
                <w:szCs w:val="24"/>
              </w:rPr>
              <w:t xml:space="preserve"> </w:t>
            </w:r>
            <w:r w:rsidRPr="00117237">
              <w:rPr>
                <w:rFonts w:eastAsia="Calibri" w:cs="Calibri"/>
                <w:color w:val="000000"/>
                <w:szCs w:val="24"/>
              </w:rPr>
              <w:t>South Australia</w:t>
            </w:r>
          </w:p>
        </w:tc>
      </w:tr>
      <w:tr w:rsidR="003E116F" w:rsidRPr="00117237" w14:paraId="0D233B37" w14:textId="77777777" w:rsidTr="4E54170A">
        <w:tc>
          <w:tcPr>
            <w:tcW w:w="2830" w:type="dxa"/>
          </w:tcPr>
          <w:p w14:paraId="12EA10CE" w14:textId="775E941A" w:rsidR="003E116F" w:rsidRPr="00117237" w:rsidRDefault="00075867" w:rsidP="003E116F">
            <w:pPr>
              <w:pStyle w:val="BodyText"/>
              <w:spacing w:line="276" w:lineRule="auto"/>
            </w:pPr>
            <w:r w:rsidRPr="00117237">
              <w:t>TasTAFE</w:t>
            </w:r>
          </w:p>
        </w:tc>
        <w:tc>
          <w:tcPr>
            <w:tcW w:w="6798" w:type="dxa"/>
            <w:vAlign w:val="center"/>
          </w:tcPr>
          <w:p w14:paraId="38937CB0" w14:textId="1AB71E7F" w:rsidR="003E116F" w:rsidRPr="00117237" w:rsidRDefault="009C78A1" w:rsidP="003E116F">
            <w:pPr>
              <w:pStyle w:val="BodyText"/>
              <w:spacing w:line="276" w:lineRule="auto"/>
              <w:rPr>
                <w:rFonts w:eastAsia="Calibri" w:cs="Calibri"/>
                <w:color w:val="000000"/>
                <w:szCs w:val="24"/>
              </w:rPr>
            </w:pPr>
            <w:r w:rsidRPr="00117237">
              <w:rPr>
                <w:rFonts w:eastAsia="Calibri" w:cs="Calibri"/>
                <w:color w:val="000000"/>
                <w:szCs w:val="24"/>
              </w:rPr>
              <w:t xml:space="preserve">Tasmania </w:t>
            </w:r>
            <w:r w:rsidR="00C117CF" w:rsidRPr="00117237">
              <w:rPr>
                <w:rFonts w:eastAsia="Calibri" w:cs="Calibri"/>
                <w:color w:val="000000"/>
                <w:szCs w:val="24"/>
              </w:rPr>
              <w:t>TAFE</w:t>
            </w:r>
          </w:p>
        </w:tc>
      </w:tr>
      <w:tr w:rsidR="00447D4F" w:rsidRPr="00117237" w14:paraId="2CCDFB93" w14:textId="77777777" w:rsidTr="4E54170A">
        <w:tc>
          <w:tcPr>
            <w:tcW w:w="2830" w:type="dxa"/>
          </w:tcPr>
          <w:p w14:paraId="63846CEE" w14:textId="7503EC12" w:rsidR="00447D4F" w:rsidRPr="00117237" w:rsidRDefault="00447D4F" w:rsidP="00E740C7">
            <w:pPr>
              <w:pStyle w:val="BodyText"/>
              <w:spacing w:line="276" w:lineRule="auto"/>
            </w:pPr>
            <w:r w:rsidRPr="00117237">
              <w:t>TDA</w:t>
            </w:r>
          </w:p>
        </w:tc>
        <w:tc>
          <w:tcPr>
            <w:tcW w:w="6798" w:type="dxa"/>
            <w:vAlign w:val="center"/>
          </w:tcPr>
          <w:p w14:paraId="6A53D2E1" w14:textId="21BFEC84" w:rsidR="00447D4F" w:rsidRPr="00117237" w:rsidRDefault="009C78A1" w:rsidP="00E740C7">
            <w:pPr>
              <w:pStyle w:val="BodyText"/>
              <w:spacing w:line="276" w:lineRule="auto"/>
              <w:rPr>
                <w:rFonts w:eastAsia="Calibri" w:cs="Calibri"/>
                <w:color w:val="000000"/>
                <w:szCs w:val="24"/>
              </w:rPr>
            </w:pPr>
            <w:r w:rsidRPr="00117237">
              <w:rPr>
                <w:rFonts w:eastAsia="Calibri" w:cs="Calibri"/>
                <w:color w:val="000000"/>
                <w:szCs w:val="24"/>
              </w:rPr>
              <w:t xml:space="preserve">TAFE Directors Australia </w:t>
            </w:r>
          </w:p>
        </w:tc>
      </w:tr>
      <w:tr w:rsidR="00080AD2" w:rsidRPr="00117237" w14:paraId="2136ED05" w14:textId="77777777" w:rsidTr="4E54170A">
        <w:tc>
          <w:tcPr>
            <w:tcW w:w="2830" w:type="dxa"/>
          </w:tcPr>
          <w:p w14:paraId="1372AC02" w14:textId="4792B4C8" w:rsidR="00080AD2" w:rsidRPr="00117237" w:rsidRDefault="00080AD2" w:rsidP="00E740C7">
            <w:pPr>
              <w:pStyle w:val="BodyText"/>
              <w:spacing w:line="276" w:lineRule="auto"/>
            </w:pPr>
            <w:r w:rsidRPr="00117237">
              <w:t>TEQSA</w:t>
            </w:r>
          </w:p>
        </w:tc>
        <w:tc>
          <w:tcPr>
            <w:tcW w:w="6798" w:type="dxa"/>
            <w:vAlign w:val="center"/>
          </w:tcPr>
          <w:p w14:paraId="313D8C2A" w14:textId="361F2559" w:rsidR="00080AD2" w:rsidRPr="00117237" w:rsidRDefault="00813CEA" w:rsidP="00E740C7">
            <w:pPr>
              <w:pStyle w:val="BodyText"/>
              <w:spacing w:line="276" w:lineRule="auto"/>
              <w:rPr>
                <w:rFonts w:eastAsia="Calibri" w:cs="Calibri"/>
                <w:color w:val="000000"/>
                <w:szCs w:val="24"/>
              </w:rPr>
            </w:pPr>
            <w:r w:rsidRPr="00117237">
              <w:rPr>
                <w:rFonts w:eastAsia="Calibri" w:cs="Calibri"/>
                <w:color w:val="000000"/>
                <w:szCs w:val="24"/>
              </w:rPr>
              <w:t xml:space="preserve">Tertiary Education Quality Standards Agency </w:t>
            </w:r>
          </w:p>
        </w:tc>
      </w:tr>
      <w:tr w:rsidR="009B47B0" w:rsidRPr="00117237" w14:paraId="13127C60" w14:textId="77777777" w:rsidTr="4E54170A">
        <w:tc>
          <w:tcPr>
            <w:tcW w:w="2830" w:type="dxa"/>
          </w:tcPr>
          <w:p w14:paraId="1A73F7B6" w14:textId="188A938B" w:rsidR="009B47B0" w:rsidRPr="00117237" w:rsidRDefault="009B47B0" w:rsidP="00E740C7">
            <w:pPr>
              <w:pStyle w:val="BodyText"/>
              <w:spacing w:line="276" w:lineRule="auto"/>
            </w:pPr>
            <w:r w:rsidRPr="00117237">
              <w:t>ToC</w:t>
            </w:r>
          </w:p>
        </w:tc>
        <w:tc>
          <w:tcPr>
            <w:tcW w:w="6798" w:type="dxa"/>
            <w:vAlign w:val="center"/>
          </w:tcPr>
          <w:p w14:paraId="6DF2B4E4" w14:textId="1EB4B1F6" w:rsidR="009B47B0" w:rsidRPr="00117237" w:rsidRDefault="009C78A1" w:rsidP="00E740C7">
            <w:pPr>
              <w:pStyle w:val="BodyText"/>
              <w:spacing w:line="276" w:lineRule="auto"/>
              <w:rPr>
                <w:rFonts w:eastAsia="Calibri" w:cs="Calibri"/>
                <w:color w:val="000000"/>
                <w:szCs w:val="24"/>
              </w:rPr>
            </w:pPr>
            <w:r w:rsidRPr="00117237">
              <w:rPr>
                <w:rFonts w:eastAsia="Calibri" w:cs="Calibri"/>
                <w:color w:val="000000"/>
                <w:szCs w:val="24"/>
              </w:rPr>
              <w:t xml:space="preserve">Theory of Change </w:t>
            </w:r>
          </w:p>
        </w:tc>
      </w:tr>
      <w:tr w:rsidR="008E4971" w:rsidRPr="00117237" w14:paraId="151AFE9D" w14:textId="77777777" w:rsidTr="4E54170A">
        <w:tc>
          <w:tcPr>
            <w:tcW w:w="2830" w:type="dxa"/>
          </w:tcPr>
          <w:p w14:paraId="16D95B57" w14:textId="60CD27EC" w:rsidR="008E4971" w:rsidRPr="00117237" w:rsidRDefault="0097259D" w:rsidP="003E116F">
            <w:pPr>
              <w:pStyle w:val="BodyText"/>
              <w:spacing w:line="276" w:lineRule="auto"/>
            </w:pPr>
            <w:r w:rsidRPr="00117237">
              <w:t>VET</w:t>
            </w:r>
          </w:p>
        </w:tc>
        <w:tc>
          <w:tcPr>
            <w:tcW w:w="6798" w:type="dxa"/>
            <w:vAlign w:val="center"/>
          </w:tcPr>
          <w:p w14:paraId="2B91D812" w14:textId="364F244D" w:rsidR="008E4971" w:rsidRPr="00117237" w:rsidRDefault="009C78A1" w:rsidP="003E116F">
            <w:pPr>
              <w:pStyle w:val="BodyText"/>
              <w:spacing w:line="276" w:lineRule="auto"/>
            </w:pPr>
            <w:r w:rsidRPr="00117237">
              <w:t xml:space="preserve">Vocational education and training </w:t>
            </w:r>
          </w:p>
        </w:tc>
      </w:tr>
    </w:tbl>
    <w:p w14:paraId="3144630E" w14:textId="77777777" w:rsidR="00E902BC" w:rsidRPr="00117237" w:rsidRDefault="00E902BC" w:rsidP="00E902BC">
      <w:pPr>
        <w:spacing w:line="276" w:lineRule="auto"/>
      </w:pPr>
      <w:r w:rsidRPr="00117237">
        <w:br w:type="page"/>
      </w:r>
    </w:p>
    <w:p w14:paraId="64E93E84" w14:textId="0BD20459" w:rsidR="00C87AB8" w:rsidRPr="00117237" w:rsidRDefault="003E116F" w:rsidP="005D51DE">
      <w:pPr>
        <w:pStyle w:val="Heading1"/>
      </w:pPr>
      <w:bookmarkStart w:id="7" w:name="_Toc204168351"/>
      <w:r w:rsidRPr="00117237">
        <w:lastRenderedPageBreak/>
        <w:t>Executive summary</w:t>
      </w:r>
      <w:bookmarkEnd w:id="7"/>
    </w:p>
    <w:p w14:paraId="0F16D8A9" w14:textId="47098B1E" w:rsidR="00C0529D" w:rsidRPr="00117237" w:rsidRDefault="00267D31" w:rsidP="008E32DC">
      <w:r w:rsidRPr="00117237">
        <w:t xml:space="preserve">The Respect and Equality in TAFEs 2 (RET2) project, led by Our Watch and funded by the Australian Government Department of Social Services (DSS), aimed to </w:t>
      </w:r>
      <w:r w:rsidR="00BA7096" w:rsidRPr="00117237">
        <w:t xml:space="preserve">support TAFEs to </w:t>
      </w:r>
      <w:r w:rsidRPr="00117237">
        <w:t>enhance gender equality and prevent violence against women. Building on the foundational Respect and Equality in TAFE (RET) framework developed in Victoria, RET2 expanded to four jurisdictions—</w:t>
      </w:r>
      <w:r w:rsidR="00501A86" w:rsidRPr="00117237">
        <w:t>the Australian Capital Territory</w:t>
      </w:r>
      <w:r w:rsidR="006A1481" w:rsidRPr="00117237">
        <w:t xml:space="preserve"> (</w:t>
      </w:r>
      <w:r w:rsidRPr="00117237">
        <w:t>ACT</w:t>
      </w:r>
      <w:r w:rsidR="006A1481" w:rsidRPr="00117237">
        <w:t>)</w:t>
      </w:r>
      <w:r w:rsidRPr="00117237">
        <w:t>, South Australia</w:t>
      </w:r>
      <w:r w:rsidR="006A1481" w:rsidRPr="00117237">
        <w:t xml:space="preserve"> (SA)</w:t>
      </w:r>
      <w:r w:rsidRPr="00117237">
        <w:t>, Tasmania, and Northern Territory</w:t>
      </w:r>
      <w:r w:rsidR="006A1481" w:rsidRPr="00117237">
        <w:t xml:space="preserve"> (NT)</w:t>
      </w:r>
      <w:r w:rsidRPr="00117237">
        <w:t xml:space="preserve">—engaging five TAFEs to implement and test the framework. </w:t>
      </w:r>
      <w:r w:rsidR="001F76B2" w:rsidRPr="00117237">
        <w:t>These TAFEs were B</w:t>
      </w:r>
      <w:r w:rsidR="00D83D38" w:rsidRPr="00117237">
        <w:t xml:space="preserve">atchelor Institute of Indigenous Tertiary Education (BIITE), </w:t>
      </w:r>
      <w:r w:rsidR="00060CD8" w:rsidRPr="00117237">
        <w:t xml:space="preserve">Charles </w:t>
      </w:r>
      <w:r w:rsidR="00835565" w:rsidRPr="00117237">
        <w:t xml:space="preserve">Darwin University (CDU), </w:t>
      </w:r>
      <w:r w:rsidR="00073AC3" w:rsidRPr="00117237">
        <w:t>Canberra Institute of Technology (CIT),</w:t>
      </w:r>
      <w:r w:rsidR="00E20B89" w:rsidRPr="00117237">
        <w:t xml:space="preserve"> TAFE</w:t>
      </w:r>
      <w:r w:rsidR="002370C5" w:rsidRPr="00117237">
        <w:t xml:space="preserve"> </w:t>
      </w:r>
      <w:r w:rsidR="00E20B89" w:rsidRPr="00117237">
        <w:t xml:space="preserve">SA and </w:t>
      </w:r>
      <w:r w:rsidR="002370C5" w:rsidRPr="00117237">
        <w:t>Tas</w:t>
      </w:r>
      <w:r w:rsidR="00E20B89" w:rsidRPr="00117237">
        <w:t>TAFE</w:t>
      </w:r>
      <w:r w:rsidR="002370C5" w:rsidRPr="00117237">
        <w:t xml:space="preserve"> (based in South Australia and Tasmania respectively)</w:t>
      </w:r>
      <w:r w:rsidR="00835565" w:rsidRPr="00117237">
        <w:t xml:space="preserve">. </w:t>
      </w:r>
    </w:p>
    <w:p w14:paraId="5129D0B3" w14:textId="702C23AF" w:rsidR="00267D31" w:rsidRPr="00117237" w:rsidRDefault="00267D31" w:rsidP="008E32DC">
      <w:r w:rsidRPr="00117237">
        <w:t>The project adopted a whole-of-institution approach</w:t>
      </w:r>
      <w:r w:rsidR="006677BC" w:rsidRPr="00117237">
        <w:t xml:space="preserve"> (as outlined in </w:t>
      </w:r>
      <w:r w:rsidR="006677BC" w:rsidRPr="00117237">
        <w:rPr>
          <w:i/>
        </w:rPr>
        <w:t>Change the Story: A shared framework for the primary prevention of violence against women and their children in Australia</w:t>
      </w:r>
      <w:r w:rsidR="006677BC" w:rsidRPr="00117237">
        <w:t xml:space="preserve"> </w:t>
      </w:r>
      <w:r w:rsidR="006677BC" w:rsidRPr="00117237">
        <w:rPr>
          <w:i/>
          <w:iCs/>
        </w:rPr>
        <w:t>(Change the story))</w:t>
      </w:r>
      <w:r w:rsidRPr="00117237">
        <w:t xml:space="preserve"> addressing systemic drivers of violence against women across five key domains: workplace, students, teaching and learning, communications, and industry</w:t>
      </w:r>
      <w:r w:rsidR="00202258" w:rsidRPr="00117237">
        <w:t xml:space="preserve"> and </w:t>
      </w:r>
      <w:r w:rsidRPr="00117237">
        <w:t>community</w:t>
      </w:r>
      <w:r w:rsidR="00446259" w:rsidRPr="00117237">
        <w:t xml:space="preserve">; and a sixth domain </w:t>
      </w:r>
      <w:r w:rsidR="00E86709" w:rsidRPr="00117237">
        <w:t xml:space="preserve">of research </w:t>
      </w:r>
      <w:r w:rsidR="00446259" w:rsidRPr="00117237">
        <w:t>for dual</w:t>
      </w:r>
      <w:r w:rsidR="00611866" w:rsidRPr="00117237">
        <w:t>-sector universitie</w:t>
      </w:r>
      <w:r w:rsidR="00E86709" w:rsidRPr="00117237">
        <w:t>s</w:t>
      </w:r>
      <w:r w:rsidRPr="00117237">
        <w:t>.</w:t>
      </w:r>
    </w:p>
    <w:p w14:paraId="712B6FB9" w14:textId="5774BAAF" w:rsidR="00455F55" w:rsidRPr="00117237" w:rsidRDefault="00455F55" w:rsidP="008E32DC">
      <w:r w:rsidRPr="00117237">
        <w:t xml:space="preserve">Our Watch engaged dandolopartners to evaluate </w:t>
      </w:r>
      <w:r w:rsidR="007F0750" w:rsidRPr="00117237">
        <w:t xml:space="preserve">the </w:t>
      </w:r>
      <w:r w:rsidRPr="00117237">
        <w:t>RET2</w:t>
      </w:r>
      <w:r w:rsidR="007F0750" w:rsidRPr="00117237">
        <w:t xml:space="preserve"> project, and</w:t>
      </w:r>
      <w:r w:rsidRPr="00117237">
        <w:t xml:space="preserve">: </w:t>
      </w:r>
    </w:p>
    <w:p w14:paraId="2A6A013F" w14:textId="16B145CA" w:rsidR="00455F55" w:rsidRPr="00117237" w:rsidRDefault="00455F55" w:rsidP="00EF2B7F">
      <w:pPr>
        <w:pStyle w:val="ListBullet"/>
      </w:pPr>
      <w:r w:rsidRPr="00117237">
        <w:t>Assess whether RET2 achieved its intended outcomes</w:t>
      </w:r>
    </w:p>
    <w:p w14:paraId="3FBE9D3C" w14:textId="29CF2103" w:rsidR="00455F55" w:rsidRPr="00117237" w:rsidRDefault="00455F55" w:rsidP="00EF2B7F">
      <w:pPr>
        <w:pStyle w:val="ListBullet"/>
      </w:pPr>
      <w:r w:rsidRPr="00117237">
        <w:t>Identify barriers and enablers influencing implementation</w:t>
      </w:r>
    </w:p>
    <w:p w14:paraId="0EA2EE5A" w14:textId="24F5E7FA" w:rsidR="00455F55" w:rsidRPr="00117237" w:rsidRDefault="00455F55" w:rsidP="00EF2B7F">
      <w:pPr>
        <w:pStyle w:val="ListBullet"/>
      </w:pPr>
      <w:r w:rsidRPr="00117237">
        <w:t xml:space="preserve">Generate insights </w:t>
      </w:r>
      <w:r w:rsidR="00446D1E" w:rsidRPr="00117237">
        <w:t xml:space="preserve">and key learnings </w:t>
      </w:r>
      <w:r w:rsidRPr="00117237">
        <w:t>for scaling the framework across TAFEs nationally</w:t>
      </w:r>
    </w:p>
    <w:p w14:paraId="52B67687" w14:textId="66CDAB75" w:rsidR="00EB41F0" w:rsidRPr="00117237" w:rsidRDefault="00E07E96" w:rsidP="00EB41F0">
      <w:r w:rsidRPr="00117237">
        <w:t xml:space="preserve">Our </w:t>
      </w:r>
      <w:r w:rsidR="00455F55" w:rsidRPr="00117237">
        <w:t>evaluation</w:t>
      </w:r>
      <w:r w:rsidR="002C2D23" w:rsidRPr="00117237">
        <w:t xml:space="preserve"> </w:t>
      </w:r>
      <w:r w:rsidRPr="00117237">
        <w:t>was</w:t>
      </w:r>
      <w:r w:rsidR="002C2D23" w:rsidRPr="00117237">
        <w:t xml:space="preserve"> informed by</w:t>
      </w:r>
      <w:r w:rsidR="00EB41F0" w:rsidRPr="00117237">
        <w:t xml:space="preserve"> a review of project plans, reports, data from events, team reflections, and case studies, alongside stakeholder interviews involving internal Our Watch stakeholders and representatives from five TAFEs. </w:t>
      </w:r>
    </w:p>
    <w:p w14:paraId="6E2C52D7" w14:textId="7A9F7773" w:rsidR="008E172D" w:rsidRPr="00117237" w:rsidRDefault="008E172D" w:rsidP="00B3034A">
      <w:pPr>
        <w:pStyle w:val="Heading2"/>
        <w:numPr>
          <w:ilvl w:val="0"/>
          <w:numId w:val="0"/>
        </w:numPr>
        <w:ind w:left="567" w:hanging="567"/>
      </w:pPr>
      <w:bookmarkStart w:id="8" w:name="_Toc204168352"/>
      <w:r w:rsidRPr="00117237">
        <w:t>Evaluation findings</w:t>
      </w:r>
      <w:bookmarkEnd w:id="8"/>
      <w:r w:rsidRPr="00117237">
        <w:t xml:space="preserve"> </w:t>
      </w:r>
    </w:p>
    <w:p w14:paraId="13B9444C" w14:textId="0B3D070C" w:rsidR="000903C6" w:rsidRPr="00117237" w:rsidRDefault="005E7615" w:rsidP="008E32DC">
      <w:r w:rsidRPr="00117237">
        <w:t>T</w:t>
      </w:r>
      <w:r w:rsidR="00C359D3" w:rsidRPr="00117237">
        <w:t>AFEs are central to Australia's vocational education and training (VET) sector and are well-positioned to implement whole-of-institution approaches to prevent violence against women due to their significant reach and influence</w:t>
      </w:r>
      <w:r w:rsidR="00CC5D9C" w:rsidRPr="00117237">
        <w:t xml:space="preserve">. Despite their potential, primary prevention work in TAFEs lags behind other </w:t>
      </w:r>
      <w:r w:rsidR="4C457BCC" w:rsidRPr="00117237">
        <w:t>settings</w:t>
      </w:r>
      <w:r w:rsidR="00CC5D9C" w:rsidRPr="00117237">
        <w:t xml:space="preserve"> due to the inherent challenges of designing and implementing such approaches in diverse and complex settings.</w:t>
      </w:r>
      <w:r w:rsidR="00555EFC" w:rsidRPr="00117237">
        <w:rPr>
          <w:rStyle w:val="FootnoteReference"/>
        </w:rPr>
        <w:footnoteReference w:id="2"/>
      </w:r>
      <w:r w:rsidR="00245A73" w:rsidRPr="00117237">
        <w:t xml:space="preserve"> For example </w:t>
      </w:r>
      <w:r w:rsidR="00A56799" w:rsidRPr="00117237">
        <w:t xml:space="preserve">the </w:t>
      </w:r>
      <w:r w:rsidR="0064692D" w:rsidRPr="00117237">
        <w:t>lack of sector wide national requirements</w:t>
      </w:r>
      <w:r w:rsidR="000705B2" w:rsidRPr="00117237">
        <w:t xml:space="preserve"> about primary prevention in VET</w:t>
      </w:r>
      <w:r w:rsidR="006D5718" w:rsidRPr="00117237">
        <w:t xml:space="preserve"> </w:t>
      </w:r>
      <w:r w:rsidR="00592C39" w:rsidRPr="00117237">
        <w:t>and the v</w:t>
      </w:r>
      <w:r w:rsidR="000705B2" w:rsidRPr="00117237">
        <w:t>ariation in</w:t>
      </w:r>
      <w:r w:rsidR="00592C39" w:rsidRPr="00117237">
        <w:t xml:space="preserve"> institutional contexts between TAFEs </w:t>
      </w:r>
      <w:r w:rsidR="00216FD7" w:rsidRPr="00117237">
        <w:t>makes it difficult to implement effective policies</w:t>
      </w:r>
      <w:r w:rsidR="005C5B62" w:rsidRPr="00117237">
        <w:t xml:space="preserve"> consistently</w:t>
      </w:r>
      <w:r w:rsidR="00C01726" w:rsidRPr="00117237">
        <w:t xml:space="preserve">, and means prevention policies for TAFEs aren’t fully embedded into gender equality strategies at a national level. </w:t>
      </w:r>
    </w:p>
    <w:p w14:paraId="26D5C73F" w14:textId="67E51881" w:rsidR="008D197A" w:rsidRPr="00117237" w:rsidRDefault="005E7615" w:rsidP="008E32DC">
      <w:r w:rsidRPr="00117237">
        <w:t>Between 2021 and 2024, the RET2 project</w:t>
      </w:r>
      <w:r w:rsidR="007226F9" w:rsidRPr="00117237">
        <w:t xml:space="preserve"> was</w:t>
      </w:r>
      <w:r w:rsidRPr="00117237">
        <w:t xml:space="preserve"> delivered to five TAFEs across four jurisdictions, adapting the RET Framework to diverse contexts.</w:t>
      </w:r>
      <w:r w:rsidR="00894B0A" w:rsidRPr="00117237">
        <w:t xml:space="preserve"> </w:t>
      </w:r>
      <w:r w:rsidR="00DE2D03" w:rsidRPr="00117237">
        <w:t>RET2 delivered:</w:t>
      </w:r>
    </w:p>
    <w:p w14:paraId="4DF9D23B" w14:textId="1F7C617E" w:rsidR="008D197A" w:rsidRPr="00117237" w:rsidRDefault="008D197A" w:rsidP="00EF2B7F">
      <w:pPr>
        <w:pStyle w:val="ListBullet"/>
      </w:pPr>
      <w:r w:rsidRPr="00117237">
        <w:t xml:space="preserve">A series of </w:t>
      </w:r>
      <w:r w:rsidR="00B93300" w:rsidRPr="00117237">
        <w:t xml:space="preserve">facilitated </w:t>
      </w:r>
      <w:r w:rsidRPr="00117237">
        <w:t>s</w:t>
      </w:r>
      <w:r w:rsidR="00B93300" w:rsidRPr="00117237">
        <w:t>essions</w:t>
      </w:r>
      <w:r w:rsidR="001B0FB8" w:rsidRPr="00117237">
        <w:t xml:space="preserve"> delivered by the Our Watch team</w:t>
      </w:r>
      <w:r w:rsidRPr="00117237">
        <w:t xml:space="preserve"> with the TAFE working group – these were to help guide them through the process of developing their </w:t>
      </w:r>
      <w:r w:rsidR="00231B8C">
        <w:t xml:space="preserve">gender equality </w:t>
      </w:r>
      <w:r w:rsidRPr="00117237">
        <w:t>action plans</w:t>
      </w:r>
      <w:r w:rsidR="001F557E" w:rsidRPr="00117237">
        <w:rPr>
          <w:rStyle w:val="FootnoteReference"/>
        </w:rPr>
        <w:footnoteReference w:id="3"/>
      </w:r>
    </w:p>
    <w:p w14:paraId="0402FC67" w14:textId="77777777" w:rsidR="008D197A" w:rsidRPr="00117237" w:rsidRDefault="008D197A" w:rsidP="00EF2B7F">
      <w:pPr>
        <w:pStyle w:val="ListBullet"/>
      </w:pPr>
      <w:r w:rsidRPr="00117237">
        <w:t>Supporting TAFEs with subject matter expertise on primary prevention through the project team, training, guidance, resources, tools and templates</w:t>
      </w:r>
    </w:p>
    <w:p w14:paraId="01999C2A" w14:textId="6D27172D" w:rsidR="008D197A" w:rsidRPr="00117237" w:rsidRDefault="00485742" w:rsidP="00EF2B7F">
      <w:pPr>
        <w:pStyle w:val="ListBullet"/>
      </w:pPr>
      <w:r w:rsidRPr="00117237">
        <w:t>O</w:t>
      </w:r>
      <w:r w:rsidR="008D197A" w:rsidRPr="00117237">
        <w:t xml:space="preserve">pportunities </w:t>
      </w:r>
      <w:r w:rsidRPr="00117237">
        <w:t xml:space="preserve">for TAFEs </w:t>
      </w:r>
      <w:r w:rsidR="008D197A" w:rsidRPr="00117237">
        <w:t xml:space="preserve">to connect with </w:t>
      </w:r>
      <w:r w:rsidRPr="00117237">
        <w:t>each other</w:t>
      </w:r>
      <w:r w:rsidR="008D197A" w:rsidRPr="00117237">
        <w:t xml:space="preserve"> through their primary prevention journey, including via Co</w:t>
      </w:r>
      <w:r w:rsidR="006A1481" w:rsidRPr="00117237">
        <w:t>mmunities of Practice (</w:t>
      </w:r>
      <w:r w:rsidR="008D197A" w:rsidRPr="00117237">
        <w:t>CoPs</w:t>
      </w:r>
      <w:r w:rsidR="006A1481" w:rsidRPr="00117237">
        <w:t>)</w:t>
      </w:r>
      <w:r w:rsidR="008D197A" w:rsidRPr="00117237">
        <w:t xml:space="preserve"> and </w:t>
      </w:r>
      <w:r w:rsidR="00430895" w:rsidRPr="00117237">
        <w:t>s</w:t>
      </w:r>
      <w:r w:rsidR="008D197A" w:rsidRPr="00117237">
        <w:t xml:space="preserve">ummits with participating TAFEs </w:t>
      </w:r>
    </w:p>
    <w:p w14:paraId="7D08B931" w14:textId="38FE4DC7" w:rsidR="008D197A" w:rsidRPr="00117237" w:rsidRDefault="008D197A" w:rsidP="008D197A">
      <w:r w:rsidRPr="00117237">
        <w:t xml:space="preserve">This allowed TAFEs to progress through the process of developing their gender equality action plans including collecting data on current progress and initiatives and setting up monitoring plans to evaluate future progress against goals. </w:t>
      </w:r>
    </w:p>
    <w:p w14:paraId="59D274CD" w14:textId="4CEF244D" w:rsidR="0020037E" w:rsidRPr="00117237" w:rsidRDefault="0020037E" w:rsidP="008E32DC">
      <w:r w:rsidRPr="00117237">
        <w:t>There were some challenges in implementation</w:t>
      </w:r>
      <w:r w:rsidR="00C0529D" w:rsidRPr="00117237">
        <w:t>, including:</w:t>
      </w:r>
    </w:p>
    <w:p w14:paraId="4EE3B785" w14:textId="0765A89E" w:rsidR="00883C92" w:rsidRPr="00117237" w:rsidRDefault="00883C92" w:rsidP="007B092D">
      <w:pPr>
        <w:pStyle w:val="ListBullet"/>
      </w:pPr>
      <w:r w:rsidRPr="00117237">
        <w:rPr>
          <w:lang w:eastAsia="en-AU"/>
        </w:rPr>
        <w:t>Significant variation between TAFE contexts influenced the implementation of RET2</w:t>
      </w:r>
    </w:p>
    <w:p w14:paraId="172DBB43" w14:textId="7EB2287F" w:rsidR="00883C92" w:rsidRPr="00117237" w:rsidRDefault="007B092D" w:rsidP="002A3AC1">
      <w:pPr>
        <w:pStyle w:val="ListBullet"/>
      </w:pPr>
      <w:r w:rsidRPr="00117237">
        <w:rPr>
          <w:lang w:eastAsia="en-AU"/>
        </w:rPr>
        <w:t xml:space="preserve">A lack of authorising environment </w:t>
      </w:r>
      <w:r w:rsidR="00CF176A" w:rsidRPr="00117237">
        <w:rPr>
          <w:lang w:eastAsia="en-AU"/>
        </w:rPr>
        <w:t xml:space="preserve">at the system level </w:t>
      </w:r>
      <w:r w:rsidRPr="00117237">
        <w:rPr>
          <w:lang w:eastAsia="en-AU"/>
        </w:rPr>
        <w:t xml:space="preserve">caused delays in getting the work off the ground and required the Our Watch team to use alternative mechanisms to </w:t>
      </w:r>
      <w:r w:rsidR="2155E1A9" w:rsidRPr="00117237">
        <w:rPr>
          <w:lang w:eastAsia="en-AU"/>
        </w:rPr>
        <w:t>engage</w:t>
      </w:r>
      <w:r w:rsidRPr="00117237">
        <w:rPr>
          <w:lang w:eastAsia="en-AU"/>
        </w:rPr>
        <w:t xml:space="preserve"> TAFEs. The</w:t>
      </w:r>
      <w:r w:rsidR="00883C92" w:rsidRPr="00117237">
        <w:rPr>
          <w:lang w:eastAsia="en-AU"/>
        </w:rPr>
        <w:t>se delays:</w:t>
      </w:r>
    </w:p>
    <w:p w14:paraId="549165B5" w14:textId="502132BC" w:rsidR="007B092D" w:rsidRPr="00117237" w:rsidRDefault="00883C92" w:rsidP="00756D65">
      <w:pPr>
        <w:pStyle w:val="ListBullet"/>
        <w:numPr>
          <w:ilvl w:val="0"/>
          <w:numId w:val="38"/>
        </w:numPr>
        <w:rPr>
          <w:lang w:eastAsia="en-AU"/>
        </w:rPr>
      </w:pPr>
      <w:r w:rsidRPr="00117237">
        <w:rPr>
          <w:lang w:eastAsia="en-AU"/>
        </w:rPr>
        <w:lastRenderedPageBreak/>
        <w:t>I</w:t>
      </w:r>
      <w:r w:rsidR="007B092D" w:rsidRPr="00117237">
        <w:rPr>
          <w:lang w:eastAsia="en-AU"/>
        </w:rPr>
        <w:t xml:space="preserve">nfluenced the strategic decision to forgo engaging system actors </w:t>
      </w:r>
      <w:r w:rsidR="00E22CB6" w:rsidRPr="00117237">
        <w:rPr>
          <w:lang w:eastAsia="en-AU"/>
        </w:rPr>
        <w:t>in the form</w:t>
      </w:r>
      <w:r w:rsidR="007B092D" w:rsidRPr="00117237">
        <w:rPr>
          <w:lang w:eastAsia="en-AU"/>
        </w:rPr>
        <w:t xml:space="preserve"> initially planned</w:t>
      </w:r>
    </w:p>
    <w:p w14:paraId="223091A9" w14:textId="5E83D54D" w:rsidR="00470DCC" w:rsidRPr="00117237" w:rsidRDefault="00883C92" w:rsidP="00756D65">
      <w:pPr>
        <w:pStyle w:val="ListBullet"/>
        <w:numPr>
          <w:ilvl w:val="0"/>
          <w:numId w:val="38"/>
        </w:numPr>
      </w:pPr>
      <w:r w:rsidRPr="00117237">
        <w:t>Impacted the time it took to</w:t>
      </w:r>
      <w:r w:rsidR="00470DCC" w:rsidRPr="00117237">
        <w:t xml:space="preserve"> engag</w:t>
      </w:r>
      <w:r w:rsidRPr="00117237">
        <w:t>e</w:t>
      </w:r>
      <w:r w:rsidR="00470DCC" w:rsidRPr="00117237">
        <w:t xml:space="preserve"> TAFEs and</w:t>
      </w:r>
      <w:r w:rsidRPr="00117237">
        <w:t xml:space="preserve"> for them to</w:t>
      </w:r>
      <w:r w:rsidR="00470DCC" w:rsidRPr="00117237">
        <w:t xml:space="preserve"> complet</w:t>
      </w:r>
      <w:r w:rsidRPr="00117237">
        <w:t>e</w:t>
      </w:r>
      <w:r w:rsidR="00470DCC" w:rsidRPr="00117237">
        <w:t xml:space="preserve"> project activities </w:t>
      </w:r>
    </w:p>
    <w:p w14:paraId="598BEAEB" w14:textId="5E166915" w:rsidR="007E3F1E" w:rsidRPr="00117237" w:rsidRDefault="0097057F" w:rsidP="008E32DC">
      <w:r w:rsidRPr="00117237">
        <w:t xml:space="preserve">These challenges were generally effectively managed and overcome </w:t>
      </w:r>
      <w:r w:rsidR="008923C0" w:rsidRPr="00117237">
        <w:t>due to the responsiveness and adaptability of the project team</w:t>
      </w:r>
      <w:r w:rsidR="00F24D1D" w:rsidRPr="00117237">
        <w:t>, supported by the project principles</w:t>
      </w:r>
      <w:r w:rsidR="008923C0" w:rsidRPr="00117237">
        <w:t>.</w:t>
      </w:r>
    </w:p>
    <w:p w14:paraId="03D6373E" w14:textId="0CC3B1DF" w:rsidR="00551121" w:rsidRPr="00117237" w:rsidRDefault="009E41FC" w:rsidP="000B7AC3">
      <w:r w:rsidRPr="00117237">
        <w:t>RET2</w:t>
      </w:r>
      <w:r w:rsidR="007E3F1E" w:rsidRPr="00117237">
        <w:t xml:space="preserve"> has</w:t>
      </w:r>
      <w:r w:rsidRPr="00117237">
        <w:t xml:space="preserve"> produced positive outcomes</w:t>
      </w:r>
      <w:r w:rsidR="007E3F1E" w:rsidRPr="00117237">
        <w:t>, including:</w:t>
      </w:r>
    </w:p>
    <w:p w14:paraId="39EC6B87" w14:textId="5AF4F0F3" w:rsidR="009E41FC" w:rsidRPr="00117237" w:rsidRDefault="009E41FC" w:rsidP="00462C12">
      <w:pPr>
        <w:pStyle w:val="ListBullet"/>
      </w:pPr>
      <w:r w:rsidRPr="00117237">
        <w:rPr>
          <w:b/>
        </w:rPr>
        <w:t>Foundational changes</w:t>
      </w:r>
      <w:r w:rsidR="00BB0A30" w:rsidRPr="00117237">
        <w:rPr>
          <w:b/>
          <w:bCs/>
        </w:rPr>
        <w:t xml:space="preserve"> </w:t>
      </w:r>
      <w:r w:rsidR="002E79F7" w:rsidRPr="00117237">
        <w:t>–</w:t>
      </w:r>
      <w:r w:rsidR="00BB0A30" w:rsidRPr="00117237">
        <w:t xml:space="preserve"> m</w:t>
      </w:r>
      <w:r w:rsidRPr="00117237">
        <w:t xml:space="preserve">ost TAFEs developed their first </w:t>
      </w:r>
      <w:r w:rsidR="00483F63" w:rsidRPr="00117237">
        <w:t>g</w:t>
      </w:r>
      <w:r w:rsidRPr="00117237">
        <w:t xml:space="preserve">ender </w:t>
      </w:r>
      <w:r w:rsidR="00483F63" w:rsidRPr="00117237">
        <w:t>e</w:t>
      </w:r>
      <w:r w:rsidRPr="00117237">
        <w:t xml:space="preserve">quality </w:t>
      </w:r>
      <w:r w:rsidR="00483F63" w:rsidRPr="00117237">
        <w:t>a</w:t>
      </w:r>
      <w:r w:rsidRPr="00117237">
        <w:t xml:space="preserve">ction </w:t>
      </w:r>
      <w:r w:rsidR="00483F63" w:rsidRPr="00117237">
        <w:t>p</w:t>
      </w:r>
      <w:r w:rsidRPr="00117237">
        <w:t>lans</w:t>
      </w:r>
      <w:r w:rsidR="00483F63" w:rsidRPr="00117237">
        <w:t xml:space="preserve">, </w:t>
      </w:r>
      <w:r w:rsidRPr="00117237">
        <w:t>focusing on achievable goals such as policy reviews, inclusive language adjustments, and monitoring processes</w:t>
      </w:r>
    </w:p>
    <w:p w14:paraId="3DE5F5C1" w14:textId="3ACC1B2A" w:rsidR="009E41FC" w:rsidRPr="00117237" w:rsidRDefault="009E41FC" w:rsidP="00462C12">
      <w:pPr>
        <w:pStyle w:val="ListBullet"/>
      </w:pPr>
      <w:r w:rsidRPr="00117237">
        <w:rPr>
          <w:b/>
        </w:rPr>
        <w:t>Individual impact</w:t>
      </w:r>
      <w:r w:rsidR="00BB0A30" w:rsidRPr="00117237">
        <w:rPr>
          <w:b/>
          <w:bCs/>
        </w:rPr>
        <w:t xml:space="preserve"> </w:t>
      </w:r>
      <w:r w:rsidR="002E79F7" w:rsidRPr="00117237">
        <w:t>–</w:t>
      </w:r>
      <w:r w:rsidR="00BB0A30" w:rsidRPr="00117237">
        <w:rPr>
          <w:b/>
          <w:bCs/>
        </w:rPr>
        <w:t xml:space="preserve"> </w:t>
      </w:r>
      <w:r w:rsidR="00BB0A30" w:rsidRPr="00117237">
        <w:t>p</w:t>
      </w:r>
      <w:r w:rsidRPr="00117237">
        <w:t>articipants reported increased understanding of gender equality and confidence in addressing primary prevention within their institutions</w:t>
      </w:r>
    </w:p>
    <w:p w14:paraId="3A11D38A" w14:textId="599FDD88" w:rsidR="009E41FC" w:rsidRPr="00117237" w:rsidRDefault="009E41FC" w:rsidP="00462C12">
      <w:pPr>
        <w:pStyle w:val="ListBullet"/>
      </w:pPr>
      <w:r w:rsidRPr="00117237">
        <w:rPr>
          <w:b/>
        </w:rPr>
        <w:t>Institutional impact</w:t>
      </w:r>
      <w:r w:rsidRPr="00117237">
        <w:t xml:space="preserve"> </w:t>
      </w:r>
      <w:r w:rsidR="002E79F7" w:rsidRPr="00117237">
        <w:t>–</w:t>
      </w:r>
      <w:r w:rsidR="00BB0A30" w:rsidRPr="00117237">
        <w:t xml:space="preserve"> e</w:t>
      </w:r>
      <w:r w:rsidRPr="00117237">
        <w:t>xamples of change included revised recruitment practices, inclusion-focused enterprise agreements, and greater integration of gender equality into teaching practices</w:t>
      </w:r>
    </w:p>
    <w:p w14:paraId="58ED3A96" w14:textId="0CD58928" w:rsidR="009E41FC" w:rsidRPr="00117237" w:rsidRDefault="009E41FC" w:rsidP="00462C12">
      <w:pPr>
        <w:pStyle w:val="ListBullet"/>
      </w:pPr>
      <w:r w:rsidRPr="00117237">
        <w:rPr>
          <w:b/>
        </w:rPr>
        <w:t>Sector-wide impact</w:t>
      </w:r>
      <w:r w:rsidRPr="00117237">
        <w:t xml:space="preserve"> </w:t>
      </w:r>
      <w:r w:rsidR="00006310" w:rsidRPr="00117237">
        <w:t>–</w:t>
      </w:r>
      <w:r w:rsidRPr="00117237">
        <w:t xml:space="preserve"> </w:t>
      </w:r>
      <w:r w:rsidR="00006310" w:rsidRPr="00117237">
        <w:t>CoPs</w:t>
      </w:r>
      <w:r w:rsidRPr="00117237">
        <w:t xml:space="preserve"> enabled knowledge sharing across jurisdictions</w:t>
      </w:r>
    </w:p>
    <w:p w14:paraId="2D8EDFD2" w14:textId="4B34EA8E" w:rsidR="00660764" w:rsidRPr="00117237" w:rsidRDefault="007E3F1E" w:rsidP="008E32DC">
      <w:r w:rsidRPr="00117237">
        <w:t>Le</w:t>
      </w:r>
      <w:r w:rsidR="00164170" w:rsidRPr="00117237">
        <w:t xml:space="preserve">adership buy-in and embedding </w:t>
      </w:r>
      <w:r w:rsidR="004042D3" w:rsidRPr="00117237">
        <w:t>gender equality action plans</w:t>
      </w:r>
      <w:r w:rsidR="00164170" w:rsidRPr="00117237">
        <w:t xml:space="preserve"> within broader organisational strategies </w:t>
      </w:r>
      <w:r w:rsidR="008E32DC" w:rsidRPr="00117237">
        <w:t xml:space="preserve">led to more significant changes (such as in policy and practice). </w:t>
      </w:r>
      <w:r w:rsidRPr="00117237">
        <w:t xml:space="preserve">Some TAFEs showed evidence of sustainability of both the changes and ongoing commitment to promoting gender equality and </w:t>
      </w:r>
      <w:r w:rsidR="007B2E13" w:rsidRPr="00117237">
        <w:t xml:space="preserve">preventing violence against women. </w:t>
      </w:r>
      <w:r w:rsidR="008E32DC" w:rsidRPr="00117237">
        <w:t>For some TAFEs, r</w:t>
      </w:r>
      <w:r w:rsidR="00660764" w:rsidRPr="00117237">
        <w:t xml:space="preserve">eliance on individual champions </w:t>
      </w:r>
      <w:r w:rsidR="008E32DC" w:rsidRPr="00117237">
        <w:t xml:space="preserve">may pose a risk to sustainability, and the reduction in support from Our Watch </w:t>
      </w:r>
      <w:r w:rsidR="00C06EF1" w:rsidRPr="00117237">
        <w:t>may</w:t>
      </w:r>
      <w:r w:rsidR="008E32DC" w:rsidRPr="00117237">
        <w:t xml:space="preserve"> mean work loses momentum</w:t>
      </w:r>
      <w:r w:rsidR="00660764" w:rsidRPr="00117237">
        <w:t>.</w:t>
      </w:r>
    </w:p>
    <w:p w14:paraId="5EB65B05" w14:textId="2A02F7C6" w:rsidR="008E172D" w:rsidRPr="00117237" w:rsidRDefault="008E172D" w:rsidP="00B3034A">
      <w:pPr>
        <w:pStyle w:val="Heading2"/>
        <w:numPr>
          <w:ilvl w:val="0"/>
          <w:numId w:val="0"/>
        </w:numPr>
      </w:pPr>
      <w:bookmarkStart w:id="9" w:name="_Toc204168353"/>
      <w:r w:rsidRPr="00117237">
        <w:t>Key le</w:t>
      </w:r>
      <w:r w:rsidR="005D51DE" w:rsidRPr="00117237">
        <w:t>arnings</w:t>
      </w:r>
      <w:r w:rsidRPr="00117237">
        <w:t xml:space="preserve"> and future considerations</w:t>
      </w:r>
      <w:bookmarkEnd w:id="9"/>
      <w:r w:rsidRPr="00117237">
        <w:t xml:space="preserve"> </w:t>
      </w:r>
    </w:p>
    <w:p w14:paraId="0EE3A145" w14:textId="3E42DE18" w:rsidR="00D37B36" w:rsidRPr="00117237" w:rsidRDefault="00D8499B" w:rsidP="00846F53">
      <w:r w:rsidRPr="00117237">
        <w:t xml:space="preserve">The RET2 project laid </w:t>
      </w:r>
      <w:r w:rsidR="00D61FD6" w:rsidRPr="00117237">
        <w:t xml:space="preserve">strong </w:t>
      </w:r>
      <w:r w:rsidRPr="00117237">
        <w:t xml:space="preserve">foundations for promoting gender equality in TAFE settings through a whole-of-institution approach. </w:t>
      </w:r>
      <w:r w:rsidR="00D4610E" w:rsidRPr="00117237">
        <w:t>It</w:t>
      </w:r>
      <w:r w:rsidRPr="00117237">
        <w:t xml:space="preserve"> generated valuable insights into what works for fostering systemic change in vocational education settings.</w:t>
      </w:r>
    </w:p>
    <w:p w14:paraId="518032F0" w14:textId="3FD6B13D" w:rsidR="008E172D" w:rsidRPr="00117237" w:rsidRDefault="00314985" w:rsidP="00846F53">
      <w:r w:rsidRPr="00117237">
        <w:t xml:space="preserve">Effective approaches </w:t>
      </w:r>
      <w:r w:rsidR="00544F5F" w:rsidRPr="00117237">
        <w:t>to</w:t>
      </w:r>
      <w:r w:rsidR="0052217A" w:rsidRPr="00117237">
        <w:t xml:space="preserve"> engaging with TAFEs and </w:t>
      </w:r>
      <w:r w:rsidR="00544F5F" w:rsidRPr="00117237">
        <w:t xml:space="preserve">supporting changes in </w:t>
      </w:r>
      <w:r w:rsidR="00BA0926" w:rsidRPr="00117237">
        <w:t xml:space="preserve">practice </w:t>
      </w:r>
      <w:r w:rsidR="00544F5F" w:rsidRPr="00117237">
        <w:t>to promote gender equality and prevent violence against women</w:t>
      </w:r>
      <w:r w:rsidRPr="00117237">
        <w:t xml:space="preserve"> should</w:t>
      </w:r>
      <w:r w:rsidR="00846F53" w:rsidRPr="00117237">
        <w:t>:</w:t>
      </w:r>
    </w:p>
    <w:p w14:paraId="0CF7D4A1" w14:textId="3DCACA04" w:rsidR="00CE3C6F" w:rsidRPr="00117237" w:rsidRDefault="00CE3C6F" w:rsidP="00756D65">
      <w:pPr>
        <w:numPr>
          <w:ilvl w:val="0"/>
          <w:numId w:val="21"/>
        </w:numPr>
      </w:pPr>
      <w:r w:rsidRPr="00117237">
        <w:rPr>
          <w:b/>
          <w:bCs/>
        </w:rPr>
        <w:t>Tailo</w:t>
      </w:r>
      <w:r w:rsidR="0030675C" w:rsidRPr="00117237">
        <w:rPr>
          <w:b/>
          <w:bCs/>
        </w:rPr>
        <w:t>r</w:t>
      </w:r>
      <w:r w:rsidRPr="00117237">
        <w:rPr>
          <w:b/>
          <w:bCs/>
        </w:rPr>
        <w:t xml:space="preserve"> engagement</w:t>
      </w:r>
      <w:r w:rsidR="00CC1284" w:rsidRPr="00117237">
        <w:rPr>
          <w:b/>
          <w:bCs/>
        </w:rPr>
        <w:t xml:space="preserve"> approaches</w:t>
      </w:r>
      <w:r w:rsidR="00105708" w:rsidRPr="00117237">
        <w:rPr>
          <w:b/>
          <w:bCs/>
        </w:rPr>
        <w:t>.</w:t>
      </w:r>
      <w:r w:rsidRPr="00117237">
        <w:t xml:space="preserve"> Flexibility to adapt resources and approaches based on each TAFE’s context was critical</w:t>
      </w:r>
      <w:r w:rsidR="00CC1284" w:rsidRPr="00117237">
        <w:t xml:space="preserve"> </w:t>
      </w:r>
      <w:r w:rsidR="007B2E13" w:rsidRPr="00117237">
        <w:t>to engaging TAFEs, building relationships, and creating an environment for learning and progress</w:t>
      </w:r>
      <w:r w:rsidRPr="00117237">
        <w:t>.</w:t>
      </w:r>
      <w:r w:rsidR="00EE4F8D" w:rsidRPr="00117237">
        <w:t xml:space="preserve"> </w:t>
      </w:r>
      <w:r w:rsidR="00F84E54" w:rsidRPr="00117237">
        <w:t xml:space="preserve">This adaptation and iteration required a </w:t>
      </w:r>
      <w:r w:rsidR="00EE4F8D" w:rsidRPr="00117237">
        <w:t>sufficient time investme</w:t>
      </w:r>
      <w:r w:rsidR="00651F01" w:rsidRPr="00117237">
        <w:t>nt</w:t>
      </w:r>
      <w:r w:rsidR="00EE4F8D" w:rsidRPr="00117237">
        <w:t xml:space="preserve">. </w:t>
      </w:r>
    </w:p>
    <w:p w14:paraId="1AA4DC2A" w14:textId="4DE3E911" w:rsidR="00CE3C6F" w:rsidRPr="00117237" w:rsidRDefault="0030675C" w:rsidP="00756D65">
      <w:pPr>
        <w:numPr>
          <w:ilvl w:val="0"/>
          <w:numId w:val="21"/>
        </w:numPr>
      </w:pPr>
      <w:r w:rsidRPr="00117237">
        <w:rPr>
          <w:b/>
          <w:bCs/>
        </w:rPr>
        <w:t>Support the work with</w:t>
      </w:r>
      <w:r w:rsidR="00CE3C6F" w:rsidRPr="00117237">
        <w:rPr>
          <w:b/>
          <w:bCs/>
        </w:rPr>
        <w:t xml:space="preserve"> </w:t>
      </w:r>
      <w:r w:rsidRPr="00117237">
        <w:rPr>
          <w:b/>
          <w:bCs/>
        </w:rPr>
        <w:t xml:space="preserve">resourced backbone </w:t>
      </w:r>
      <w:r w:rsidR="00CE3C6F" w:rsidRPr="00117237">
        <w:rPr>
          <w:b/>
          <w:bCs/>
        </w:rPr>
        <w:t>relationships</w:t>
      </w:r>
      <w:r w:rsidR="00105708" w:rsidRPr="00117237">
        <w:rPr>
          <w:b/>
          <w:bCs/>
        </w:rPr>
        <w:t>.</w:t>
      </w:r>
      <w:r w:rsidR="00CE3C6F" w:rsidRPr="00117237">
        <w:rPr>
          <w:b/>
        </w:rPr>
        <w:t xml:space="preserve"> </w:t>
      </w:r>
      <w:r w:rsidR="00F84E54" w:rsidRPr="00117237">
        <w:t>This requires t</w:t>
      </w:r>
      <w:r w:rsidR="00CE3C6F" w:rsidRPr="00117237">
        <w:t>rust-building through consistent communication</w:t>
      </w:r>
      <w:r w:rsidR="00AC53B7" w:rsidRPr="00117237">
        <w:t xml:space="preserve">, </w:t>
      </w:r>
      <w:r w:rsidR="00CE3C6F" w:rsidRPr="00117237">
        <w:t xml:space="preserve">in-person engagement </w:t>
      </w:r>
      <w:r w:rsidR="004243FB" w:rsidRPr="00117237">
        <w:t xml:space="preserve">and regular check-ins </w:t>
      </w:r>
      <w:r w:rsidR="00CE3C6F" w:rsidRPr="00117237">
        <w:t>fostered commitment</w:t>
      </w:r>
      <w:r w:rsidR="007B2E13" w:rsidRPr="00117237">
        <w:t xml:space="preserve"> to the work</w:t>
      </w:r>
      <w:r w:rsidR="00CE3C6F" w:rsidRPr="00117237">
        <w:t>.</w:t>
      </w:r>
      <w:r w:rsidR="00F84E54" w:rsidRPr="00117237">
        <w:t xml:space="preserve"> Critically, the resourcing of this needs to provide sufficient time and capacity to engage and build relationships.</w:t>
      </w:r>
    </w:p>
    <w:p w14:paraId="419EE929" w14:textId="4CD491BB" w:rsidR="00CE3C6F" w:rsidRPr="00117237" w:rsidRDefault="002762EE" w:rsidP="00756D65">
      <w:pPr>
        <w:numPr>
          <w:ilvl w:val="0"/>
          <w:numId w:val="21"/>
        </w:numPr>
      </w:pPr>
      <w:r w:rsidRPr="00117237">
        <w:rPr>
          <w:b/>
          <w:bCs/>
        </w:rPr>
        <w:t>Be clear on the value of</w:t>
      </w:r>
      <w:r w:rsidR="00750E2B" w:rsidRPr="00117237">
        <w:rPr>
          <w:b/>
          <w:bCs/>
        </w:rPr>
        <w:t xml:space="preserve"> l</w:t>
      </w:r>
      <w:r w:rsidR="00CE3C6F" w:rsidRPr="00117237">
        <w:rPr>
          <w:b/>
          <w:bCs/>
        </w:rPr>
        <w:t>eadership buy-in</w:t>
      </w:r>
      <w:r w:rsidR="00105708" w:rsidRPr="00117237">
        <w:rPr>
          <w:b/>
          <w:bCs/>
        </w:rPr>
        <w:t>.</w:t>
      </w:r>
      <w:r w:rsidR="00CE3C6F" w:rsidRPr="00117237">
        <w:t xml:space="preserve"> </w:t>
      </w:r>
      <w:r w:rsidR="00B37129" w:rsidRPr="00117237">
        <w:t>TAFE</w:t>
      </w:r>
      <w:r w:rsidR="00503000" w:rsidRPr="00117237">
        <w:t>s</w:t>
      </w:r>
      <w:r w:rsidR="00B37129" w:rsidRPr="00117237">
        <w:t xml:space="preserve"> with e</w:t>
      </w:r>
      <w:r w:rsidR="00CE3C6F" w:rsidRPr="00117237">
        <w:t>xecutive sponsorship</w:t>
      </w:r>
      <w:r w:rsidR="00B37129" w:rsidRPr="00117237">
        <w:t xml:space="preserve"> and engagement were more likely to</w:t>
      </w:r>
      <w:r w:rsidRPr="00117237">
        <w:t xml:space="preserve"> show evidence of sustainability of changes, particularly where the work was embedded in broader strategies. </w:t>
      </w:r>
    </w:p>
    <w:p w14:paraId="0863A2B0" w14:textId="444B7CFB" w:rsidR="00CE3C6F" w:rsidRPr="00117237" w:rsidRDefault="0030675C" w:rsidP="00756D65">
      <w:pPr>
        <w:numPr>
          <w:ilvl w:val="0"/>
          <w:numId w:val="21"/>
        </w:numPr>
      </w:pPr>
      <w:r w:rsidRPr="00117237">
        <w:rPr>
          <w:b/>
          <w:bCs/>
        </w:rPr>
        <w:t>Provide m</w:t>
      </w:r>
      <w:r w:rsidR="008C1C7E" w:rsidRPr="00117237">
        <w:rPr>
          <w:b/>
          <w:bCs/>
        </w:rPr>
        <w:t>echanisms for learning and accountability</w:t>
      </w:r>
      <w:r w:rsidR="00105708" w:rsidRPr="00117237">
        <w:rPr>
          <w:b/>
          <w:bCs/>
        </w:rPr>
        <w:t>.</w:t>
      </w:r>
      <w:r w:rsidR="00CE3C6F" w:rsidRPr="00117237">
        <w:t xml:space="preserve"> Regular working group meetings, CoPs, and summits provided accountability and shared learning opportunities.</w:t>
      </w:r>
      <w:r w:rsidR="00B37129" w:rsidRPr="00117237">
        <w:t xml:space="preserve"> This supported engagement and gave mechanisms for participation and </w:t>
      </w:r>
      <w:r w:rsidR="0042384B" w:rsidRPr="00117237">
        <w:t xml:space="preserve">knowledge sharing. </w:t>
      </w:r>
    </w:p>
    <w:p w14:paraId="16272983" w14:textId="404B6E4B" w:rsidR="00402448" w:rsidRPr="00117237" w:rsidRDefault="0030675C" w:rsidP="00756D65">
      <w:pPr>
        <w:numPr>
          <w:ilvl w:val="0"/>
          <w:numId w:val="21"/>
        </w:numPr>
      </w:pPr>
      <w:r w:rsidRPr="00117237">
        <w:rPr>
          <w:b/>
          <w:bCs/>
        </w:rPr>
        <w:t>Establish</w:t>
      </w:r>
      <w:r w:rsidR="00780A37" w:rsidRPr="00117237">
        <w:rPr>
          <w:b/>
          <w:bCs/>
        </w:rPr>
        <w:t xml:space="preserve"> clear authorising environment</w:t>
      </w:r>
      <w:r w:rsidRPr="00117237">
        <w:rPr>
          <w:b/>
          <w:bCs/>
        </w:rPr>
        <w:t>s</w:t>
      </w:r>
      <w:r w:rsidR="00105708" w:rsidRPr="00117237">
        <w:rPr>
          <w:b/>
          <w:bCs/>
        </w:rPr>
        <w:t>.</w:t>
      </w:r>
      <w:r w:rsidR="00780A37" w:rsidRPr="00117237">
        <w:t xml:space="preserve"> Future projects should secure system-level support from governments or regulatory bodies to create </w:t>
      </w:r>
      <w:r w:rsidR="00FC0689" w:rsidRPr="00117237">
        <w:t>impetus</w:t>
      </w:r>
      <w:r w:rsidR="00780A37" w:rsidRPr="00117237">
        <w:t xml:space="preserve"> for participation.</w:t>
      </w:r>
    </w:p>
    <w:p w14:paraId="343B3E75" w14:textId="55196F71" w:rsidR="00BC70E1" w:rsidRPr="00117237" w:rsidRDefault="00BC70E1" w:rsidP="00756D65">
      <w:pPr>
        <w:numPr>
          <w:ilvl w:val="0"/>
          <w:numId w:val="21"/>
        </w:numPr>
      </w:pPr>
      <w:r w:rsidRPr="00117237">
        <w:rPr>
          <w:b/>
          <w:bCs/>
        </w:rPr>
        <w:t>Work with TAFEs to identify opportunities to embed change</w:t>
      </w:r>
      <w:r w:rsidR="00105708" w:rsidRPr="00117237">
        <w:rPr>
          <w:b/>
          <w:bCs/>
        </w:rPr>
        <w:t>.</w:t>
      </w:r>
      <w:r w:rsidRPr="00117237">
        <w:t xml:space="preserve"> Integrating gender equality into broader strategies (e.g., diversity frameworks) can mitigate reliance on individual champions</w:t>
      </w:r>
      <w:r w:rsidR="00D15EDA" w:rsidRPr="00117237">
        <w:t xml:space="preserve"> and insulate the work against resistance and backlash</w:t>
      </w:r>
      <w:r w:rsidRPr="00117237">
        <w:t>.</w:t>
      </w:r>
    </w:p>
    <w:p w14:paraId="7357F81D" w14:textId="0BC0811D" w:rsidR="00B028BA" w:rsidRPr="00117237" w:rsidRDefault="00580CEE" w:rsidP="00846F53">
      <w:r w:rsidRPr="00117237">
        <w:t>To unlock</w:t>
      </w:r>
      <w:r w:rsidR="00D8499B" w:rsidRPr="00117237">
        <w:t xml:space="preserve"> the full potential of the VET sector as a key setting for primary prevention of violence against women</w:t>
      </w:r>
      <w:r w:rsidRPr="00117237">
        <w:t xml:space="preserve">, Our Watch </w:t>
      </w:r>
      <w:r w:rsidR="00AA477C" w:rsidRPr="00117237">
        <w:t>should</w:t>
      </w:r>
      <w:r w:rsidRPr="00117237">
        <w:t>:</w:t>
      </w:r>
    </w:p>
    <w:p w14:paraId="2EA54263" w14:textId="5D7C070E" w:rsidR="00E7390A" w:rsidRPr="00117237" w:rsidRDefault="00E7390A" w:rsidP="00756D65">
      <w:pPr>
        <w:numPr>
          <w:ilvl w:val="0"/>
          <w:numId w:val="25"/>
        </w:numPr>
      </w:pPr>
      <w:r w:rsidRPr="00117237">
        <w:rPr>
          <w:b/>
        </w:rPr>
        <w:t>Enhance internal capability</w:t>
      </w:r>
      <w:r w:rsidRPr="00117237">
        <w:rPr>
          <w:b/>
          <w:bCs/>
        </w:rPr>
        <w:t>.</w:t>
      </w:r>
      <w:r w:rsidRPr="00117237">
        <w:rPr>
          <w:b/>
        </w:rPr>
        <w:t xml:space="preserve"> </w:t>
      </w:r>
      <w:r w:rsidRPr="00117237">
        <w:t>Continue to strengthen Our Watch’s organisational understanding of the VET sector's complexities, cultural differences from higher education, and opportunities for industry collaboration.</w:t>
      </w:r>
    </w:p>
    <w:p w14:paraId="10655E8E" w14:textId="1334A093" w:rsidR="00136970" w:rsidRPr="00117237" w:rsidRDefault="004A0BFE" w:rsidP="00756D65">
      <w:pPr>
        <w:numPr>
          <w:ilvl w:val="0"/>
          <w:numId w:val="25"/>
        </w:numPr>
      </w:pPr>
      <w:r w:rsidRPr="00117237">
        <w:rPr>
          <w:b/>
          <w:bCs/>
        </w:rPr>
        <w:t xml:space="preserve">Leverage the learnings </w:t>
      </w:r>
      <w:r w:rsidR="00FA6F84" w:rsidRPr="00117237">
        <w:rPr>
          <w:b/>
          <w:bCs/>
        </w:rPr>
        <w:t>of RET2</w:t>
      </w:r>
      <w:r w:rsidRPr="00117237">
        <w:rPr>
          <w:b/>
          <w:bCs/>
        </w:rPr>
        <w:t xml:space="preserve"> as </w:t>
      </w:r>
      <w:r w:rsidR="00635107" w:rsidRPr="00117237">
        <w:rPr>
          <w:b/>
          <w:bCs/>
        </w:rPr>
        <w:t>the work</w:t>
      </w:r>
      <w:r w:rsidRPr="00117237">
        <w:rPr>
          <w:b/>
          <w:bCs/>
        </w:rPr>
        <w:t xml:space="preserve"> </w:t>
      </w:r>
      <w:r w:rsidR="00FA6F84" w:rsidRPr="00117237">
        <w:rPr>
          <w:b/>
          <w:bCs/>
        </w:rPr>
        <w:t xml:space="preserve">continues to </w:t>
      </w:r>
      <w:r w:rsidRPr="00117237">
        <w:rPr>
          <w:b/>
          <w:bCs/>
        </w:rPr>
        <w:t>scale</w:t>
      </w:r>
      <w:r w:rsidR="00651F01" w:rsidRPr="00117237">
        <w:rPr>
          <w:b/>
          <w:bCs/>
        </w:rPr>
        <w:t>, by:</w:t>
      </w:r>
    </w:p>
    <w:p w14:paraId="3A081BE1" w14:textId="7F651D29" w:rsidR="00136970" w:rsidRPr="00117237" w:rsidRDefault="00DB3C98" w:rsidP="00756D65">
      <w:pPr>
        <w:numPr>
          <w:ilvl w:val="1"/>
          <w:numId w:val="41"/>
        </w:numPr>
      </w:pPr>
      <w:r w:rsidRPr="00117237">
        <w:lastRenderedPageBreak/>
        <w:t>Advocat</w:t>
      </w:r>
      <w:r w:rsidR="00651F01" w:rsidRPr="00117237">
        <w:t>ing</w:t>
      </w:r>
      <w:r w:rsidRPr="00117237">
        <w:t xml:space="preserve"> to funders to</w:t>
      </w:r>
      <w:r w:rsidR="00DD4628" w:rsidRPr="00117237">
        <w:rPr>
          <w:rFonts w:ascii="Arial Narrow" w:hAnsi="Arial Narrow" w:cs="Calibri"/>
          <w:color w:val="000000"/>
        </w:rPr>
        <w:t xml:space="preserve"> support this work </w:t>
      </w:r>
      <w:r w:rsidR="00B25847" w:rsidRPr="00117237">
        <w:rPr>
          <w:rFonts w:ascii="Arial Narrow" w:hAnsi="Arial Narrow" w:cs="Calibri"/>
          <w:color w:val="000000"/>
        </w:rPr>
        <w:t>by factoring in</w:t>
      </w:r>
      <w:r w:rsidR="00651F01" w:rsidRPr="00117237">
        <w:rPr>
          <w:rFonts w:ascii="Arial Narrow" w:hAnsi="Arial Narrow" w:cs="Calibri"/>
          <w:color w:val="000000"/>
        </w:rPr>
        <w:t xml:space="preserve"> the</w:t>
      </w:r>
      <w:r w:rsidR="00263C2C" w:rsidRPr="00117237">
        <w:rPr>
          <w:rFonts w:ascii="Arial Narrow" w:hAnsi="Arial Narrow" w:cs="Calibri"/>
          <w:color w:val="000000"/>
        </w:rPr>
        <w:t xml:space="preserve"> policy levers </w:t>
      </w:r>
      <w:r w:rsidR="009452B4" w:rsidRPr="00117237">
        <w:rPr>
          <w:rFonts w:ascii="Arial Narrow" w:hAnsi="Arial Narrow" w:cs="Calibri"/>
          <w:color w:val="000000"/>
        </w:rPr>
        <w:t>available to</w:t>
      </w:r>
      <w:r w:rsidR="00263C2C" w:rsidRPr="00117237">
        <w:rPr>
          <w:rFonts w:ascii="Arial Narrow" w:hAnsi="Arial Narrow" w:cs="Calibri"/>
          <w:color w:val="000000"/>
        </w:rPr>
        <w:t xml:space="preserve"> support the work</w:t>
      </w:r>
      <w:r w:rsidR="00D0713A" w:rsidRPr="00117237">
        <w:rPr>
          <w:rFonts w:ascii="Arial Narrow" w:hAnsi="Arial Narrow" w:cs="Calibri"/>
          <w:color w:val="000000"/>
        </w:rPr>
        <w:t xml:space="preserve">, the authorising environment </w:t>
      </w:r>
      <w:r w:rsidR="00A664F1" w:rsidRPr="00117237">
        <w:rPr>
          <w:rFonts w:ascii="Arial Narrow" w:hAnsi="Arial Narrow" w:cs="Calibri"/>
          <w:color w:val="000000"/>
        </w:rPr>
        <w:t xml:space="preserve">required </w:t>
      </w:r>
      <w:r w:rsidR="00B25847" w:rsidRPr="00117237">
        <w:rPr>
          <w:rFonts w:ascii="Arial Narrow" w:hAnsi="Arial Narrow" w:cs="Calibri"/>
          <w:color w:val="000000"/>
        </w:rPr>
        <w:t>at the system-level to enable it to be prioritised, and</w:t>
      </w:r>
      <w:r w:rsidR="00D0713A" w:rsidRPr="00117237">
        <w:rPr>
          <w:rFonts w:ascii="Arial Narrow" w:hAnsi="Arial Narrow" w:cs="Calibri"/>
          <w:color w:val="000000"/>
        </w:rPr>
        <w:t xml:space="preserve"> </w:t>
      </w:r>
      <w:r w:rsidR="009452B4" w:rsidRPr="00117237">
        <w:rPr>
          <w:rFonts w:ascii="Arial Narrow" w:hAnsi="Arial Narrow" w:cs="Calibri"/>
          <w:color w:val="000000"/>
        </w:rPr>
        <w:t>the funding required to resource</w:t>
      </w:r>
      <w:r w:rsidR="0046114A" w:rsidRPr="00117237">
        <w:rPr>
          <w:rFonts w:ascii="Arial Narrow" w:hAnsi="Arial Narrow" w:cs="Calibri"/>
          <w:color w:val="000000"/>
        </w:rPr>
        <w:t xml:space="preserve"> time and capacity</w:t>
      </w:r>
    </w:p>
    <w:p w14:paraId="750DB095" w14:textId="2117B362" w:rsidR="00980926" w:rsidRPr="00117237" w:rsidRDefault="00980926" w:rsidP="00756D65">
      <w:pPr>
        <w:numPr>
          <w:ilvl w:val="1"/>
          <w:numId w:val="41"/>
        </w:numPr>
      </w:pPr>
      <w:r w:rsidRPr="00117237">
        <w:t>Ensur</w:t>
      </w:r>
      <w:r w:rsidR="00651F01" w:rsidRPr="00117237">
        <w:t>ing</w:t>
      </w:r>
      <w:r w:rsidRPr="00117237">
        <w:t xml:space="preserve"> sufficient </w:t>
      </w:r>
      <w:r w:rsidR="00777855" w:rsidRPr="00117237">
        <w:t xml:space="preserve">time </w:t>
      </w:r>
      <w:r w:rsidR="00A423E9" w:rsidRPr="00117237">
        <w:t xml:space="preserve">is </w:t>
      </w:r>
      <w:r w:rsidR="00893539" w:rsidRPr="00117237">
        <w:t xml:space="preserve">available </w:t>
      </w:r>
      <w:r w:rsidR="00B25847" w:rsidRPr="00117237">
        <w:t xml:space="preserve">for effective engagement and relationship building, which is required to support participation and </w:t>
      </w:r>
      <w:r w:rsidR="00893539" w:rsidRPr="00117237">
        <w:t>establish</w:t>
      </w:r>
      <w:r w:rsidR="00490CFF" w:rsidRPr="00117237">
        <w:t xml:space="preserve"> leadership buy-in</w:t>
      </w:r>
      <w:r w:rsidR="00893539" w:rsidRPr="00117237">
        <w:t xml:space="preserve"> at the system and TAFE level</w:t>
      </w:r>
      <w:r w:rsidR="000D30B0" w:rsidRPr="00117237">
        <w:t xml:space="preserve"> </w:t>
      </w:r>
    </w:p>
    <w:p w14:paraId="66EE6975" w14:textId="1FAD7E4B" w:rsidR="00F92931" w:rsidRPr="00117237" w:rsidRDefault="00D24659" w:rsidP="00756D65">
      <w:pPr>
        <w:numPr>
          <w:ilvl w:val="1"/>
          <w:numId w:val="41"/>
        </w:numPr>
      </w:pPr>
      <w:r w:rsidRPr="00117237">
        <w:t>Conti</w:t>
      </w:r>
      <w:r w:rsidR="00651F01" w:rsidRPr="00117237">
        <w:t>nuing</w:t>
      </w:r>
      <w:r w:rsidRPr="00117237">
        <w:t xml:space="preserve"> to draw on principled ways of working that prioritise relationships and leadership buy-in, and share these learnings with TAFEs</w:t>
      </w:r>
    </w:p>
    <w:p w14:paraId="50A56C88" w14:textId="5B6E7C8A" w:rsidR="004A0BFE" w:rsidRPr="00117237" w:rsidRDefault="004A0BFE" w:rsidP="00756D65">
      <w:pPr>
        <w:numPr>
          <w:ilvl w:val="1"/>
          <w:numId w:val="41"/>
        </w:numPr>
      </w:pPr>
      <w:r w:rsidRPr="00117237">
        <w:t>Explor</w:t>
      </w:r>
      <w:r w:rsidR="00651F01" w:rsidRPr="00117237">
        <w:t>ing</w:t>
      </w:r>
      <w:r w:rsidRPr="00117237">
        <w:t xml:space="preserve"> opportunities to work with private </w:t>
      </w:r>
      <w:r w:rsidR="008438F6" w:rsidRPr="00117237">
        <w:t>Registered Training Organisations (RTOs)</w:t>
      </w:r>
      <w:r w:rsidRPr="00117237">
        <w:t xml:space="preserve"> specialising in male-dominated industries like construction or mining</w:t>
      </w:r>
    </w:p>
    <w:p w14:paraId="2C7AC652" w14:textId="1F2C1293" w:rsidR="00580CEE" w:rsidRPr="00117237" w:rsidRDefault="00182F1C" w:rsidP="00756D65">
      <w:pPr>
        <w:numPr>
          <w:ilvl w:val="0"/>
          <w:numId w:val="25"/>
        </w:numPr>
      </w:pPr>
      <w:r w:rsidRPr="00117237">
        <w:rPr>
          <w:b/>
          <w:bCs/>
        </w:rPr>
        <w:t>Engage</w:t>
      </w:r>
      <w:r w:rsidR="00580CEE" w:rsidRPr="00117237">
        <w:rPr>
          <w:b/>
          <w:bCs/>
        </w:rPr>
        <w:t xml:space="preserve"> </w:t>
      </w:r>
      <w:r w:rsidR="00673281" w:rsidRPr="00117237">
        <w:rPr>
          <w:b/>
          <w:bCs/>
        </w:rPr>
        <w:t>s</w:t>
      </w:r>
      <w:r w:rsidR="00580CEE" w:rsidRPr="00117237">
        <w:rPr>
          <w:b/>
          <w:bCs/>
        </w:rPr>
        <w:t>ystem-</w:t>
      </w:r>
      <w:r w:rsidR="00673281" w:rsidRPr="00117237">
        <w:rPr>
          <w:b/>
          <w:bCs/>
        </w:rPr>
        <w:t>l</w:t>
      </w:r>
      <w:r w:rsidR="00580CEE" w:rsidRPr="00117237">
        <w:rPr>
          <w:b/>
          <w:bCs/>
        </w:rPr>
        <w:t xml:space="preserve">evel </w:t>
      </w:r>
      <w:r w:rsidRPr="00117237">
        <w:rPr>
          <w:b/>
          <w:bCs/>
        </w:rPr>
        <w:t>actors</w:t>
      </w:r>
      <w:r w:rsidR="00272FEF" w:rsidRPr="00117237">
        <w:rPr>
          <w:b/>
          <w:bCs/>
        </w:rPr>
        <w:t xml:space="preserve">. </w:t>
      </w:r>
      <w:r w:rsidR="00580CEE" w:rsidRPr="00117237">
        <w:t xml:space="preserve">Collaborate with state/territory governments, regulatory bodies (e.g., </w:t>
      </w:r>
      <w:r w:rsidR="008366FA" w:rsidRPr="00117237">
        <w:t xml:space="preserve">the </w:t>
      </w:r>
      <w:r w:rsidR="0046252D" w:rsidRPr="00117237">
        <w:t>Australian</w:t>
      </w:r>
      <w:r w:rsidR="008366FA" w:rsidRPr="00117237">
        <w:t xml:space="preserve"> Skills Quality Authority</w:t>
      </w:r>
      <w:r w:rsidR="002E4631" w:rsidRPr="00117237">
        <w:t xml:space="preserve"> </w:t>
      </w:r>
      <w:r w:rsidR="009D021A">
        <w:t>(</w:t>
      </w:r>
      <w:r w:rsidR="002E4631" w:rsidRPr="00117237">
        <w:t>ASQA</w:t>
      </w:r>
      <w:r w:rsidR="00580CEE" w:rsidRPr="00117237">
        <w:t>), and industry stakeholders to embed primary prevention into policy frameworks</w:t>
      </w:r>
      <w:r w:rsidR="00C44402" w:rsidRPr="00117237">
        <w:t xml:space="preserve"> and</w:t>
      </w:r>
      <w:r w:rsidR="00272FEF" w:rsidRPr="00117237">
        <w:t xml:space="preserve"> </w:t>
      </w:r>
      <w:r w:rsidRPr="00117237">
        <w:t>a</w:t>
      </w:r>
      <w:r w:rsidR="00580CEE" w:rsidRPr="00117237">
        <w:t>dvocate for national alignment with VET sector priorities.</w:t>
      </w:r>
      <w:r w:rsidR="00331EFE" w:rsidRPr="00117237">
        <w:t xml:space="preserve"> </w:t>
      </w:r>
      <w:r w:rsidR="0040377A" w:rsidRPr="00117237">
        <w:t>This includes c</w:t>
      </w:r>
      <w:r w:rsidR="00331EFE" w:rsidRPr="00117237">
        <w:t xml:space="preserve">onsideration of what this means in the context of the new National Code. </w:t>
      </w:r>
    </w:p>
    <w:p w14:paraId="3AF4479B" w14:textId="7973D5FE" w:rsidR="00182F1C" w:rsidRPr="00117237" w:rsidRDefault="00182F1C" w:rsidP="00756D65">
      <w:pPr>
        <w:numPr>
          <w:ilvl w:val="0"/>
          <w:numId w:val="25"/>
        </w:numPr>
      </w:pPr>
      <w:r w:rsidRPr="00117237">
        <w:rPr>
          <w:b/>
          <w:bCs/>
        </w:rPr>
        <w:t xml:space="preserve">Expand </w:t>
      </w:r>
      <w:r w:rsidR="00CF51CE" w:rsidRPr="00117237">
        <w:rPr>
          <w:b/>
          <w:bCs/>
        </w:rPr>
        <w:t>its</w:t>
      </w:r>
      <w:r w:rsidRPr="00117237">
        <w:rPr>
          <w:b/>
          <w:bCs/>
        </w:rPr>
        <w:t xml:space="preserve"> presence in the VET sector. </w:t>
      </w:r>
      <w:r w:rsidRPr="00117237">
        <w:t xml:space="preserve">Expand </w:t>
      </w:r>
      <w:r w:rsidR="00484431" w:rsidRPr="00117237">
        <w:t>Our Watch’s</w:t>
      </w:r>
      <w:r w:rsidRPr="00117237">
        <w:t xml:space="preserve"> presence, and build credibility and trust within the VET sector by:</w:t>
      </w:r>
    </w:p>
    <w:p w14:paraId="486BD7F4" w14:textId="6BE15B0F" w:rsidR="00182F1C" w:rsidRPr="00117237" w:rsidRDefault="00182F1C" w:rsidP="00756D65">
      <w:pPr>
        <w:numPr>
          <w:ilvl w:val="1"/>
          <w:numId w:val="26"/>
        </w:numPr>
      </w:pPr>
      <w:r w:rsidRPr="00117237">
        <w:t>Staying informed about policy reforms</w:t>
      </w:r>
    </w:p>
    <w:p w14:paraId="5845A2D4" w14:textId="77777777" w:rsidR="001A696A" w:rsidRPr="00117237" w:rsidRDefault="00182F1C" w:rsidP="00756D65">
      <w:pPr>
        <w:numPr>
          <w:ilvl w:val="1"/>
          <w:numId w:val="26"/>
        </w:numPr>
      </w:pPr>
      <w:r w:rsidRPr="00117237">
        <w:t>Advocating for the strategic importance of primary prevention in VET</w:t>
      </w:r>
    </w:p>
    <w:p w14:paraId="37381A35" w14:textId="687066D5" w:rsidR="00182F1C" w:rsidRPr="00117237" w:rsidRDefault="00182F1C" w:rsidP="00756D65">
      <w:pPr>
        <w:numPr>
          <w:ilvl w:val="1"/>
          <w:numId w:val="26"/>
        </w:numPr>
        <w:rPr>
          <w:b/>
        </w:rPr>
      </w:pPr>
      <w:r w:rsidRPr="00117237">
        <w:t>Investing resources to maintain VET as a priority area within Our Watch</w:t>
      </w:r>
    </w:p>
    <w:p w14:paraId="25FABC35" w14:textId="27A3348A" w:rsidR="00B46291" w:rsidRPr="00117237" w:rsidRDefault="00B46291" w:rsidP="00756D65">
      <w:pPr>
        <w:numPr>
          <w:ilvl w:val="1"/>
          <w:numId w:val="26"/>
        </w:numPr>
      </w:pPr>
      <w:r w:rsidRPr="00117237">
        <w:t>Promoting available supports and resources from Our Watch to TAFEs</w:t>
      </w:r>
    </w:p>
    <w:p w14:paraId="3CB4586A" w14:textId="77777777" w:rsidR="00063694" w:rsidRPr="00117237" w:rsidRDefault="00063694">
      <w:pPr>
        <w:spacing w:after="240"/>
        <w:rPr>
          <w:rFonts w:asciiTheme="majorHAnsi" w:hAnsiTheme="majorHAnsi" w:cs="Century Gothic"/>
          <w:color w:val="931B2F" w:themeColor="background2"/>
          <w:sz w:val="54"/>
        </w:rPr>
      </w:pPr>
      <w:r w:rsidRPr="00117237">
        <w:br w:type="page"/>
      </w:r>
    </w:p>
    <w:p w14:paraId="29D45F10" w14:textId="0028EA62" w:rsidR="008E172D" w:rsidRPr="00117237" w:rsidRDefault="0020055A" w:rsidP="008E172D">
      <w:pPr>
        <w:pStyle w:val="Heading1"/>
      </w:pPr>
      <w:bookmarkStart w:id="10" w:name="_Toc204168354"/>
      <w:r w:rsidRPr="00117237">
        <w:lastRenderedPageBreak/>
        <w:t>Introduction</w:t>
      </w:r>
      <w:bookmarkEnd w:id="10"/>
    </w:p>
    <w:p w14:paraId="0EC5B0C5" w14:textId="02EFAFB1" w:rsidR="00417A7B" w:rsidRPr="00117237" w:rsidRDefault="00417A7B" w:rsidP="00417A7B">
      <w:pPr>
        <w:pStyle w:val="Heading2"/>
      </w:pPr>
      <w:bookmarkStart w:id="11" w:name="_Toc204168355"/>
      <w:r w:rsidRPr="00117237">
        <w:t xml:space="preserve">Overview of the Respect and </w:t>
      </w:r>
      <w:r w:rsidR="002F7EC2" w:rsidRPr="00117237">
        <w:t>Equality in TAFEs 2 project</w:t>
      </w:r>
      <w:bookmarkEnd w:id="11"/>
      <w:r w:rsidR="002F7EC2" w:rsidRPr="00117237">
        <w:t xml:space="preserve"> </w:t>
      </w:r>
    </w:p>
    <w:p w14:paraId="0A1872E6" w14:textId="39478883" w:rsidR="005075E9" w:rsidRPr="00117237" w:rsidRDefault="007F7429" w:rsidP="0083698A">
      <w:pPr>
        <w:pStyle w:val="Heading3Normal"/>
      </w:pPr>
      <w:r w:rsidRPr="00117237">
        <w:t xml:space="preserve">The RET2 project seeks to </w:t>
      </w:r>
      <w:r w:rsidR="00490775" w:rsidRPr="00117237">
        <w:t xml:space="preserve">enhance gender equality and prevent violence in TAFEs. </w:t>
      </w:r>
    </w:p>
    <w:p w14:paraId="7EF64A01" w14:textId="16F07C42" w:rsidR="0010329D" w:rsidRPr="00117237" w:rsidRDefault="0010329D" w:rsidP="007F7429">
      <w:pPr>
        <w:pStyle w:val="BodyText"/>
      </w:pPr>
      <w:r w:rsidRPr="00117237">
        <w:t xml:space="preserve">The RET2 project </w:t>
      </w:r>
      <w:r w:rsidR="001E488F" w:rsidRPr="00117237">
        <w:t>followed</w:t>
      </w:r>
      <w:r w:rsidRPr="00117237">
        <w:t xml:space="preserve"> the first iteration of th</w:t>
      </w:r>
      <w:r w:rsidR="007D7630" w:rsidRPr="00117237">
        <w:t xml:space="preserve">is work, </w:t>
      </w:r>
      <w:r w:rsidRPr="00117237">
        <w:t xml:space="preserve">the Respect and Equality </w:t>
      </w:r>
      <w:r w:rsidR="001E488F" w:rsidRPr="00117237">
        <w:t xml:space="preserve">in TAFE </w:t>
      </w:r>
      <w:r w:rsidRPr="00117237">
        <w:t>(RET</w:t>
      </w:r>
      <w:r w:rsidR="001E488F" w:rsidRPr="00117237">
        <w:t>1</w:t>
      </w:r>
      <w:r w:rsidRPr="00117237">
        <w:t>)</w:t>
      </w:r>
      <w:r w:rsidR="007D7630" w:rsidRPr="00117237">
        <w:t xml:space="preserve"> project</w:t>
      </w:r>
      <w:r w:rsidR="00E71C10" w:rsidRPr="00117237">
        <w:t>.</w:t>
      </w:r>
      <w:r w:rsidR="00A46ED8" w:rsidRPr="00117237">
        <w:rPr>
          <w:rStyle w:val="FootnoteReference"/>
        </w:rPr>
        <w:footnoteReference w:id="4"/>
      </w:r>
      <w:r w:rsidR="00E71C10" w:rsidRPr="00117237">
        <w:t xml:space="preserve"> </w:t>
      </w:r>
      <w:r w:rsidR="007D7630" w:rsidRPr="00117237">
        <w:t xml:space="preserve">The </w:t>
      </w:r>
      <w:r w:rsidR="00E71C10" w:rsidRPr="00117237">
        <w:t xml:space="preserve">RET1 </w:t>
      </w:r>
      <w:r w:rsidR="007D7630" w:rsidRPr="00117237">
        <w:t>project</w:t>
      </w:r>
      <w:r w:rsidR="00E71C10" w:rsidRPr="00117237">
        <w:t xml:space="preserve"> commenced in October 2019 and </w:t>
      </w:r>
      <w:r w:rsidR="008A72F6" w:rsidRPr="00117237">
        <w:t xml:space="preserve">was piloted </w:t>
      </w:r>
      <w:r w:rsidR="003A2B79" w:rsidRPr="00117237">
        <w:t>in five TAFE institutions in Victoria</w:t>
      </w:r>
      <w:r w:rsidR="00E927C6" w:rsidRPr="00117237">
        <w:t>.</w:t>
      </w:r>
      <w:r w:rsidR="00927702" w:rsidRPr="00117237">
        <w:rPr>
          <w:rStyle w:val="FootnoteReference"/>
        </w:rPr>
        <w:footnoteReference w:id="5"/>
      </w:r>
      <w:r w:rsidR="00E927C6" w:rsidRPr="00117237">
        <w:t xml:space="preserve"> </w:t>
      </w:r>
      <w:r w:rsidR="00EB4EA5" w:rsidRPr="00117237">
        <w:t>It</w:t>
      </w:r>
      <w:r w:rsidR="00E927C6" w:rsidRPr="00117237">
        <w:t xml:space="preserve"> aimed to develop a whole</w:t>
      </w:r>
      <w:r w:rsidR="007D7630" w:rsidRPr="00117237">
        <w:t>-</w:t>
      </w:r>
      <w:r w:rsidR="00E927C6" w:rsidRPr="00117237">
        <w:t>of</w:t>
      </w:r>
      <w:r w:rsidR="007D7630" w:rsidRPr="00117237">
        <w:t>-</w:t>
      </w:r>
      <w:r w:rsidR="00E927C6" w:rsidRPr="00117237">
        <w:t>institution approach to primary prevention in TAFE</w:t>
      </w:r>
      <w:r w:rsidR="00540706" w:rsidRPr="00117237">
        <w:t>s, and to develop a toolkit of communication resources.</w:t>
      </w:r>
      <w:r w:rsidR="00927702" w:rsidRPr="00117237">
        <w:rPr>
          <w:rStyle w:val="FootnoteReference"/>
        </w:rPr>
        <w:footnoteReference w:id="6"/>
      </w:r>
      <w:r w:rsidR="00540706" w:rsidRPr="00117237">
        <w:t xml:space="preserve"> </w:t>
      </w:r>
    </w:p>
    <w:p w14:paraId="5C201445" w14:textId="24F6CC23" w:rsidR="000029BE" w:rsidRPr="00117237" w:rsidRDefault="00433251" w:rsidP="007F7429">
      <w:pPr>
        <w:pStyle w:val="BodyText"/>
      </w:pPr>
      <w:r w:rsidRPr="00117237">
        <w:t>RET2 marked the next stage of this work</w:t>
      </w:r>
      <w:r w:rsidR="00CC77AE" w:rsidRPr="00117237">
        <w:t xml:space="preserve">, which aimed to </w:t>
      </w:r>
      <w:r w:rsidR="007D7630" w:rsidRPr="00117237">
        <w:t xml:space="preserve">implement the whole-of-institution approach developed in RET1 in TAFEs in jurisdictions outside of Victoria, and to test and refine the </w:t>
      </w:r>
      <w:r w:rsidR="00BD5607" w:rsidRPr="00117237">
        <w:t xml:space="preserve">approach </w:t>
      </w:r>
      <w:r w:rsidR="007D7630" w:rsidRPr="00117237">
        <w:t>to ultimately be delivered at a national scale.</w:t>
      </w:r>
      <w:r w:rsidR="007D7630" w:rsidRPr="00117237">
        <w:rPr>
          <w:rStyle w:val="FootnoteReference"/>
        </w:rPr>
        <w:footnoteReference w:id="7"/>
      </w:r>
      <w:r w:rsidR="007D7630" w:rsidRPr="00117237">
        <w:t xml:space="preserve"> </w:t>
      </w:r>
      <w:r w:rsidR="005D6E63" w:rsidRPr="00117237">
        <w:t xml:space="preserve">RET2 </w:t>
      </w:r>
      <w:r w:rsidR="0083698A" w:rsidRPr="00117237">
        <w:t xml:space="preserve">worked alongside TAFEs to support them to </w:t>
      </w:r>
      <w:r w:rsidR="005D6E63" w:rsidRPr="00117237">
        <w:t>implement</w:t>
      </w:r>
      <w:r w:rsidR="007F7429" w:rsidRPr="00117237">
        <w:t xml:space="preserve"> the Respect and Equality in TAFE (RET) framework </w:t>
      </w:r>
      <w:r w:rsidR="001C6672" w:rsidRPr="00117237">
        <w:t xml:space="preserve">in </w:t>
      </w:r>
      <w:r w:rsidR="00AC66C4" w:rsidRPr="00117237">
        <w:t xml:space="preserve">the </w:t>
      </w:r>
      <w:r w:rsidR="007F7429" w:rsidRPr="00117237">
        <w:t xml:space="preserve">ACT, SA, Tas and </w:t>
      </w:r>
      <w:r w:rsidR="00AC66C4" w:rsidRPr="00117237">
        <w:t xml:space="preserve">the </w:t>
      </w:r>
      <w:r w:rsidR="007F7429" w:rsidRPr="00117237">
        <w:t xml:space="preserve">NT - to enhance gender equality and prevent violence in TAFEs. </w:t>
      </w:r>
      <w:r w:rsidR="00B62DFA" w:rsidRPr="00117237">
        <w:t>The TAFEs involved in RET2 were BIITE</w:t>
      </w:r>
      <w:r w:rsidR="00072200" w:rsidRPr="00117237">
        <w:t xml:space="preserve"> (NT)</w:t>
      </w:r>
      <w:r w:rsidR="00B62DFA" w:rsidRPr="00117237">
        <w:t>, CDU</w:t>
      </w:r>
      <w:r w:rsidR="00072200" w:rsidRPr="00117237">
        <w:t xml:space="preserve"> (NT)</w:t>
      </w:r>
      <w:r w:rsidR="00B62DFA" w:rsidRPr="00117237">
        <w:t xml:space="preserve">, </w:t>
      </w:r>
      <w:r w:rsidR="00A00CE5" w:rsidRPr="00117237">
        <w:t xml:space="preserve">CIT (ACT), </w:t>
      </w:r>
      <w:r w:rsidR="00B62DFA" w:rsidRPr="00117237">
        <w:t xml:space="preserve">TAFE SA and TasTAFE. </w:t>
      </w:r>
    </w:p>
    <w:p w14:paraId="7335F0C1" w14:textId="5A603DA8" w:rsidR="00956F45" w:rsidRPr="00117237" w:rsidRDefault="00147DBA" w:rsidP="00956F45">
      <w:pPr>
        <w:pStyle w:val="Heading3Normal"/>
      </w:pPr>
      <w:r w:rsidRPr="00117237">
        <w:t>RET2 was f</w:t>
      </w:r>
      <w:r w:rsidR="00956F45" w:rsidRPr="00117237">
        <w:t>unded</w:t>
      </w:r>
      <w:r w:rsidRPr="00117237">
        <w:t xml:space="preserve"> approximately $2.3 million</w:t>
      </w:r>
      <w:r w:rsidR="00956F45" w:rsidRPr="00117237">
        <w:t xml:space="preserve"> by </w:t>
      </w:r>
      <w:r w:rsidRPr="00117237">
        <w:t>DSS</w:t>
      </w:r>
      <w:r w:rsidR="00956F45" w:rsidRPr="00117237">
        <w:t xml:space="preserve"> at the end of </w:t>
      </w:r>
      <w:r w:rsidR="008A6B82" w:rsidRPr="00117237">
        <w:t xml:space="preserve">September </w:t>
      </w:r>
      <w:r w:rsidR="00956F45" w:rsidRPr="00117237">
        <w:t>2021</w:t>
      </w:r>
      <w:r w:rsidRPr="00117237">
        <w:t>.</w:t>
      </w:r>
    </w:p>
    <w:p w14:paraId="44836F97" w14:textId="0DCFFF07" w:rsidR="007D55E5" w:rsidRPr="00117237" w:rsidRDefault="00647940" w:rsidP="008A6B82">
      <w:pPr>
        <w:rPr>
          <w:vertAlign w:val="superscript"/>
        </w:rPr>
      </w:pPr>
      <w:r w:rsidRPr="00117237">
        <w:t>Project implementation was originally due to end June 2024</w:t>
      </w:r>
      <w:r w:rsidR="007E58F5" w:rsidRPr="00117237">
        <w:t>.</w:t>
      </w:r>
      <w:r w:rsidR="004E0D84" w:rsidRPr="00117237">
        <w:rPr>
          <w:rStyle w:val="FootnoteReference"/>
          <w:b w:val="0"/>
          <w:color w:val="auto"/>
        </w:rPr>
        <w:footnoteReference w:id="8"/>
      </w:r>
      <w:r w:rsidR="007E58F5" w:rsidRPr="00117237">
        <w:t xml:space="preserve"> A Deed of Variation was signed in November 2023</w:t>
      </w:r>
      <w:r w:rsidR="001D60F5" w:rsidRPr="00117237">
        <w:t xml:space="preserve"> which documented agreement to extend activity completion </w:t>
      </w:r>
      <w:r w:rsidR="007E58F5" w:rsidRPr="00117237">
        <w:t>to December 2024, with the final evaluation report due in June 2025</w:t>
      </w:r>
      <w:r w:rsidR="009860AA" w:rsidRPr="00117237">
        <w:t>, aligned with Agreement End Date on June 30 2025</w:t>
      </w:r>
      <w:r w:rsidR="00371FB9" w:rsidRPr="00117237">
        <w:t>.</w:t>
      </w:r>
      <w:r w:rsidR="00321D77" w:rsidRPr="00117237">
        <w:rPr>
          <w:rStyle w:val="FootnoteReference"/>
          <w:b w:val="0"/>
          <w:color w:val="auto"/>
        </w:rPr>
        <w:footnoteReference w:id="9"/>
      </w:r>
      <w:r w:rsidR="00321D77" w:rsidRPr="00117237">
        <w:t xml:space="preserve"> </w:t>
      </w:r>
      <w:r w:rsidR="00E16E1F" w:rsidRPr="00117237">
        <w:t xml:space="preserve">The </w:t>
      </w:r>
      <w:r w:rsidR="00A4194D" w:rsidRPr="00117237">
        <w:t>project</w:t>
      </w:r>
      <w:r w:rsidR="00372545" w:rsidRPr="00117237">
        <w:t xml:space="preserve"> also</w:t>
      </w:r>
      <w:r w:rsidR="00A4194D" w:rsidRPr="00117237">
        <w:t xml:space="preserve"> had an underspend in FY23 of $1,393,597 and in</w:t>
      </w:r>
      <w:r w:rsidR="009A588E" w:rsidRPr="00117237">
        <w:t xml:space="preserve"> FY24 of $817,</w:t>
      </w:r>
      <w:r w:rsidR="00372545" w:rsidRPr="00117237">
        <w:t>745.07.</w:t>
      </w:r>
      <w:r w:rsidR="00372545" w:rsidRPr="00117237">
        <w:rPr>
          <w:rStyle w:val="FootnoteReference"/>
          <w:b w:val="0"/>
          <w:color w:val="auto"/>
        </w:rPr>
        <w:footnoteReference w:id="10"/>
      </w:r>
      <w:r w:rsidR="00597A98" w:rsidRPr="00117237">
        <w:t xml:space="preserve"> </w:t>
      </w:r>
      <w:r w:rsidR="00523032" w:rsidRPr="00117237">
        <w:t>The</w:t>
      </w:r>
      <w:r w:rsidR="00372545" w:rsidRPr="00117237">
        <w:t xml:space="preserve"> cause of project timeline delays and project underspend was because the</w:t>
      </w:r>
      <w:r w:rsidR="00523032" w:rsidRPr="00117237">
        <w:t xml:space="preserve"> project experienced delays in implementation due to </w:t>
      </w:r>
      <w:r w:rsidR="0034478E" w:rsidRPr="00117237">
        <w:t>the time taken to engage</w:t>
      </w:r>
      <w:r w:rsidR="00523032" w:rsidRPr="00117237">
        <w:t xml:space="preserve"> TAFEs </w:t>
      </w:r>
      <w:r w:rsidR="00F635F4" w:rsidRPr="00117237">
        <w:t xml:space="preserve">and a </w:t>
      </w:r>
      <w:r w:rsidR="00523032" w:rsidRPr="00117237">
        <w:t>need to align to the TAFE academic year</w:t>
      </w:r>
      <w:r w:rsidR="00597A98" w:rsidRPr="00117237">
        <w:t>.</w:t>
      </w:r>
      <w:r w:rsidR="00936F12" w:rsidRPr="00117237">
        <w:rPr>
          <w:rStyle w:val="FootnoteReference"/>
          <w:b w:val="0"/>
          <w:color w:val="auto"/>
        </w:rPr>
        <w:footnoteReference w:id="11"/>
      </w:r>
    </w:p>
    <w:p w14:paraId="0BC7F5D7" w14:textId="7D3B3A61" w:rsidR="00844773" w:rsidRPr="00117237" w:rsidRDefault="00395FEC" w:rsidP="00740490">
      <w:pPr>
        <w:pStyle w:val="Heading3Normal"/>
      </w:pPr>
      <w:r w:rsidRPr="00117237">
        <w:t>The RET</w:t>
      </w:r>
      <w:r w:rsidR="007F7429" w:rsidRPr="00117237">
        <w:t xml:space="preserve"> framework is intended to </w:t>
      </w:r>
      <w:r w:rsidR="004500AE" w:rsidRPr="00117237">
        <w:t>support</w:t>
      </w:r>
      <w:r w:rsidR="002043A3" w:rsidRPr="00117237">
        <w:t xml:space="preserve"> </w:t>
      </w:r>
      <w:r w:rsidR="007F7429" w:rsidRPr="00117237">
        <w:t xml:space="preserve">TAFEs to foster safe, inclusive, and equitable environments, ultimately shaping a future workforce that values respect and equality. </w:t>
      </w:r>
    </w:p>
    <w:p w14:paraId="21761751" w14:textId="77B4FB3B" w:rsidR="009D7AD1" w:rsidRPr="00117237" w:rsidRDefault="007045F6" w:rsidP="007045F6">
      <w:r w:rsidRPr="00117237">
        <w:t xml:space="preserve">The RET framework outlines a whole-of-TAFE model for building a TAFE environment that promotes gender equality and respect. </w:t>
      </w:r>
      <w:r w:rsidR="00255308" w:rsidRPr="00117237">
        <w:t>It encompasses five key domains: workplace, students, teaching and learning, communications, and industry and community. These domains work together to embed principles of respect and equality throughout all aspects of TAFE operations.</w:t>
      </w:r>
      <w:r w:rsidRPr="00117237">
        <w:t xml:space="preserve"> The RET framework outlines eight key steps for implementing this model, as outlined in Figure 1 below. </w:t>
      </w:r>
    </w:p>
    <w:p w14:paraId="7B3ACA98" w14:textId="3ACB88BF" w:rsidR="0068795A" w:rsidRPr="00117237" w:rsidRDefault="0068795A" w:rsidP="0068795A">
      <w:pPr>
        <w:pStyle w:val="Caption"/>
        <w:keepNext/>
      </w:pPr>
      <w:bookmarkStart w:id="12" w:name="_Toc204167670"/>
      <w:bookmarkStart w:id="13" w:name="_Toc204168055"/>
      <w:r w:rsidRPr="00117237">
        <w:t xml:space="preserve">Figure </w:t>
      </w:r>
      <w:fldSimple w:instr=" SEQ Figure \* ARABIC ">
        <w:r w:rsidR="00E3688B">
          <w:rPr>
            <w:noProof/>
          </w:rPr>
          <w:t>1</w:t>
        </w:r>
      </w:fldSimple>
      <w:bookmarkEnd w:id="12"/>
      <w:bookmarkEnd w:id="13"/>
      <w:r w:rsidRPr="00117237">
        <w:t>: RET Framework</w:t>
      </w:r>
    </w:p>
    <w:p w14:paraId="3F33113B" w14:textId="7722949D" w:rsidR="0068795A" w:rsidRPr="00117237" w:rsidRDefault="00831A77" w:rsidP="0068795A">
      <w:pPr>
        <w:pStyle w:val="BodyText"/>
        <w:keepNext/>
      </w:pPr>
      <w:r w:rsidRPr="00117237">
        <w:rPr>
          <w:noProof/>
        </w:rPr>
        <w:drawing>
          <wp:inline distT="0" distB="0" distL="0" distR="0" wp14:anchorId="19F65E11" wp14:editId="0B1A06E2">
            <wp:extent cx="6313335" cy="876654"/>
            <wp:effectExtent l="0" t="0" r="0" b="0"/>
            <wp:docPr id="1930331466" name="Picture 7" descr="The image presents a process flow outlining eight clear steps for implementing a Respect and Equality action plan within a TAFE (Technical and Further Education) context. Each step is listed in an individual box from left to right, beginning with connecting with staff and aligning objectives, followed by gathering gender equality information, completing a self-assessment, developing the action and monitoring plans, establishing partnerships with internal and external stakeholders, implementing the plan, and concluding with ongoing monitoring and revisions. The text is concise and formatted in a structured sequence to guide users through the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31466" name="Picture 7" descr="The image presents a process flow outlining eight clear steps for implementing a Respect and Equality action plan within a TAFE (Technical and Further Education) context. Each step is listed in an individual box from left to right, beginning with connecting with staff and aligning objectives, followed by gathering gender equality information, completing a self-assessment, developing the action and monitoring plans, establishing partnerships with internal and external stakeholders, implementing the plan, and concluding with ongoing monitoring and revisions. The text is concise and formatted in a structured sequence to guide users through the implementation pro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8694" cy="898227"/>
                    </a:xfrm>
                    <a:prstGeom prst="rect">
                      <a:avLst/>
                    </a:prstGeom>
                    <a:noFill/>
                  </pic:spPr>
                </pic:pic>
              </a:graphicData>
            </a:graphic>
          </wp:inline>
        </w:drawing>
      </w:r>
    </w:p>
    <w:p w14:paraId="0354B266" w14:textId="23A48E6F" w:rsidR="00B7207F" w:rsidRPr="00117237" w:rsidRDefault="0046111A" w:rsidP="007F1BB8">
      <w:pPr>
        <w:pStyle w:val="Heading3Normal"/>
      </w:pPr>
      <w:r w:rsidRPr="00117237">
        <w:t xml:space="preserve">RET2 </w:t>
      </w:r>
      <w:r w:rsidR="00336865" w:rsidRPr="00117237">
        <w:t>imple</w:t>
      </w:r>
      <w:r w:rsidR="00C06D24" w:rsidRPr="00117237">
        <w:t>mented and tested</w:t>
      </w:r>
      <w:r w:rsidR="005C1475" w:rsidRPr="00117237">
        <w:t xml:space="preserve"> the RET framework </w:t>
      </w:r>
      <w:r w:rsidR="00E65A7C" w:rsidRPr="00117237">
        <w:t>in five</w:t>
      </w:r>
      <w:r w:rsidR="00CA2968" w:rsidRPr="00117237">
        <w:t xml:space="preserve"> TAFEs</w:t>
      </w:r>
      <w:r w:rsidR="00E65A7C" w:rsidRPr="00117237">
        <w:t xml:space="preserve"> </w:t>
      </w:r>
      <w:r w:rsidR="005C1475" w:rsidRPr="00117237">
        <w:t>across four jurisdictions</w:t>
      </w:r>
      <w:r w:rsidR="00E65A7C" w:rsidRPr="00117237">
        <w:t>.</w:t>
      </w:r>
      <w:r w:rsidR="0049216E" w:rsidRPr="00117237">
        <w:t xml:space="preserve"> </w:t>
      </w:r>
    </w:p>
    <w:p w14:paraId="6CDDD9A5" w14:textId="2AFD91DE" w:rsidR="003C2A1D" w:rsidRPr="00117237" w:rsidRDefault="00395FEC" w:rsidP="004C1C37">
      <w:r w:rsidRPr="00117237">
        <w:t>The</w:t>
      </w:r>
      <w:r w:rsidR="00B902AD" w:rsidRPr="00117237">
        <w:t xml:space="preserve"> framework is intended to support TAFEs to foster safe, inclusive and equitable environments, ultimately shaping a future workforce that values respect and gender equality. </w:t>
      </w:r>
    </w:p>
    <w:p w14:paraId="2BADE481" w14:textId="02BA86FF" w:rsidR="00F9735C" w:rsidRPr="00117237" w:rsidRDefault="00CF4C86" w:rsidP="00F9735C">
      <w:r w:rsidRPr="00117237">
        <w:t>A previous evaluation of the framework found</w:t>
      </w:r>
      <w:r w:rsidR="00F9735C" w:rsidRPr="00117237">
        <w:t>:</w:t>
      </w:r>
      <w:r w:rsidR="00F9735C" w:rsidRPr="00117237">
        <w:rPr>
          <w:rStyle w:val="FootnoteReference"/>
          <w:b w:val="0"/>
          <w:bCs/>
        </w:rPr>
        <w:footnoteReference w:id="12"/>
      </w:r>
    </w:p>
    <w:p w14:paraId="1547A448" w14:textId="228B8A84" w:rsidR="00F9735C" w:rsidRPr="00117237" w:rsidRDefault="00F9735C" w:rsidP="00EA59CE">
      <w:pPr>
        <w:pStyle w:val="ListBullet"/>
        <w:numPr>
          <w:ilvl w:val="0"/>
          <w:numId w:val="11"/>
        </w:numPr>
      </w:pPr>
      <w:r w:rsidRPr="00117237">
        <w:t xml:space="preserve">The whole-of-TAFE approach </w:t>
      </w:r>
      <w:r w:rsidR="00A11FCE" w:rsidRPr="00117237">
        <w:t>was</w:t>
      </w:r>
      <w:r w:rsidRPr="00117237">
        <w:t xml:space="preserve"> acceptable, feasible and relevant to the pilot TAFEs</w:t>
      </w:r>
    </w:p>
    <w:p w14:paraId="680A5D6E" w14:textId="4F952557" w:rsidR="00F9735C" w:rsidRPr="00117237" w:rsidRDefault="00F9735C" w:rsidP="00EA59CE">
      <w:pPr>
        <w:pStyle w:val="ListBullet"/>
        <w:numPr>
          <w:ilvl w:val="0"/>
          <w:numId w:val="11"/>
        </w:numPr>
      </w:pPr>
      <w:r w:rsidRPr="00117237">
        <w:lastRenderedPageBreak/>
        <w:t xml:space="preserve">The self-assessment tool, monitoring guide and action plan template were </w:t>
      </w:r>
      <w:r w:rsidR="00475C94" w:rsidRPr="00117237">
        <w:t xml:space="preserve">seen as </w:t>
      </w:r>
      <w:r w:rsidRPr="00117237">
        <w:t>valuable, comprehensive and helpful to the pilot TAFEs’ prevention work</w:t>
      </w:r>
    </w:p>
    <w:p w14:paraId="48702513" w14:textId="27C65472" w:rsidR="00F9735C" w:rsidRPr="00117237" w:rsidRDefault="00F9735C" w:rsidP="00EA59CE">
      <w:pPr>
        <w:pStyle w:val="ListBullet"/>
        <w:numPr>
          <w:ilvl w:val="0"/>
          <w:numId w:val="11"/>
        </w:numPr>
      </w:pPr>
      <w:r w:rsidRPr="00117237">
        <w:t>That there was a need for further investment (such as staff and time) to support the implementation of the approach</w:t>
      </w:r>
    </w:p>
    <w:p w14:paraId="3B3F130E" w14:textId="656076D1" w:rsidR="005155B5" w:rsidRPr="00117237" w:rsidRDefault="005155B5" w:rsidP="00A860FE">
      <w:r w:rsidRPr="00117237">
        <w:t xml:space="preserve">Our Watch aimed to engage directly with TAFEs in </w:t>
      </w:r>
      <w:r w:rsidR="007B0A63" w:rsidRPr="00117237">
        <w:t>the</w:t>
      </w:r>
      <w:r w:rsidRPr="00117237">
        <w:t xml:space="preserve"> </w:t>
      </w:r>
      <w:r w:rsidR="002043A3" w:rsidRPr="00117237">
        <w:t xml:space="preserve">set </w:t>
      </w:r>
      <w:r w:rsidRPr="00117237">
        <w:t xml:space="preserve">jurisdictions, </w:t>
      </w:r>
      <w:r w:rsidR="00A11FCE" w:rsidRPr="00117237">
        <w:t>and</w:t>
      </w:r>
      <w:r w:rsidRPr="00117237">
        <w:t xml:space="preserve"> to deliberately promote the integration of systemwide actions to prevent violence against women in vocational education and training. This approach aimed to recognise TAFEs as an education institution, a workplace and a community hub through a ‘whole-of-institution’ approach as identified in </w:t>
      </w:r>
      <w:r w:rsidR="002D70C1" w:rsidRPr="00117237">
        <w:rPr>
          <w:i/>
          <w:iCs/>
        </w:rPr>
        <w:t>Change the story</w:t>
      </w:r>
      <w:r w:rsidRPr="00117237">
        <w:rPr>
          <w:i/>
          <w:iCs/>
        </w:rPr>
        <w:t>.</w:t>
      </w:r>
      <w:r w:rsidRPr="00117237">
        <w:t xml:space="preserve"> </w:t>
      </w:r>
      <w:r w:rsidR="00F7271F" w:rsidRPr="00117237">
        <w:rPr>
          <w:i/>
          <w:iCs/>
        </w:rPr>
        <w:t xml:space="preserve">Change </w:t>
      </w:r>
      <w:r w:rsidR="00BD49A4" w:rsidRPr="00117237">
        <w:rPr>
          <w:i/>
          <w:iCs/>
        </w:rPr>
        <w:t>T</w:t>
      </w:r>
      <w:r w:rsidR="00F7271F" w:rsidRPr="00117237">
        <w:rPr>
          <w:i/>
          <w:iCs/>
        </w:rPr>
        <w:t xml:space="preserve">he </w:t>
      </w:r>
      <w:r w:rsidR="009D542C" w:rsidRPr="00117237">
        <w:rPr>
          <w:i/>
          <w:iCs/>
        </w:rPr>
        <w:t>s</w:t>
      </w:r>
      <w:r w:rsidR="00F7271F" w:rsidRPr="00117237">
        <w:rPr>
          <w:i/>
          <w:iCs/>
        </w:rPr>
        <w:t>tory</w:t>
      </w:r>
      <w:r w:rsidR="00F7271F" w:rsidRPr="00117237">
        <w:t xml:space="preserve"> is Our Watch’s evidence-based framework to guide a coordinated and effective national approach to preventing violence against women.</w:t>
      </w:r>
    </w:p>
    <w:p w14:paraId="44046F59" w14:textId="60E71776" w:rsidR="00D077F6" w:rsidRPr="00117237" w:rsidRDefault="00395FEC" w:rsidP="00121F42">
      <w:pPr>
        <w:pStyle w:val="Heading3Normal"/>
      </w:pPr>
      <w:r w:rsidRPr="00117237">
        <w:t>RET2</w:t>
      </w:r>
      <w:r w:rsidR="00870384" w:rsidRPr="00117237">
        <w:t xml:space="preserve"> aimed to build the evidence base around what works to implement a whole-of-institution approach within a TAFE environment by engaging with </w:t>
      </w:r>
      <w:r w:rsidR="003D27EA" w:rsidRPr="00117237">
        <w:t>four</w:t>
      </w:r>
      <w:r w:rsidR="00870384" w:rsidRPr="00117237">
        <w:t xml:space="preserve"> different jurisdictions</w:t>
      </w:r>
      <w:r w:rsidR="005F2C75" w:rsidRPr="00117237">
        <w:t xml:space="preserve"> with both a developmental and exploratory focus</w:t>
      </w:r>
      <w:r w:rsidR="00870384" w:rsidRPr="00117237">
        <w:t>.</w:t>
      </w:r>
      <w:r w:rsidR="003D27EA" w:rsidRPr="00117237">
        <w:t xml:space="preserve"> </w:t>
      </w:r>
    </w:p>
    <w:p w14:paraId="761A8674" w14:textId="1B42C665" w:rsidR="00937381" w:rsidRPr="00117237" w:rsidRDefault="00937381" w:rsidP="00AB5C3E">
      <w:r w:rsidRPr="00117237">
        <w:t xml:space="preserve">RET2 project </w:t>
      </w:r>
      <w:r w:rsidR="002E15BE" w:rsidRPr="00117237">
        <w:t>aims for</w:t>
      </w:r>
      <w:r w:rsidR="00A04DD3" w:rsidRPr="00117237">
        <w:t xml:space="preserve"> participating</w:t>
      </w:r>
      <w:r w:rsidR="00FA2179" w:rsidRPr="00117237">
        <w:t xml:space="preserve">: </w:t>
      </w:r>
    </w:p>
    <w:p w14:paraId="72A4F537" w14:textId="2CF96510" w:rsidR="00937381" w:rsidRPr="00117237" w:rsidRDefault="00937381" w:rsidP="00DB7383">
      <w:pPr>
        <w:pStyle w:val="ListBullet"/>
      </w:pPr>
      <w:r w:rsidRPr="00117237">
        <w:t xml:space="preserve">TAFEs </w:t>
      </w:r>
      <w:r w:rsidR="002E15BE" w:rsidRPr="00117237">
        <w:t>to</w:t>
      </w:r>
      <w:r w:rsidRPr="00117237">
        <w:t xml:space="preserve"> have increased commitment and momentum for change, that will be sustained to some degree beyond the end of the project</w:t>
      </w:r>
    </w:p>
    <w:p w14:paraId="3D604088" w14:textId="1B5D6B81" w:rsidR="00937381" w:rsidRPr="00117237" w:rsidRDefault="002E15BE" w:rsidP="00DB7383">
      <w:pPr>
        <w:pStyle w:val="ListBullet"/>
      </w:pPr>
      <w:r w:rsidRPr="00117237">
        <w:t>A</w:t>
      </w:r>
      <w:r w:rsidR="00937381" w:rsidRPr="00117237">
        <w:t>ctors at a TAFE and system level have increased recognition of their role in promoting gender equality and preventing violence within TAFEs</w:t>
      </w:r>
    </w:p>
    <w:p w14:paraId="30987D7F" w14:textId="6AF5A51F" w:rsidR="00937381" w:rsidRPr="00117237" w:rsidRDefault="002E15BE" w:rsidP="00DB7383">
      <w:pPr>
        <w:pStyle w:val="ListBullet"/>
      </w:pPr>
      <w:r w:rsidRPr="00117237">
        <w:t>S</w:t>
      </w:r>
      <w:r w:rsidR="00937381" w:rsidRPr="00117237">
        <w:t xml:space="preserve">ystem actors </w:t>
      </w:r>
      <w:r w:rsidRPr="00117237">
        <w:t>to be</w:t>
      </w:r>
      <w:r w:rsidR="00937381" w:rsidRPr="00117237">
        <w:t xml:space="preserve"> active advocates within their sphere of influence for promotion of gender equality and prevention of violence against women</w:t>
      </w:r>
    </w:p>
    <w:p w14:paraId="689DF06F" w14:textId="7DF5137F" w:rsidR="00937381" w:rsidRPr="00117237" w:rsidRDefault="00937381" w:rsidP="00DB7383">
      <w:pPr>
        <w:pStyle w:val="ListBullet"/>
      </w:pPr>
      <w:r w:rsidRPr="00117237">
        <w:t xml:space="preserve">TAFEs and system actors </w:t>
      </w:r>
      <w:r w:rsidR="002E15BE" w:rsidRPr="00117237">
        <w:t xml:space="preserve">to </w:t>
      </w:r>
      <w:r w:rsidRPr="00117237">
        <w:t>have taken actions to address at least one of the domains in the RET framework</w:t>
      </w:r>
    </w:p>
    <w:p w14:paraId="2F6C489D" w14:textId="43D9BEF4" w:rsidR="002F7EC2" w:rsidRPr="00117237" w:rsidRDefault="002F7EC2" w:rsidP="002F7EC2">
      <w:pPr>
        <w:pStyle w:val="Heading2"/>
      </w:pPr>
      <w:bookmarkStart w:id="14" w:name="_Toc204168356"/>
      <w:r w:rsidRPr="00117237">
        <w:t>About this evaluation</w:t>
      </w:r>
      <w:bookmarkEnd w:id="14"/>
    </w:p>
    <w:p w14:paraId="59F2457D" w14:textId="7BB7BF80" w:rsidR="002F7EC2" w:rsidRPr="00117237" w:rsidRDefault="007F7429" w:rsidP="002F7EC2">
      <w:pPr>
        <w:pStyle w:val="Heading3Normal"/>
      </w:pPr>
      <w:r w:rsidRPr="00117237">
        <w:t xml:space="preserve">Our Watch engaged dandolopartners (dandolo) to </w:t>
      </w:r>
      <w:r w:rsidR="00E61C94" w:rsidRPr="00117237">
        <w:t>evaluate</w:t>
      </w:r>
      <w:r w:rsidRPr="00117237">
        <w:t xml:space="preserve"> </w:t>
      </w:r>
      <w:r w:rsidR="002E15BE" w:rsidRPr="00117237">
        <w:t>RET2</w:t>
      </w:r>
      <w:r w:rsidRPr="00117237">
        <w:t>.</w:t>
      </w:r>
    </w:p>
    <w:p w14:paraId="21A28DA9" w14:textId="0776296B" w:rsidR="00F320AB" w:rsidRPr="00117237" w:rsidRDefault="00E22619" w:rsidP="00F320AB">
      <w:r w:rsidRPr="00117237">
        <w:rPr>
          <w:rFonts w:ascii="Arial Narrow" w:eastAsia="Arial Narrow" w:hAnsi="Arial Narrow" w:cs="Arial Narrow"/>
        </w:rPr>
        <w:t xml:space="preserve">The aim of this evaluation is to understand how the RET2 </w:t>
      </w:r>
      <w:r w:rsidR="00580A48" w:rsidRPr="00117237">
        <w:rPr>
          <w:rFonts w:ascii="Arial Narrow" w:eastAsia="Arial Narrow" w:hAnsi="Arial Narrow" w:cs="Arial Narrow"/>
        </w:rPr>
        <w:t>p</w:t>
      </w:r>
      <w:r w:rsidRPr="00117237">
        <w:rPr>
          <w:rFonts w:ascii="Arial Narrow" w:eastAsia="Arial Narrow" w:hAnsi="Arial Narrow" w:cs="Arial Narrow"/>
        </w:rPr>
        <w:t xml:space="preserve">roject went in achieving its aims and objectives and generate learnings on best practice in </w:t>
      </w:r>
      <w:r w:rsidR="0095045C" w:rsidRPr="00117237">
        <w:rPr>
          <w:rFonts w:ascii="Arial Narrow" w:eastAsia="Arial Narrow" w:hAnsi="Arial Narrow" w:cs="Arial Narrow"/>
        </w:rPr>
        <w:t>implementing</w:t>
      </w:r>
      <w:r w:rsidRPr="00117237">
        <w:rPr>
          <w:rFonts w:ascii="Arial Narrow" w:eastAsia="Arial Narrow" w:hAnsi="Arial Narrow" w:cs="Arial Narrow"/>
        </w:rPr>
        <w:t xml:space="preserve"> the Respect and Equality in TAFE</w:t>
      </w:r>
      <w:r w:rsidR="00132CB8" w:rsidRPr="00117237">
        <w:rPr>
          <w:rFonts w:ascii="Arial Narrow" w:eastAsia="Arial Narrow" w:hAnsi="Arial Narrow" w:cs="Arial Narrow"/>
        </w:rPr>
        <w:t xml:space="preserve"> </w:t>
      </w:r>
      <w:r w:rsidRPr="00117237">
        <w:rPr>
          <w:rFonts w:ascii="Arial Narrow" w:eastAsia="Arial Narrow" w:hAnsi="Arial Narrow" w:cs="Arial Narrow"/>
        </w:rPr>
        <w:t>Framework developed in Victorian RTOs in 2019-2021.</w:t>
      </w:r>
      <w:r w:rsidR="0067014E" w:rsidRPr="00117237">
        <w:t xml:space="preserve"> </w:t>
      </w:r>
      <w:r w:rsidR="00F320AB" w:rsidRPr="00117237">
        <w:t>The purpose of this RET2 project evaluation is to determine if the project has:</w:t>
      </w:r>
    </w:p>
    <w:p w14:paraId="74215FC9" w14:textId="1CB30A9A" w:rsidR="00F320AB" w:rsidRPr="00117237" w:rsidRDefault="00F320AB" w:rsidP="00DB7383">
      <w:pPr>
        <w:pStyle w:val="ListBullet"/>
      </w:pPr>
      <w:r w:rsidRPr="00117237">
        <w:t>Successfully achieved its intended outcomes</w:t>
      </w:r>
      <w:r w:rsidR="005312CA" w:rsidRPr="00117237">
        <w:t xml:space="preserve"> and t</w:t>
      </w:r>
      <w:r w:rsidR="00B161F8" w:rsidRPr="00117237">
        <w:t xml:space="preserve">o determine the </w:t>
      </w:r>
      <w:r w:rsidR="005312CA" w:rsidRPr="00117237">
        <w:t xml:space="preserve">sustainability of those outcomes </w:t>
      </w:r>
      <w:r w:rsidR="00885691" w:rsidRPr="00117237">
        <w:t>in TAFEs</w:t>
      </w:r>
      <w:r w:rsidR="005312CA" w:rsidRPr="00117237">
        <w:t xml:space="preserve"> </w:t>
      </w:r>
    </w:p>
    <w:p w14:paraId="3F64A897" w14:textId="16387EC9" w:rsidR="00F320AB" w:rsidRPr="00117237" w:rsidRDefault="00F320AB" w:rsidP="00DB7383">
      <w:pPr>
        <w:pStyle w:val="ListBullet"/>
      </w:pPr>
      <w:r w:rsidRPr="00117237">
        <w:t>Been implemented as planned, including identifying barriers and enablers that could influence scalability</w:t>
      </w:r>
    </w:p>
    <w:p w14:paraId="13A48B64" w14:textId="00127C9A" w:rsidR="00F320AB" w:rsidRPr="00117237" w:rsidRDefault="00F320AB" w:rsidP="00DB7383">
      <w:pPr>
        <w:pStyle w:val="ListBullet"/>
      </w:pPr>
      <w:r w:rsidRPr="00117237">
        <w:t>Engaged stakeholders effectively throughout the process to foster collaboration and support</w:t>
      </w:r>
    </w:p>
    <w:p w14:paraId="2A842956" w14:textId="00D7CF57" w:rsidR="00F320AB" w:rsidRPr="00117237" w:rsidRDefault="00F320AB" w:rsidP="00DB7383">
      <w:pPr>
        <w:pStyle w:val="ListBullet"/>
      </w:pPr>
      <w:r w:rsidRPr="00117237">
        <w:t>Provided actionable opportunities to inform strategies for enhancing gender equality and violence prevention in TAFE settings</w:t>
      </w:r>
    </w:p>
    <w:p w14:paraId="7E2C5090" w14:textId="581E8FED" w:rsidR="00F320AB" w:rsidRPr="00117237" w:rsidRDefault="00F320AB" w:rsidP="00F320AB">
      <w:r w:rsidRPr="00117237">
        <w:t>Our Watch will draw on the learnings of the RET2 Project to inform the design and implementation of the RET framework at other TAFEs across different jurisdictions.</w:t>
      </w:r>
    </w:p>
    <w:p w14:paraId="07BFD1C6" w14:textId="6BE6AB27" w:rsidR="00343CC5" w:rsidRPr="00117237" w:rsidRDefault="00E61C94" w:rsidP="00F320AB">
      <w:r w:rsidRPr="00117237">
        <w:t>Our</w:t>
      </w:r>
      <w:r w:rsidR="00343CC5" w:rsidRPr="00117237">
        <w:t xml:space="preserve"> evaluation is underpinned by an evaluation framework, which can be found at Appendix </w:t>
      </w:r>
      <w:r w:rsidR="008F5C7C" w:rsidRPr="00117237">
        <w:t>E</w:t>
      </w:r>
      <w:r w:rsidR="00343CC5" w:rsidRPr="00117237">
        <w:t>.</w:t>
      </w:r>
    </w:p>
    <w:p w14:paraId="2A223995" w14:textId="24BA7A80" w:rsidR="007214B2" w:rsidRPr="00117237" w:rsidRDefault="00832944" w:rsidP="002D4E79">
      <w:pPr>
        <w:pStyle w:val="Heading3Normal"/>
      </w:pPr>
      <w:r w:rsidRPr="00117237">
        <w:t>Our</w:t>
      </w:r>
      <w:r w:rsidR="00D35BD1" w:rsidRPr="00117237">
        <w:t xml:space="preserve"> evaluation commenced in October 2024, with fieldwork and analysis taking place </w:t>
      </w:r>
      <w:r w:rsidRPr="00117237">
        <w:t>between</w:t>
      </w:r>
      <w:r w:rsidR="00D35BD1" w:rsidRPr="00117237">
        <w:t xml:space="preserve"> December 2024 </w:t>
      </w:r>
      <w:r w:rsidR="000450CF" w:rsidRPr="00117237">
        <w:t xml:space="preserve">and January 2025. </w:t>
      </w:r>
    </w:p>
    <w:p w14:paraId="1C93589E" w14:textId="70C0A90D" w:rsidR="00F955BE" w:rsidRPr="00117237" w:rsidRDefault="0043377A" w:rsidP="004E2D5D">
      <w:r w:rsidRPr="00117237">
        <w:t xml:space="preserve">Key evaluation activities including ethics and safety considerations are documented in our evaluation plan, which was provided to Our Watch in </w:t>
      </w:r>
      <w:r w:rsidR="00343CC5" w:rsidRPr="00117237">
        <w:t xml:space="preserve">December 2024. </w:t>
      </w:r>
    </w:p>
    <w:p w14:paraId="070F2FDB" w14:textId="6117DE16" w:rsidR="00634D62" w:rsidRPr="00117237" w:rsidRDefault="00634D62" w:rsidP="004E2D5D">
      <w:r w:rsidRPr="00117237">
        <w:t>Th</w:t>
      </w:r>
      <w:r w:rsidR="001474E7" w:rsidRPr="00117237">
        <w:t>e</w:t>
      </w:r>
      <w:r w:rsidRPr="00117237">
        <w:t xml:space="preserve"> evaluation was informed by a document and desktop review of the broader policy landscape and project documentation provided by Our Watch. These include but are not limited to:</w:t>
      </w:r>
    </w:p>
    <w:p w14:paraId="53DCD7F8" w14:textId="4817640E" w:rsidR="00190A03" w:rsidRPr="00117237" w:rsidRDefault="00190A03" w:rsidP="00B50EF6">
      <w:pPr>
        <w:pStyle w:val="ListBullet"/>
      </w:pPr>
      <w:r w:rsidRPr="00117237">
        <w:t>Project plans and reports</w:t>
      </w:r>
    </w:p>
    <w:p w14:paraId="04BA180C" w14:textId="77777777" w:rsidR="00190A03" w:rsidRPr="00117237" w:rsidRDefault="00190A03" w:rsidP="00B50EF6">
      <w:pPr>
        <w:pStyle w:val="ListBullet"/>
      </w:pPr>
      <w:r w:rsidRPr="00117237">
        <w:t>Evaluation Plan</w:t>
      </w:r>
    </w:p>
    <w:p w14:paraId="244B51CC" w14:textId="3578521A" w:rsidR="00190A03" w:rsidRPr="00117237" w:rsidRDefault="00190A03" w:rsidP="00B50EF6">
      <w:pPr>
        <w:pStyle w:val="ListBullet"/>
      </w:pPr>
      <w:r w:rsidRPr="00117237">
        <w:t>T</w:t>
      </w:r>
      <w:r w:rsidR="003E1766" w:rsidRPr="00117237">
        <w:t>heory of Change (ToC)</w:t>
      </w:r>
    </w:p>
    <w:p w14:paraId="4DDA60A7" w14:textId="4F9164C7" w:rsidR="00237F5E" w:rsidRPr="00117237" w:rsidRDefault="00237F5E" w:rsidP="00B50EF6">
      <w:pPr>
        <w:pStyle w:val="ListBullet"/>
      </w:pPr>
      <w:r w:rsidRPr="00117237">
        <w:lastRenderedPageBreak/>
        <w:t xml:space="preserve">Data collected from project events, including attendance data and feedback </w:t>
      </w:r>
      <w:r w:rsidR="00F571BC" w:rsidRPr="00117237">
        <w:t xml:space="preserve">/ satisfaction </w:t>
      </w:r>
      <w:r w:rsidRPr="00117237">
        <w:t>survey</w:t>
      </w:r>
      <w:r w:rsidR="00F571BC" w:rsidRPr="00117237">
        <w:t>s</w:t>
      </w:r>
    </w:p>
    <w:p w14:paraId="70782A27" w14:textId="15958F22" w:rsidR="00F9216A" w:rsidRPr="00117237" w:rsidRDefault="00F9216A" w:rsidP="00B50EF6">
      <w:pPr>
        <w:pStyle w:val="ListBullet"/>
      </w:pPr>
      <w:r w:rsidRPr="00117237">
        <w:t>Records and documentation from project team reflection and review processes, including the RET team monthly and activities-specific evaluation reflections (e.g. end of year RET2 team reflection)</w:t>
      </w:r>
    </w:p>
    <w:p w14:paraId="7F931BB4" w14:textId="65270BA0" w:rsidR="00EA3286" w:rsidRPr="00117237" w:rsidRDefault="00F9216A" w:rsidP="00B50EF6">
      <w:pPr>
        <w:pStyle w:val="ListBullet"/>
      </w:pPr>
      <w:r w:rsidRPr="00117237">
        <w:t>Collated (aggregated and anonymous) data collected through the duration of the developmental evaluation relevant to the key project activities</w:t>
      </w:r>
    </w:p>
    <w:p w14:paraId="144A8B16" w14:textId="142AAC0F" w:rsidR="004C4E4B" w:rsidRPr="00117237" w:rsidRDefault="004C4E4B" w:rsidP="00B50EF6">
      <w:pPr>
        <w:pStyle w:val="ListBullet"/>
      </w:pPr>
      <w:r w:rsidRPr="00117237">
        <w:t xml:space="preserve">Case studies developed by Our Watch staff during project implementation </w:t>
      </w:r>
    </w:p>
    <w:p w14:paraId="4DC97C66" w14:textId="6E645B57" w:rsidR="003B723E" w:rsidRPr="00117237" w:rsidRDefault="003B723E" w:rsidP="004E2D5D">
      <w:r w:rsidRPr="00117237">
        <w:t xml:space="preserve">We also </w:t>
      </w:r>
      <w:r w:rsidR="00E61C94" w:rsidRPr="00117237">
        <w:t>interviewed</w:t>
      </w:r>
      <w:r w:rsidR="005C6833" w:rsidRPr="00117237">
        <w:t xml:space="preserve"> key stakeholders who contributed to the project including</w:t>
      </w:r>
      <w:r w:rsidRPr="00117237">
        <w:t xml:space="preserve"> internal </w:t>
      </w:r>
      <w:r w:rsidR="00043E62" w:rsidRPr="00117237">
        <w:t>Our Watch stakeholders</w:t>
      </w:r>
      <w:r w:rsidR="005C6833" w:rsidRPr="00117237">
        <w:t xml:space="preserve"> and stakeholders from the five TAFEs. In total we completed </w:t>
      </w:r>
      <w:r w:rsidR="008F5C7C" w:rsidRPr="00117237">
        <w:t>1</w:t>
      </w:r>
      <w:r w:rsidR="00EA545B" w:rsidRPr="00117237">
        <w:t>3</w:t>
      </w:r>
      <w:r w:rsidR="005C6833" w:rsidRPr="00117237">
        <w:t xml:space="preserve"> interviews which had a total of </w:t>
      </w:r>
      <w:r w:rsidR="00512272" w:rsidRPr="00117237">
        <w:t>18</w:t>
      </w:r>
      <w:r w:rsidR="005C6833" w:rsidRPr="00117237">
        <w:t xml:space="preserve"> attendees.</w:t>
      </w:r>
      <w:r w:rsidR="00E92301" w:rsidRPr="00117237">
        <w:rPr>
          <w:rStyle w:val="FootnoteReference"/>
        </w:rPr>
        <w:footnoteReference w:id="13"/>
      </w:r>
      <w:r w:rsidR="005C6833" w:rsidRPr="00117237">
        <w:t xml:space="preserve"> </w:t>
      </w:r>
    </w:p>
    <w:p w14:paraId="35E0FFE1" w14:textId="158BA6FC" w:rsidR="004B59C0" w:rsidRPr="00117237" w:rsidRDefault="004B59C0" w:rsidP="004E2D5D">
      <w:r w:rsidRPr="00117237">
        <w:t xml:space="preserve">A more detailed overview of stakeholder consultation </w:t>
      </w:r>
      <w:r w:rsidR="00782CD3" w:rsidRPr="00117237">
        <w:t xml:space="preserve">can be found in Appendix </w:t>
      </w:r>
      <w:r w:rsidR="008F5C7C" w:rsidRPr="00117237">
        <w:t>F</w:t>
      </w:r>
      <w:r w:rsidR="00A34D7F" w:rsidRPr="00117237">
        <w:t>.</w:t>
      </w:r>
    </w:p>
    <w:p w14:paraId="641A2748" w14:textId="6713520E" w:rsidR="00782CD3" w:rsidRPr="00117237" w:rsidRDefault="00E61C94" w:rsidP="004E2D5D">
      <w:r w:rsidRPr="00117237">
        <w:t>Our</w:t>
      </w:r>
      <w:r w:rsidR="00782CD3" w:rsidRPr="00117237">
        <w:t xml:space="preserve"> methodology </w:t>
      </w:r>
      <w:r w:rsidRPr="00117237">
        <w:t>was</w:t>
      </w:r>
      <w:r w:rsidR="00E8182D" w:rsidRPr="00117237">
        <w:t>:</w:t>
      </w:r>
    </w:p>
    <w:p w14:paraId="364A2B56" w14:textId="77777777" w:rsidR="00190A03" w:rsidRPr="00117237" w:rsidRDefault="00190A03" w:rsidP="00983DA0">
      <w:pPr>
        <w:pStyle w:val="ListBullet"/>
      </w:pPr>
      <w:r w:rsidRPr="00117237">
        <w:rPr>
          <w:b/>
          <w:bCs/>
        </w:rPr>
        <w:t>Stage 1</w:t>
      </w:r>
      <w:r w:rsidRPr="00117237">
        <w:t xml:space="preserve"> – Initiation and establishment. This included a project kick off meeting and evaluation framework workshop, the development of an evaluation plan and a data and a document request to Our Watch requesting project data documentation relevant to this evaluation.</w:t>
      </w:r>
    </w:p>
    <w:p w14:paraId="566D64FF" w14:textId="77777777" w:rsidR="00190A03" w:rsidRPr="00117237" w:rsidRDefault="00190A03" w:rsidP="00983DA0">
      <w:pPr>
        <w:pStyle w:val="ListBullet"/>
      </w:pPr>
      <w:r w:rsidRPr="00117237">
        <w:rPr>
          <w:b/>
          <w:bCs/>
        </w:rPr>
        <w:t>Stage 2</w:t>
      </w:r>
      <w:r w:rsidRPr="00117237">
        <w:t xml:space="preserve"> – Data collection and analysis for evaluation. This included reviewing project data and documentation, developing fieldwork instruments, scheduling consultations and completing fieldwork. This stage also included the analysis of qualitative data collected through fieldwork and undertaken through thematic coding to ensure robustness and credibility of our findings.</w:t>
      </w:r>
    </w:p>
    <w:p w14:paraId="20033663" w14:textId="063C5E42" w:rsidR="00190A03" w:rsidRPr="00117237" w:rsidRDefault="00190A03" w:rsidP="00983DA0">
      <w:pPr>
        <w:pStyle w:val="ListBullet"/>
      </w:pPr>
      <w:r w:rsidRPr="00117237">
        <w:rPr>
          <w:b/>
          <w:bCs/>
        </w:rPr>
        <w:t>Stage 3</w:t>
      </w:r>
      <w:r w:rsidRPr="00117237">
        <w:t xml:space="preserve"> – Submission of evaluation findings and report. This included submitting a draft evaluation report to Our Watch and presenting on our findings. </w:t>
      </w:r>
    </w:p>
    <w:p w14:paraId="5AB2CC21" w14:textId="3AACAF19" w:rsidR="00E8182D" w:rsidRPr="00117237" w:rsidRDefault="00E8182D" w:rsidP="004E2D5D">
      <w:r w:rsidRPr="00117237">
        <w:t>An overview of the full methodology</w:t>
      </w:r>
      <w:r w:rsidR="00935E4B" w:rsidRPr="00117237">
        <w:t>, including ethics and safety principals</w:t>
      </w:r>
      <w:r w:rsidRPr="00117237">
        <w:t xml:space="preserve"> for this evaluation is included in Appendix </w:t>
      </w:r>
      <w:r w:rsidR="00A34D7F" w:rsidRPr="00117237">
        <w:t>G</w:t>
      </w:r>
      <w:r w:rsidRPr="00117237">
        <w:t xml:space="preserve">. </w:t>
      </w:r>
    </w:p>
    <w:p w14:paraId="16AFD388" w14:textId="77777777" w:rsidR="00D62DCF" w:rsidRPr="00117237" w:rsidRDefault="00D62DCF" w:rsidP="00D62DCF">
      <w:pPr>
        <w:pStyle w:val="Heading3Normal"/>
      </w:pPr>
      <w:r w:rsidRPr="00117237">
        <w:t xml:space="preserve">There are some limitations to this evaluation and our findings, and therefore to the conclusions made in this report. </w:t>
      </w:r>
    </w:p>
    <w:p w14:paraId="10275FE9" w14:textId="77777777" w:rsidR="00A71F51" w:rsidRPr="00117237" w:rsidRDefault="00A71F51" w:rsidP="00A71F51">
      <w:pPr>
        <w:pBdr>
          <w:top w:val="nil"/>
          <w:left w:val="nil"/>
          <w:bottom w:val="nil"/>
          <w:right w:val="nil"/>
          <w:between w:val="nil"/>
        </w:pBdr>
        <w:spacing w:line="276" w:lineRule="auto"/>
      </w:pPr>
      <w:r w:rsidRPr="00117237">
        <w:t xml:space="preserve">As with all evaluations, this evaluation has some limitations. These include: </w:t>
      </w:r>
    </w:p>
    <w:p w14:paraId="50C85D3F" w14:textId="61A4B4B5" w:rsidR="00D1372C" w:rsidRPr="00117237" w:rsidRDefault="00D1372C" w:rsidP="00B50EF6">
      <w:pPr>
        <w:pStyle w:val="ListBullet"/>
      </w:pPr>
      <w:r w:rsidRPr="00117237">
        <w:rPr>
          <w:b/>
          <w:bCs/>
        </w:rPr>
        <w:t>Jurisdictional Differences.</w:t>
      </w:r>
      <w:r w:rsidRPr="00117237">
        <w:t xml:space="preserve"> The project has been implemented across very different jurisdictions compared to the original jurisdiction where the framework was developed. These differences make it challenging to draw comprehensive, whole-of-program findings. </w:t>
      </w:r>
      <w:r w:rsidR="006A6409" w:rsidRPr="00117237">
        <w:t>Our evaluation has drawn on the Our Watch project team’s reflections to identify</w:t>
      </w:r>
      <w:r w:rsidRPr="00117237">
        <w:t xml:space="preserve"> cross-jurisdictional </w:t>
      </w:r>
      <w:r w:rsidR="006A6409" w:rsidRPr="00117237">
        <w:t>learnings</w:t>
      </w:r>
      <w:r w:rsidRPr="00117237">
        <w:t xml:space="preserve"> and insights </w:t>
      </w:r>
      <w:r w:rsidR="006A6409" w:rsidRPr="00117237">
        <w:t>where possible.</w:t>
      </w:r>
    </w:p>
    <w:p w14:paraId="4D3B59D2" w14:textId="35EBCA06" w:rsidR="008D4036" w:rsidRPr="00117237" w:rsidRDefault="00706FF4" w:rsidP="00B50EF6">
      <w:pPr>
        <w:pStyle w:val="ListBullet"/>
      </w:pPr>
      <w:r w:rsidRPr="00117237">
        <w:rPr>
          <w:b/>
          <w:bCs/>
        </w:rPr>
        <w:t>Timeframes and timing</w:t>
      </w:r>
      <w:r w:rsidR="00B50EF6" w:rsidRPr="00117237">
        <w:rPr>
          <w:b/>
          <w:bCs/>
        </w:rPr>
        <w:t>.</w:t>
      </w:r>
      <w:r w:rsidRPr="00117237">
        <w:t xml:space="preserve"> </w:t>
      </w:r>
      <w:r w:rsidR="009A408F" w:rsidRPr="00117237">
        <w:t>This evaluation took place from October 2024 to February 2025 and therefore</w:t>
      </w:r>
      <w:r w:rsidRPr="00117237">
        <w:t xml:space="preserve"> occurred over the end of year / holiday period</w:t>
      </w:r>
      <w:r w:rsidR="009A408F" w:rsidRPr="00117237">
        <w:t xml:space="preserve">. This </w:t>
      </w:r>
      <w:r w:rsidRPr="00117237">
        <w:t xml:space="preserve">made it </w:t>
      </w:r>
      <w:r w:rsidR="009A408F" w:rsidRPr="00117237">
        <w:t>more challenging to schedule stakeholder consultation</w:t>
      </w:r>
      <w:r w:rsidR="00724B9E" w:rsidRPr="00117237">
        <w:t>, at a time of year many stakeholders are taking</w:t>
      </w:r>
      <w:r w:rsidRPr="00117237">
        <w:t xml:space="preserve"> leave. We’ve addressed this by being flexible</w:t>
      </w:r>
      <w:r w:rsidR="00724B9E" w:rsidRPr="00117237">
        <w:t xml:space="preserve">, responsive and communicative both with stakeholders and the Our Watch team. </w:t>
      </w:r>
    </w:p>
    <w:p w14:paraId="1B59644D" w14:textId="52991FE5" w:rsidR="00706FF4" w:rsidRPr="00117237" w:rsidRDefault="00DA6581" w:rsidP="00B50EF6">
      <w:pPr>
        <w:pStyle w:val="ListBullet"/>
      </w:pPr>
      <w:r w:rsidRPr="00117237">
        <w:t>While not a limitation of the evaluation itself, it is important to note that the scope of the evaluation was limited to understanding the design</w:t>
      </w:r>
      <w:r w:rsidR="00D87A7E" w:rsidRPr="00117237">
        <w:t>,</w:t>
      </w:r>
      <w:r w:rsidRPr="00117237">
        <w:t xml:space="preserve"> implementation </w:t>
      </w:r>
      <w:r w:rsidR="00B01882" w:rsidRPr="00117237">
        <w:t>and outcomes of implementing</w:t>
      </w:r>
      <w:r w:rsidRPr="00117237">
        <w:t xml:space="preserve"> the </w:t>
      </w:r>
      <w:r w:rsidR="006E3742" w:rsidRPr="00117237">
        <w:t xml:space="preserve">RET framework, which focusses on the </w:t>
      </w:r>
      <w:r w:rsidRPr="00117237">
        <w:t xml:space="preserve">development of </w:t>
      </w:r>
      <w:r w:rsidR="006E3742" w:rsidRPr="00117237">
        <w:t>gender equality action plans in each of the participating TAFEs</w:t>
      </w:r>
      <w:r w:rsidRPr="00117237">
        <w:t xml:space="preserve">. </w:t>
      </w:r>
      <w:r w:rsidR="00E573F0" w:rsidRPr="00117237">
        <w:t>W</w:t>
      </w:r>
      <w:r w:rsidRPr="00117237">
        <w:t xml:space="preserve">e have not made findings on the </w:t>
      </w:r>
      <w:r w:rsidR="006E3742" w:rsidRPr="00117237">
        <w:t>implementation of these action plans</w:t>
      </w:r>
      <w:r w:rsidR="00E573F0" w:rsidRPr="00117237">
        <w:t xml:space="preserve"> as this is</w:t>
      </w:r>
      <w:r w:rsidR="006E3742" w:rsidRPr="00117237">
        <w:t xml:space="preserve"> out of scope in the RET2 project, and therefore out of scope of this evaluation. </w:t>
      </w:r>
    </w:p>
    <w:p w14:paraId="2F70723C" w14:textId="648C2D6F" w:rsidR="004E2D5D" w:rsidRPr="00117237" w:rsidRDefault="00D62DCF" w:rsidP="00D62DCF">
      <w:pPr>
        <w:pStyle w:val="Heading2"/>
      </w:pPr>
      <w:bookmarkStart w:id="15" w:name="_Toc204168357"/>
      <w:r w:rsidRPr="00117237">
        <w:t>About this report</w:t>
      </w:r>
      <w:bookmarkEnd w:id="15"/>
      <w:r w:rsidRPr="00117237">
        <w:t xml:space="preserve"> </w:t>
      </w:r>
    </w:p>
    <w:p w14:paraId="5AAF98F1" w14:textId="0AA295A6" w:rsidR="00D62DCF" w:rsidRPr="00117237" w:rsidRDefault="00D62DCF" w:rsidP="00D62DCF">
      <w:pPr>
        <w:pStyle w:val="Heading3Normal"/>
      </w:pPr>
      <w:r w:rsidRPr="00117237">
        <w:t xml:space="preserve">This report includes </w:t>
      </w:r>
      <w:r w:rsidR="00BF2AAF" w:rsidRPr="00117237">
        <w:t xml:space="preserve">a chapter on our evaluation findings, structured under four key areas.  </w:t>
      </w:r>
    </w:p>
    <w:p w14:paraId="1B78D009" w14:textId="0F57B1F6" w:rsidR="00943B64" w:rsidRPr="00117237" w:rsidRDefault="00C67E7B" w:rsidP="00943B64">
      <w:pPr>
        <w:pStyle w:val="BodyText"/>
      </w:pPr>
      <w:r w:rsidRPr="00117237">
        <w:t>F</w:t>
      </w:r>
      <w:r w:rsidR="00943B64" w:rsidRPr="00117237">
        <w:t>indings have been presented thematically to address the key questions outlined in the evaluation framework, including:</w:t>
      </w:r>
    </w:p>
    <w:p w14:paraId="0E18B075" w14:textId="33417D7B" w:rsidR="00A27247" w:rsidRPr="00117237" w:rsidRDefault="008C0488" w:rsidP="00B50EF6">
      <w:pPr>
        <w:pStyle w:val="ListBullet"/>
      </w:pPr>
      <w:r w:rsidRPr="00117237">
        <w:rPr>
          <w:b/>
          <w:bCs/>
        </w:rPr>
        <w:t>P</w:t>
      </w:r>
      <w:r w:rsidR="00387C96" w:rsidRPr="00117237">
        <w:rPr>
          <w:b/>
          <w:bCs/>
        </w:rPr>
        <w:t>roblem definition, p</w:t>
      </w:r>
      <w:r w:rsidRPr="00117237">
        <w:rPr>
          <w:b/>
          <w:bCs/>
        </w:rPr>
        <w:t>rogram rational</w:t>
      </w:r>
      <w:r w:rsidR="00AB70A8" w:rsidRPr="00117237">
        <w:rPr>
          <w:b/>
          <w:bCs/>
        </w:rPr>
        <w:t>e</w:t>
      </w:r>
      <w:r w:rsidRPr="00117237">
        <w:rPr>
          <w:b/>
          <w:bCs/>
        </w:rPr>
        <w:t xml:space="preserve"> and d</w:t>
      </w:r>
      <w:r w:rsidR="00A27247" w:rsidRPr="00117237">
        <w:rPr>
          <w:b/>
          <w:bCs/>
        </w:rPr>
        <w:t>esign</w:t>
      </w:r>
      <w:r w:rsidR="00A27247" w:rsidRPr="00117237">
        <w:t xml:space="preserve"> – </w:t>
      </w:r>
      <w:r w:rsidR="00E24D45" w:rsidRPr="00117237">
        <w:t xml:space="preserve">was there a clear rationale for this project, and </w:t>
      </w:r>
      <w:r w:rsidR="00A27247" w:rsidRPr="00117237">
        <w:t>how did the design of the project set it up for success?</w:t>
      </w:r>
    </w:p>
    <w:p w14:paraId="6436405C" w14:textId="6569DCED" w:rsidR="00A27247" w:rsidRPr="00117237" w:rsidRDefault="00AB70A8" w:rsidP="00E24D45">
      <w:pPr>
        <w:pStyle w:val="ListBullet"/>
      </w:pPr>
      <w:r w:rsidRPr="00117237">
        <w:rPr>
          <w:b/>
          <w:bCs/>
        </w:rPr>
        <w:lastRenderedPageBreak/>
        <w:t>Program delivery</w:t>
      </w:r>
      <w:r w:rsidR="00A27247" w:rsidRPr="00117237">
        <w:t xml:space="preserve"> – how has the project been implemented? How has it responded to different jurisdictional contexts?</w:t>
      </w:r>
      <w:r w:rsidR="00E24D45" w:rsidRPr="00117237">
        <w:t xml:space="preserve"> </w:t>
      </w:r>
      <w:r w:rsidR="00132CB8" w:rsidRPr="00117237">
        <w:t>H</w:t>
      </w:r>
      <w:r w:rsidR="00E24D45" w:rsidRPr="00117237">
        <w:t>ow have the project principles influenced project implementation and outcomes?</w:t>
      </w:r>
    </w:p>
    <w:p w14:paraId="21DCC3BA" w14:textId="400E01AE" w:rsidR="00E24D45" w:rsidRPr="00117237" w:rsidRDefault="00E24D45" w:rsidP="00462C12">
      <w:pPr>
        <w:pStyle w:val="ListBullet"/>
      </w:pPr>
      <w:r w:rsidRPr="00117237">
        <w:rPr>
          <w:b/>
          <w:bCs/>
        </w:rPr>
        <w:t xml:space="preserve">Program impact </w:t>
      </w:r>
      <w:r w:rsidR="009E09A9" w:rsidRPr="00117237">
        <w:t>–</w:t>
      </w:r>
      <w:r w:rsidRPr="00117237">
        <w:t xml:space="preserve"> what type and level of changes has the project contributed to?</w:t>
      </w:r>
    </w:p>
    <w:p w14:paraId="24CC61A9" w14:textId="7F9FC042" w:rsidR="00E24D45" w:rsidRPr="00117237" w:rsidRDefault="00E24D45" w:rsidP="00462C12">
      <w:pPr>
        <w:pStyle w:val="ListBullet"/>
        <w:rPr>
          <w:b/>
          <w:bCs/>
        </w:rPr>
      </w:pPr>
      <w:r w:rsidRPr="00117237">
        <w:rPr>
          <w:b/>
          <w:bCs/>
        </w:rPr>
        <w:t xml:space="preserve">Key learnings and future considerations </w:t>
      </w:r>
      <w:r w:rsidRPr="00117237">
        <w:t>– what are the key learnings from this project</w:t>
      </w:r>
      <w:r w:rsidR="00AE74F5" w:rsidRPr="00117237">
        <w:t xml:space="preserve"> that should be taken forward in future iterations of this work? </w:t>
      </w:r>
    </w:p>
    <w:p w14:paraId="2A000A95" w14:textId="01CDA26B" w:rsidR="00943B64" w:rsidRPr="00117237" w:rsidRDefault="00943B64" w:rsidP="00943B64">
      <w:pPr>
        <w:pStyle w:val="Heading3Normal"/>
      </w:pPr>
      <w:r w:rsidRPr="00117237">
        <w:t xml:space="preserve">It also includes a chapter on key learnings and future considerations informed by our evaluation findings. </w:t>
      </w:r>
    </w:p>
    <w:p w14:paraId="3E7D0FF4" w14:textId="2CCAE9E9" w:rsidR="001A0076" w:rsidRPr="00117237" w:rsidRDefault="001A0076" w:rsidP="001A0076">
      <w:r w:rsidRPr="00117237">
        <w:t>The key lessons and future considerations are primarily targeted at Our Watch, as the organisation delivering the</w:t>
      </w:r>
      <w:r w:rsidR="004C2D43" w:rsidRPr="00117237">
        <w:t xml:space="preserve"> RET2 </w:t>
      </w:r>
      <w:r w:rsidRPr="00117237" w:rsidDel="008A24EA">
        <w:t>project</w:t>
      </w:r>
      <w:r w:rsidRPr="00117237">
        <w:t>. They may also be relevant for other project stakeholders, including the Australian Government as the project funder</w:t>
      </w:r>
      <w:r w:rsidR="00F65247" w:rsidRPr="00117237">
        <w:t xml:space="preserve">. </w:t>
      </w:r>
    </w:p>
    <w:p w14:paraId="630FC9E8" w14:textId="65AE50A1" w:rsidR="00F65247" w:rsidRPr="00117237" w:rsidRDefault="000A02CB" w:rsidP="001A0076">
      <w:r w:rsidRPr="00117237">
        <w:t xml:space="preserve">These key learnings and future considerations are designed to support Our Watch in the development, design and administration of future projects </w:t>
      </w:r>
      <w:r w:rsidR="00A11FCE" w:rsidRPr="00117237">
        <w:t>like</w:t>
      </w:r>
      <w:r w:rsidRPr="00117237">
        <w:t xml:space="preserve"> this one and</w:t>
      </w:r>
      <w:r w:rsidR="00BE11BC" w:rsidRPr="00117237">
        <w:t xml:space="preserve"> to add </w:t>
      </w:r>
      <w:r w:rsidR="00C3205F" w:rsidRPr="00117237">
        <w:t>value</w:t>
      </w:r>
      <w:r w:rsidR="00BE11BC" w:rsidRPr="00117237">
        <w:t xml:space="preserve"> to any relevant funding opportunities. </w:t>
      </w:r>
    </w:p>
    <w:p w14:paraId="147A18C1" w14:textId="14E3A5F2" w:rsidR="00210938" w:rsidRPr="00117237" w:rsidRDefault="00210938" w:rsidP="00210938">
      <w:pPr>
        <w:pStyle w:val="BodyText"/>
      </w:pPr>
      <w:r w:rsidRPr="00117237">
        <w:t xml:space="preserve">As a result, we have designed these as ‘principles-based’ lessons and considerations to ensure they are applicable and relevant in the current context and will continue to be relevant in future. </w:t>
      </w:r>
    </w:p>
    <w:p w14:paraId="75C22291" w14:textId="77777777" w:rsidR="00D62DCF" w:rsidRPr="00117237" w:rsidRDefault="00D62DCF">
      <w:pPr>
        <w:spacing w:after="240"/>
        <w:rPr>
          <w:b/>
          <w:bCs/>
          <w:color w:val="auto"/>
        </w:rPr>
      </w:pPr>
      <w:r w:rsidRPr="00117237">
        <w:br w:type="page"/>
      </w:r>
    </w:p>
    <w:p w14:paraId="2630601F" w14:textId="7609EC7B" w:rsidR="00D62DCF" w:rsidRPr="00117237" w:rsidRDefault="00D62DCF" w:rsidP="00D62DCF">
      <w:pPr>
        <w:pStyle w:val="Heading1"/>
      </w:pPr>
      <w:bookmarkStart w:id="16" w:name="_Toc204168358"/>
      <w:r w:rsidRPr="00117237">
        <w:lastRenderedPageBreak/>
        <w:t>Evaluation findings</w:t>
      </w:r>
      <w:bookmarkEnd w:id="16"/>
      <w:r w:rsidRPr="00117237">
        <w:t xml:space="preserve"> </w:t>
      </w:r>
    </w:p>
    <w:p w14:paraId="67ED47D9" w14:textId="0F66116F" w:rsidR="009B2EA5" w:rsidRPr="00117237" w:rsidRDefault="00215834" w:rsidP="009B2EA5">
      <w:pPr>
        <w:pStyle w:val="Heading2"/>
      </w:pPr>
      <w:bookmarkStart w:id="17" w:name="_Toc204168359"/>
      <w:r w:rsidRPr="00117237">
        <w:t>Pr</w:t>
      </w:r>
      <w:r w:rsidR="0049250D" w:rsidRPr="00117237">
        <w:t>oblem definition, pr</w:t>
      </w:r>
      <w:r w:rsidRPr="00117237">
        <w:t>ogram rationale and design</w:t>
      </w:r>
      <w:bookmarkEnd w:id="17"/>
    </w:p>
    <w:tbl>
      <w:tblPr>
        <w:tblStyle w:val="TableGrid"/>
        <w:tblW w:w="0" w:type="auto"/>
        <w:tblLook w:val="04A0" w:firstRow="1" w:lastRow="0" w:firstColumn="1" w:lastColumn="0" w:noHBand="0" w:noVBand="1"/>
      </w:tblPr>
      <w:tblGrid>
        <w:gridCol w:w="9628"/>
      </w:tblGrid>
      <w:tr w:rsidR="004B5372" w:rsidRPr="00117237" w14:paraId="60BBCFF2" w14:textId="77777777">
        <w:tc>
          <w:tcPr>
            <w:tcW w:w="9628" w:type="dxa"/>
            <w:tcBorders>
              <w:top w:val="nil"/>
              <w:left w:val="nil"/>
              <w:bottom w:val="nil"/>
              <w:right w:val="nil"/>
            </w:tcBorders>
            <w:shd w:val="clear" w:color="auto" w:fill="D9D9D9" w:themeFill="background1" w:themeFillShade="D9"/>
          </w:tcPr>
          <w:p w14:paraId="313DD79A" w14:textId="77777777" w:rsidR="004B5372" w:rsidRPr="00117237" w:rsidRDefault="004B5372" w:rsidP="00E24D45">
            <w:pPr>
              <w:rPr>
                <w:b/>
                <w:bCs/>
              </w:rPr>
            </w:pPr>
            <w:r w:rsidRPr="00117237">
              <w:rPr>
                <w:b/>
                <w:bCs/>
              </w:rPr>
              <w:t>Key insights</w:t>
            </w:r>
          </w:p>
          <w:p w14:paraId="3AF01784" w14:textId="1AEABED7" w:rsidR="00D92AC2" w:rsidRPr="00117237" w:rsidRDefault="00D92AC2" w:rsidP="009170CE">
            <w:pPr>
              <w:pStyle w:val="ListBullet"/>
              <w:ind w:left="717"/>
            </w:pPr>
            <w:r w:rsidRPr="00117237">
              <w:t xml:space="preserve">Violence against women is driven by deeply entrenched societal norms and beliefs that perpetuate gender inequality. Primary prevention aims to change these societal norms. </w:t>
            </w:r>
          </w:p>
          <w:p w14:paraId="0DCF35AB" w14:textId="5FD254BF" w:rsidR="00A91525" w:rsidRPr="00117237" w:rsidRDefault="000C4525" w:rsidP="00756D65">
            <w:pPr>
              <w:pStyle w:val="ListBullet"/>
              <w:numPr>
                <w:ilvl w:val="0"/>
                <w:numId w:val="23"/>
              </w:numPr>
              <w:rPr>
                <w:bCs/>
              </w:rPr>
            </w:pPr>
            <w:r w:rsidRPr="00117237">
              <w:t xml:space="preserve">As </w:t>
            </w:r>
            <w:r w:rsidR="00A91525" w:rsidRPr="00117237">
              <w:t xml:space="preserve">critical institutions in Australia's VET sector, </w:t>
            </w:r>
            <w:r w:rsidRPr="00117237">
              <w:t xml:space="preserve">TAFEs are </w:t>
            </w:r>
            <w:r w:rsidR="00A91525" w:rsidRPr="00117237">
              <w:t>well-positioned to implement whole-of-institution approaches to prevent violence against women by promoting gender equality and respect.</w:t>
            </w:r>
          </w:p>
          <w:p w14:paraId="65586348" w14:textId="18076907" w:rsidR="003378D3" w:rsidRPr="00117237" w:rsidRDefault="00574B63" w:rsidP="00756D65">
            <w:pPr>
              <w:pStyle w:val="ListBullet"/>
              <w:numPr>
                <w:ilvl w:val="0"/>
                <w:numId w:val="23"/>
              </w:numPr>
            </w:pPr>
            <w:r w:rsidRPr="00117237">
              <w:rPr>
                <w:bCs/>
              </w:rPr>
              <w:t>Primary prevention efforts in TAFEs are less advanced compared to other sectors, facing inherent design challenges compounded by the diverse and complex nature of TAFE settings</w:t>
            </w:r>
            <w:r w:rsidR="00097FC9" w:rsidRPr="00117237">
              <w:rPr>
                <w:bCs/>
              </w:rPr>
              <w:t xml:space="preserve">. </w:t>
            </w:r>
            <w:r w:rsidR="003378D3" w:rsidRPr="00117237">
              <w:t xml:space="preserve">Mitigating this complexity requires a system level authorising environment, buy-in from leadership within TAFEs and strong relationships, support and trust with the people doing the work day-to-day. </w:t>
            </w:r>
          </w:p>
          <w:p w14:paraId="6C1FCE45" w14:textId="2296B968" w:rsidR="000F6B0D" w:rsidRPr="00117237" w:rsidRDefault="000F6B0D" w:rsidP="00756D65">
            <w:pPr>
              <w:pStyle w:val="ListBullet"/>
              <w:numPr>
                <w:ilvl w:val="0"/>
                <w:numId w:val="23"/>
              </w:numPr>
            </w:pPr>
            <w:r w:rsidRPr="00117237">
              <w:t>The design of the project supports its objectives well</w:t>
            </w:r>
            <w:r w:rsidR="00097FC9" w:rsidRPr="00117237">
              <w:t xml:space="preserve"> and shows evidence of mitigating design challenges</w:t>
            </w:r>
            <w:r w:rsidRPr="00117237">
              <w:t>. We found:</w:t>
            </w:r>
          </w:p>
          <w:p w14:paraId="6B15B48F" w14:textId="6F59A91A" w:rsidR="00B241FF" w:rsidRPr="00117237" w:rsidRDefault="00B241FF" w:rsidP="00756D65">
            <w:pPr>
              <w:pStyle w:val="ListBullet"/>
              <w:numPr>
                <w:ilvl w:val="1"/>
                <w:numId w:val="23"/>
              </w:numPr>
            </w:pPr>
            <w:r w:rsidRPr="00117237">
              <w:t xml:space="preserve">The RET2 </w:t>
            </w:r>
            <w:r w:rsidR="00D12B23" w:rsidRPr="00117237">
              <w:t>ToC</w:t>
            </w:r>
            <w:r w:rsidRPr="00117237">
              <w:t xml:space="preserve"> was logical but overly ambitious, making some elements unfeasible.</w:t>
            </w:r>
          </w:p>
          <w:p w14:paraId="3ABCB9CD" w14:textId="3E15FB4A" w:rsidR="00B241FF" w:rsidRPr="00117237" w:rsidRDefault="00B241FF" w:rsidP="00756D65">
            <w:pPr>
              <w:pStyle w:val="ListBullet"/>
              <w:numPr>
                <w:ilvl w:val="1"/>
                <w:numId w:val="23"/>
              </w:numPr>
            </w:pPr>
            <w:r w:rsidRPr="00117237">
              <w:t>The project model successfully prioritised relationship-building and leadership engagement as key enablers for progress.</w:t>
            </w:r>
            <w:r w:rsidR="00097FC9" w:rsidRPr="00117237">
              <w:t xml:space="preserve"> Underpinning principles helped with this.  </w:t>
            </w:r>
          </w:p>
          <w:p w14:paraId="51DB2F8B" w14:textId="70D7BCB7" w:rsidR="001953FC" w:rsidRPr="00117237" w:rsidRDefault="00097FC9" w:rsidP="00756D65">
            <w:pPr>
              <w:pStyle w:val="ListBullet"/>
              <w:numPr>
                <w:ilvl w:val="1"/>
                <w:numId w:val="23"/>
              </w:numPr>
            </w:pPr>
            <w:r w:rsidRPr="00117237">
              <w:rPr>
                <w:bCs/>
              </w:rPr>
              <w:t xml:space="preserve">RET2 has been sufficiently resourced to deliver on its scope. </w:t>
            </w:r>
          </w:p>
        </w:tc>
      </w:tr>
    </w:tbl>
    <w:p w14:paraId="6BB20862" w14:textId="77777777" w:rsidR="00A6558C" w:rsidRPr="00117237" w:rsidRDefault="00A6558C" w:rsidP="00A6558C">
      <w:pPr>
        <w:pStyle w:val="Heading3Normal"/>
      </w:pPr>
      <w:r w:rsidRPr="00117237">
        <w:rPr>
          <w:bCs/>
        </w:rPr>
        <w:t>Violence against women is driven by deeply entrenched societal norms and beliefs that perpetuate gender inequality</w:t>
      </w:r>
      <w:r w:rsidRPr="00117237">
        <w:t xml:space="preserve">. Primary prevention aims to change these societal norms. </w:t>
      </w:r>
    </w:p>
    <w:p w14:paraId="27F88932" w14:textId="4A30ADCA" w:rsidR="00A6558C" w:rsidRPr="00117237" w:rsidRDefault="00A6558C" w:rsidP="00A6558C">
      <w:pPr>
        <w:pStyle w:val="BodyText"/>
      </w:pPr>
      <w:r w:rsidRPr="00117237">
        <w:t>Violence against women in Australia is widespread and devastating.</w:t>
      </w:r>
      <w:r w:rsidR="00B761C2" w:rsidRPr="00117237">
        <w:rPr>
          <w:rStyle w:val="FootnoteReference"/>
        </w:rPr>
        <w:footnoteReference w:id="14"/>
      </w:r>
      <w:r w:rsidRPr="00117237">
        <w:t xml:space="preserve"> It manifests in many forms, including intimate partner violence, sexual assault</w:t>
      </w:r>
      <w:r w:rsidR="00096323" w:rsidRPr="00117237">
        <w:t xml:space="preserve"> and </w:t>
      </w:r>
      <w:r w:rsidRPr="00117237">
        <w:t>workplace harassment</w:t>
      </w:r>
      <w:r w:rsidR="00096323" w:rsidRPr="00117237">
        <w:t>,</w:t>
      </w:r>
      <w:r w:rsidRPr="00117237">
        <w:t xml:space="preserve"> occurs in many settings, including homes, workplaces, public spaces and online, and represents both a symptom and cause of gender inequality, severely impacting society.</w:t>
      </w:r>
      <w:r w:rsidR="00B761C2" w:rsidRPr="00117237">
        <w:rPr>
          <w:rStyle w:val="FootnoteReference"/>
        </w:rPr>
        <w:footnoteReference w:id="15"/>
      </w:r>
      <w:r w:rsidRPr="00117237">
        <w:t xml:space="preserve"> </w:t>
      </w:r>
    </w:p>
    <w:p w14:paraId="04B404BB" w14:textId="1A88F33B" w:rsidR="00A6558C" w:rsidRPr="00117237" w:rsidRDefault="00A6558C" w:rsidP="00A6558C">
      <w:pPr>
        <w:pStyle w:val="BodyText"/>
      </w:pPr>
      <w:r w:rsidRPr="00117237">
        <w:t>Gender inequality is the core driver that creates the social conditions for violence to occur.</w:t>
      </w:r>
      <w:r w:rsidR="00B761C2" w:rsidRPr="00117237">
        <w:rPr>
          <w:rStyle w:val="FootnoteReference"/>
        </w:rPr>
        <w:footnoteReference w:id="16"/>
      </w:r>
      <w:r w:rsidRPr="00117237">
        <w:t xml:space="preserve"> This contributes to other drivers, including harmful stereotypes that define what roles are appropriate for men and women, which </w:t>
      </w:r>
      <w:r w:rsidR="00776835" w:rsidRPr="00117237">
        <w:t xml:space="preserve">may </w:t>
      </w:r>
      <w:r w:rsidRPr="00117237">
        <w:t>reinforce an environment where disrespectful behaviour is normalised,</w:t>
      </w:r>
      <w:r w:rsidR="008C5B42" w:rsidRPr="00117237">
        <w:t xml:space="preserve"> can result in harmful consequences such as</w:t>
      </w:r>
      <w:r w:rsidRPr="00117237">
        <w:t xml:space="preserve"> career opportunities </w:t>
      </w:r>
      <w:r w:rsidR="008C5B42" w:rsidRPr="00117237">
        <w:t>being</w:t>
      </w:r>
      <w:r w:rsidRPr="00117237">
        <w:t xml:space="preserve"> restricted.</w:t>
      </w:r>
      <w:r w:rsidR="00B761C2" w:rsidRPr="00117237">
        <w:rPr>
          <w:rStyle w:val="FootnoteReference"/>
        </w:rPr>
        <w:footnoteReference w:id="17"/>
      </w:r>
    </w:p>
    <w:p w14:paraId="09262AF1" w14:textId="3E06F506" w:rsidR="00A6558C" w:rsidRPr="00117237" w:rsidRDefault="00A6558C" w:rsidP="00A6558C">
      <w:pPr>
        <w:pStyle w:val="BodyText"/>
      </w:pPr>
      <w:r w:rsidRPr="00117237">
        <w:t>Primary prevention describes work done across communities, organisations and society in settings where people live, learn, work, socialise and play to stop violence from happening in the first place.</w:t>
      </w:r>
      <w:r w:rsidR="004E0707" w:rsidRPr="00117237">
        <w:rPr>
          <w:rStyle w:val="FootnoteReference"/>
        </w:rPr>
        <w:footnoteReference w:id="18"/>
      </w:r>
      <w:r w:rsidRPr="00117237">
        <w:t xml:space="preserve"> Primary prevention approaches </w:t>
      </w:r>
      <w:r w:rsidRPr="00117237">
        <w:rPr>
          <w:iCs/>
        </w:rPr>
        <w:t>work across the whole population to address the attitudes, norms, practices, structures and power imbalances that drive violence against women’.</w:t>
      </w:r>
      <w:r w:rsidRPr="00117237">
        <w:rPr>
          <w:rStyle w:val="FootnoteReference"/>
        </w:rPr>
        <w:footnoteReference w:id="19"/>
      </w:r>
      <w:r w:rsidRPr="00117237">
        <w:rPr>
          <w:iCs/>
        </w:rPr>
        <w:t xml:space="preserve"> </w:t>
      </w:r>
    </w:p>
    <w:p w14:paraId="184A0B16" w14:textId="352DB8C4" w:rsidR="00A6558C" w:rsidRPr="00117237" w:rsidRDefault="00A6558C" w:rsidP="00A6558C">
      <w:pPr>
        <w:pStyle w:val="BodyText"/>
      </w:pPr>
      <w:r w:rsidRPr="00117237">
        <w:t>Primary prevention is a longer-term goal rather than early intervention, response or recovery.</w:t>
      </w:r>
      <w:r w:rsidR="00F37D88" w:rsidRPr="00117237">
        <w:rPr>
          <w:rStyle w:val="FootnoteReference"/>
        </w:rPr>
        <w:footnoteReference w:id="20"/>
      </w:r>
      <w:r w:rsidRPr="00117237">
        <w:t xml:space="preserve"> The drivers of violence against women play out at every level of society, and therefore primary prevention initiatives are most effective where a holistic, whole-of-setting approach is used.</w:t>
      </w:r>
      <w:r w:rsidR="00F37D88" w:rsidRPr="00117237">
        <w:rPr>
          <w:rStyle w:val="FootnoteReference"/>
        </w:rPr>
        <w:footnoteReference w:id="21"/>
      </w:r>
    </w:p>
    <w:p w14:paraId="6B9812EC" w14:textId="610D0FD5" w:rsidR="00A6558C" w:rsidRPr="00117237" w:rsidRDefault="00A6558C" w:rsidP="00A6558C">
      <w:pPr>
        <w:pStyle w:val="Heading3Normal"/>
      </w:pPr>
      <w:r w:rsidRPr="00117237">
        <w:t xml:space="preserve">As educational settings with extensive reach and community influence, TAFEs are </w:t>
      </w:r>
      <w:r w:rsidR="00E26863" w:rsidRPr="00117237">
        <w:t>wel</w:t>
      </w:r>
      <w:r w:rsidRPr="00117237">
        <w:t>l</w:t>
      </w:r>
      <w:r w:rsidR="00E26863" w:rsidRPr="00117237">
        <w:t xml:space="preserve"> positioned</w:t>
      </w:r>
      <w:r w:rsidRPr="00117237">
        <w:t xml:space="preserve"> to promote gender equality and challenge these harmful norms.</w:t>
      </w:r>
    </w:p>
    <w:p w14:paraId="680D929C" w14:textId="19EF2B36" w:rsidR="007121D2" w:rsidRPr="00117237" w:rsidRDefault="00A6558C" w:rsidP="007239DA">
      <w:pPr>
        <w:pStyle w:val="BodyText"/>
      </w:pPr>
      <w:r w:rsidRPr="00117237">
        <w:lastRenderedPageBreak/>
        <w:t>Vocational education and training (VET) is a broad term that is used to describe all vocational training in Australia.</w:t>
      </w:r>
      <w:r w:rsidRPr="00117237">
        <w:rPr>
          <w:rStyle w:val="FootnoteReference"/>
        </w:rPr>
        <w:footnoteReference w:id="22"/>
      </w:r>
      <w:r w:rsidRPr="00117237">
        <w:t xml:space="preserve"> TAFEs are Technical and Further Education institutes, that are government owned and provide VET courses.</w:t>
      </w:r>
      <w:r w:rsidRPr="00117237">
        <w:rPr>
          <w:rStyle w:val="FootnoteReference"/>
        </w:rPr>
        <w:footnoteReference w:id="23"/>
      </w:r>
      <w:r w:rsidR="003A3373" w:rsidRPr="00117237">
        <w:t xml:space="preserve"> </w:t>
      </w:r>
      <w:r w:rsidR="007121D2" w:rsidRPr="00117237">
        <w:t xml:space="preserve">The VET sector makes up a significant proportion of the Australian education landscape, and TAFEs within that are key institutions with substantial reach and influence. The VET sector has a large student population, workforce and number of </w:t>
      </w:r>
      <w:r w:rsidR="00AD3402" w:rsidRPr="00117237">
        <w:t xml:space="preserve">providers and </w:t>
      </w:r>
      <w:r w:rsidR="007121D2" w:rsidRPr="00117237">
        <w:t>institutions, including TAFEs</w:t>
      </w:r>
      <w:r w:rsidR="00F25909" w:rsidRPr="00117237">
        <w:t xml:space="preserve"> (see Figure 2 for more information).</w:t>
      </w:r>
      <w:r w:rsidR="007121D2" w:rsidRPr="00117237">
        <w:t xml:space="preserve"> </w:t>
      </w:r>
    </w:p>
    <w:p w14:paraId="6BBE5E22" w14:textId="77777777" w:rsidR="007121D2" w:rsidRPr="00117237" w:rsidRDefault="007121D2" w:rsidP="007121D2">
      <w:pPr>
        <w:pStyle w:val="ListBullet"/>
      </w:pPr>
      <w:r w:rsidRPr="00117237">
        <w:rPr>
          <w:b/>
          <w:bCs/>
        </w:rPr>
        <w:t>Student population.</w:t>
      </w:r>
      <w:r w:rsidRPr="00117237">
        <w:t xml:space="preserve"> In 2022 an estimated 4.5 million students were enrolled in VET with an Australia training provider, representing a nearly a quarter of the Australian population aged 15-64 years.</w:t>
      </w:r>
      <w:r w:rsidRPr="00117237">
        <w:rPr>
          <w:rStyle w:val="FootnoteReference"/>
          <w:b w:val="0"/>
        </w:rPr>
        <w:footnoteReference w:id="24"/>
      </w:r>
      <w:r w:rsidRPr="00117237">
        <w:t xml:space="preserve"> In the same year 4.0 million students were enrolled in Australian schools and in 2021, 1.6 million students were enrolled at higher education institutions.</w:t>
      </w:r>
      <w:r w:rsidRPr="00117237">
        <w:rPr>
          <w:rStyle w:val="FootnoteReference"/>
        </w:rPr>
        <w:footnoteReference w:id="25"/>
      </w:r>
      <w:r w:rsidRPr="00117237">
        <w:t xml:space="preserve"> </w:t>
      </w:r>
    </w:p>
    <w:p w14:paraId="012E3B09" w14:textId="77777777" w:rsidR="007121D2" w:rsidRPr="00117237" w:rsidRDefault="007121D2" w:rsidP="007121D2">
      <w:pPr>
        <w:pStyle w:val="ListBullet"/>
      </w:pPr>
      <w:r w:rsidRPr="00117237">
        <w:rPr>
          <w:b/>
          <w:bCs/>
        </w:rPr>
        <w:t>Workforce.</w:t>
      </w:r>
      <w:r w:rsidRPr="00117237">
        <w:t xml:space="preserve"> A 2024 report by Jobs and Skills Australia estimates the VET workforce in 2021 was between 70,000 and 110,000.</w:t>
      </w:r>
      <w:r w:rsidRPr="00117237">
        <w:rPr>
          <w:rStyle w:val="FootnoteReference"/>
          <w:b w:val="0"/>
        </w:rPr>
        <w:footnoteReference w:id="26"/>
      </w:r>
      <w:r w:rsidRPr="00117237">
        <w:rPr>
          <w:vertAlign w:val="superscript"/>
        </w:rPr>
        <w:t xml:space="preserve"> </w:t>
      </w:r>
    </w:p>
    <w:p w14:paraId="3C17EFFC" w14:textId="6AE3E5B0" w:rsidR="00BB1E30" w:rsidRPr="00117237" w:rsidRDefault="007121D2" w:rsidP="00A6558C">
      <w:pPr>
        <w:pStyle w:val="ListBullet"/>
      </w:pPr>
      <w:r w:rsidRPr="00117237">
        <w:rPr>
          <w:b/>
          <w:bCs/>
        </w:rPr>
        <w:t>Institutions.</w:t>
      </w:r>
      <w:r w:rsidRPr="00117237">
        <w:t xml:space="preserve"> There are approximately 4,000 registered training organisations (RTOs) in Australia. In 2022, 3.4 million students (76.2%) were enrolled at private training providers and 717,760 students (15.9%) were enrolled at TAFE institutes.</w:t>
      </w:r>
      <w:r w:rsidRPr="00117237">
        <w:rPr>
          <w:rStyle w:val="FootnoteReference"/>
          <w:b w:val="0"/>
        </w:rPr>
        <w:footnoteReference w:id="27"/>
      </w:r>
      <w:r w:rsidRPr="00117237">
        <w:rPr>
          <w:vertAlign w:val="superscript"/>
        </w:rPr>
        <w:t xml:space="preserve"> </w:t>
      </w:r>
    </w:p>
    <w:p w14:paraId="2B57F425" w14:textId="4F0DB3AE" w:rsidR="00BB1E30" w:rsidRPr="00117237" w:rsidRDefault="00BB1E30" w:rsidP="00BB1E30">
      <w:pPr>
        <w:pStyle w:val="NormalSingleSpacing"/>
      </w:pPr>
      <w:r w:rsidRPr="00117237">
        <w:t xml:space="preserve">The VET sector presents an opportunity for Our Watch and primary prevention organisations in terms of potential reach, both in terms </w:t>
      </w:r>
      <w:r w:rsidR="00FA7C00" w:rsidRPr="00117237">
        <w:t>of scale</w:t>
      </w:r>
      <w:r w:rsidRPr="00117237">
        <w:t xml:space="preserve"> and also in engaging people who have more limited connection with other settings (e.g. international students, recent migrants and refuges, young adults with disabilities and Aboriginal and Torres Strait Islander communities).</w:t>
      </w:r>
      <w:r w:rsidRPr="00117237">
        <w:rPr>
          <w:rStyle w:val="FootnoteReference"/>
        </w:rPr>
        <w:footnoteReference w:id="28"/>
      </w:r>
      <w:r w:rsidRPr="00117237">
        <w:t xml:space="preserve"> </w:t>
      </w:r>
    </w:p>
    <w:p w14:paraId="5469F43F" w14:textId="77777777" w:rsidR="00BB1E30" w:rsidRPr="00117237" w:rsidRDefault="00BB1E30" w:rsidP="00BB1E30">
      <w:pPr>
        <w:pStyle w:val="NormalSingleSpacing"/>
      </w:pPr>
    </w:p>
    <w:p w14:paraId="103F5B2C" w14:textId="69D40AE6" w:rsidR="00A6558C" w:rsidRPr="00117237" w:rsidRDefault="00A6558C" w:rsidP="00A6558C">
      <w:pPr>
        <w:pStyle w:val="BodyText"/>
      </w:pPr>
      <w:r w:rsidRPr="00117237">
        <w:t>As places of learning and community engagement, TAFEs have the potential to influence attitudes and behaviours among a diverse student body. However, systemic issues persist within these environments that reflect the broader social issue of violence against women. Some marginalised groups, such as First Nations women and women with disabilities, report discontinuing vocational training due to personal reasons, unmet expectations, and inflexible conditions.</w:t>
      </w:r>
      <w:r w:rsidRPr="00117237">
        <w:rPr>
          <w:rStyle w:val="FootnoteReference"/>
        </w:rPr>
        <w:footnoteReference w:id="29"/>
      </w:r>
      <w:r w:rsidRPr="00117237">
        <w:t xml:space="preserve"> In contrast, non-minority men generally do not face these challenges.</w:t>
      </w:r>
      <w:r w:rsidRPr="00117237">
        <w:rPr>
          <w:rStyle w:val="FootnoteReference"/>
        </w:rPr>
        <w:footnoteReference w:id="30"/>
      </w:r>
      <w:r w:rsidRPr="00117237">
        <w:t xml:space="preserve"> This disparity highlights how biases and stereotypes are perpetuated within education and training systems, funnelling graduates into fields dominated by their gender.</w:t>
      </w:r>
      <w:r w:rsidRPr="00117237">
        <w:rPr>
          <w:rStyle w:val="FootnoteReference"/>
        </w:rPr>
        <w:t xml:space="preserve"> </w:t>
      </w:r>
      <w:r w:rsidRPr="00117237">
        <w:rPr>
          <w:rStyle w:val="FootnoteReference"/>
        </w:rPr>
        <w:footnoteReference w:id="31"/>
      </w:r>
      <w:r w:rsidRPr="00117237">
        <w:t xml:space="preserve"> This underscores the opportunity for industry to actively contribute to challenging gender inequality. </w:t>
      </w:r>
    </w:p>
    <w:p w14:paraId="6D962907" w14:textId="0D2C8165" w:rsidR="00A6558C" w:rsidRPr="00117237" w:rsidRDefault="00A6558C" w:rsidP="00CB5ADB">
      <w:pPr>
        <w:pStyle w:val="BodyText"/>
      </w:pPr>
      <w:r w:rsidRPr="00117237">
        <w:t xml:space="preserve">TAFEs are </w:t>
      </w:r>
      <w:r w:rsidR="00E26863" w:rsidRPr="00117237">
        <w:t>wel</w:t>
      </w:r>
      <w:r w:rsidRPr="00117237">
        <w:t>l positioned to continue promoting gender equality and preventing violence against women, but this requires a comprehensive and intentional institutional approach.</w:t>
      </w:r>
    </w:p>
    <w:p w14:paraId="4689A5F9" w14:textId="77777777" w:rsidR="00C31C46" w:rsidRPr="00117237" w:rsidRDefault="00C31C46" w:rsidP="00BB1E30">
      <w:pPr>
        <w:pStyle w:val="ListBullet"/>
        <w:numPr>
          <w:ilvl w:val="0"/>
          <w:numId w:val="0"/>
        </w:numPr>
        <w:ind w:left="360" w:hanging="360"/>
        <w:sectPr w:rsidR="00C31C46" w:rsidRPr="00117237" w:rsidSect="003368C4">
          <w:footerReference w:type="default" r:id="rId21"/>
          <w:footerReference w:type="first" r:id="rId22"/>
          <w:pgSz w:w="11906" w:h="16838" w:code="9"/>
          <w:pgMar w:top="720" w:right="1134" w:bottom="720" w:left="1134" w:header="567" w:footer="567" w:gutter="0"/>
          <w:cols w:space="708"/>
          <w:docGrid w:linePitch="360"/>
        </w:sectPr>
      </w:pPr>
    </w:p>
    <w:p w14:paraId="15CEC899" w14:textId="1B787F2B" w:rsidR="00C31C46" w:rsidRPr="00117237" w:rsidRDefault="00543C6D" w:rsidP="00543C6D">
      <w:pPr>
        <w:pStyle w:val="Caption"/>
        <w:rPr>
          <w:color w:val="FFFFFF" w:themeColor="background1"/>
        </w:rPr>
      </w:pPr>
      <w:bookmarkStart w:id="18" w:name="_Toc204168056"/>
      <w:r>
        <w:lastRenderedPageBreak/>
        <w:t xml:space="preserve">Figure </w:t>
      </w:r>
      <w:fldSimple w:instr=" SEQ Figure \* ARABIC ">
        <w:r w:rsidR="00E3688B">
          <w:rPr>
            <w:noProof/>
          </w:rPr>
          <w:t>2</w:t>
        </w:r>
      </w:fldSimple>
      <w:r w:rsidR="00E00E65" w:rsidRPr="00117237">
        <w:t xml:space="preserve">: </w:t>
      </w:r>
      <w:r w:rsidR="00A36066" w:rsidRPr="00117237">
        <w:t xml:space="preserve">VET </w:t>
      </w:r>
      <w:r w:rsidR="00852537" w:rsidRPr="00117237">
        <w:t xml:space="preserve">and TAFE </w:t>
      </w:r>
      <w:r w:rsidR="00A36066" w:rsidRPr="00117237">
        <w:t xml:space="preserve">Sector </w:t>
      </w:r>
      <w:r w:rsidR="00A36066" w:rsidRPr="00117237">
        <w:rPr>
          <w:color w:val="auto"/>
        </w:rPr>
        <w:t>Statistics</w:t>
      </w:r>
      <w:r w:rsidR="00717D97" w:rsidRPr="00117237">
        <w:rPr>
          <w:rStyle w:val="FootnoteReference"/>
          <w:color w:val="FFFFFF" w:themeColor="background1"/>
        </w:rPr>
        <w:footnoteReference w:id="32"/>
      </w:r>
      <w:r w:rsidR="00654E52" w:rsidRPr="00117237">
        <w:rPr>
          <w:rStyle w:val="FootnoteReference"/>
          <w:color w:val="FFFFFF" w:themeColor="background1"/>
        </w:rPr>
        <w:footnoteReference w:id="33"/>
      </w:r>
      <w:r w:rsidR="00453A5D" w:rsidRPr="00117237">
        <w:rPr>
          <w:rStyle w:val="FootnoteReference"/>
          <w:color w:val="FFFFFF" w:themeColor="background1"/>
        </w:rPr>
        <w:footnoteReference w:id="34"/>
      </w:r>
      <w:r w:rsidR="001B4113" w:rsidRPr="00117237">
        <w:rPr>
          <w:rStyle w:val="FootnoteReference"/>
          <w:color w:val="FFFFFF" w:themeColor="background1"/>
        </w:rPr>
        <w:footnoteReference w:id="35"/>
      </w:r>
      <w:r w:rsidR="00575E7F" w:rsidRPr="00117237">
        <w:rPr>
          <w:rStyle w:val="FootnoteReference"/>
          <w:color w:val="FFFFFF" w:themeColor="background1"/>
        </w:rPr>
        <w:footnoteReference w:id="36"/>
      </w:r>
      <w:r w:rsidR="00CD580B" w:rsidRPr="00117237">
        <w:rPr>
          <w:rStyle w:val="FootnoteReference"/>
          <w:color w:val="FFFFFF" w:themeColor="background1"/>
        </w:rPr>
        <w:footnoteReference w:id="37"/>
      </w:r>
      <w:r w:rsidR="00AC4839" w:rsidRPr="00117237">
        <w:rPr>
          <w:rStyle w:val="FootnoteReference"/>
          <w:color w:val="FFFFFF" w:themeColor="background1"/>
        </w:rPr>
        <w:footnoteReference w:id="38"/>
      </w:r>
      <w:bookmarkEnd w:id="18"/>
    </w:p>
    <w:p w14:paraId="49F4EB5A" w14:textId="0649F432" w:rsidR="00BC71D3" w:rsidRPr="00117237" w:rsidRDefault="00BC71D3" w:rsidP="007453DC">
      <w:pPr>
        <w:pStyle w:val="ListBullet"/>
        <w:numPr>
          <w:ilvl w:val="0"/>
          <w:numId w:val="0"/>
        </w:numPr>
        <w:sectPr w:rsidR="00BC71D3" w:rsidRPr="00117237" w:rsidSect="00C31C46">
          <w:pgSz w:w="16838" w:h="11906" w:orient="landscape" w:code="9"/>
          <w:pgMar w:top="1134" w:right="720" w:bottom="1134" w:left="720" w:header="567" w:footer="567" w:gutter="0"/>
          <w:cols w:space="708"/>
          <w:docGrid w:linePitch="360"/>
        </w:sectPr>
      </w:pPr>
      <w:r>
        <w:rPr>
          <w:noProof/>
        </w:rPr>
        <w:drawing>
          <wp:inline distT="0" distB="0" distL="0" distR="0" wp14:anchorId="6A37D821" wp14:editId="790BFAE0">
            <wp:extent cx="7901305" cy="4497665"/>
            <wp:effectExtent l="0" t="0" r="0" b="0"/>
            <wp:docPr id="1803830169" name="Picture 7" descr="Figure displaying VET and TAFE Sector statistics. TAFEs are the largest VET employer with 40,000 employees nationally. The VET workforce is similar to the the profile of the Australian workforce, with some differences being VET workforce is 65% women compared to 48% nationally, and the average age is 47 compared to 40 nationally. First Nations employment varies across the sector. The TAFE student profile is comparable to the australian population, although slightly more remote and a higher proportion of First 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30169" name="Picture 7" descr="Figure displaying VET and TAFE Sector statistics. TAFEs are the largest VET employer with 40,000 employees nationally. The VET workforce is similar to the the profile of the Australian workforce, with some differences being VET workforce is 65% women compared to 48% nationally, and the average age is 47 compared to 40 nationally. First Nations employment varies across the sector. The TAFE student profile is comparable to the australian population, although slightly more remote and a higher proportion of First Nations. "/>
                    <pic:cNvPicPr>
                      <a:picLocks noChangeAspect="1" noChangeArrowheads="1"/>
                    </pic:cNvPicPr>
                  </pic:nvPicPr>
                  <pic:blipFill>
                    <a:blip r:embed="rId23"/>
                    <a:stretch>
                      <a:fillRect/>
                    </a:stretch>
                  </pic:blipFill>
                  <pic:spPr bwMode="auto">
                    <a:xfrm>
                      <a:off x="0" y="0"/>
                      <a:ext cx="7901305" cy="4497665"/>
                    </a:xfrm>
                    <a:prstGeom prst="rect">
                      <a:avLst/>
                    </a:prstGeom>
                    <a:noFill/>
                  </pic:spPr>
                </pic:pic>
              </a:graphicData>
            </a:graphic>
          </wp:inline>
        </w:drawing>
      </w:r>
    </w:p>
    <w:p w14:paraId="05D14FF4" w14:textId="77777777" w:rsidR="00C31C46" w:rsidRPr="00117237" w:rsidRDefault="00C31C46" w:rsidP="00AC6FC3">
      <w:pPr>
        <w:pStyle w:val="NormalSingleSpacing"/>
      </w:pPr>
    </w:p>
    <w:p w14:paraId="63F61E71" w14:textId="1C8E04E4" w:rsidR="00EB57B6" w:rsidRPr="00117237" w:rsidRDefault="009322DB" w:rsidP="009322DB">
      <w:pPr>
        <w:rPr>
          <w:rFonts w:ascii="Arial Narrow" w:hAnsi="Arial Narrow" w:cs="Times New Roman"/>
          <w:b/>
          <w:color w:val="931B2F"/>
        </w:rPr>
      </w:pPr>
      <w:r w:rsidRPr="00117237">
        <w:rPr>
          <w:rFonts w:ascii="Arial Narrow" w:hAnsi="Arial Narrow" w:cs="Times New Roman"/>
          <w:b/>
          <w:color w:val="931B2F"/>
        </w:rPr>
        <w:t xml:space="preserve">TAFEs are </w:t>
      </w:r>
      <w:r w:rsidR="008A08EF" w:rsidRPr="00117237">
        <w:rPr>
          <w:rFonts w:ascii="Arial Narrow" w:hAnsi="Arial Narrow" w:cs="Times New Roman"/>
          <w:b/>
          <w:color w:val="931B2F"/>
        </w:rPr>
        <w:t>well</w:t>
      </w:r>
      <w:r w:rsidRPr="00117237">
        <w:rPr>
          <w:rFonts w:ascii="Arial Narrow" w:hAnsi="Arial Narrow" w:cs="Times New Roman"/>
          <w:b/>
          <w:color w:val="931B2F"/>
        </w:rPr>
        <w:t xml:space="preserve"> positioned to drive whole-of-institution approaches to primary prevention of violence against women</w:t>
      </w:r>
      <w:r w:rsidR="00EB57B6" w:rsidRPr="00117237">
        <w:rPr>
          <w:rFonts w:ascii="Arial Narrow" w:hAnsi="Arial Narrow" w:cs="Times New Roman"/>
          <w:b/>
          <w:color w:val="931B2F"/>
        </w:rPr>
        <w:t xml:space="preserve">. </w:t>
      </w:r>
    </w:p>
    <w:p w14:paraId="16A4A0B4" w14:textId="36C8BD25" w:rsidR="001012B5" w:rsidRPr="00117237" w:rsidRDefault="00CA18DC" w:rsidP="00C2671C">
      <w:r w:rsidRPr="00117237">
        <w:t xml:space="preserve">There is a logical rationale to engaging people across settings such as TAFEs and involve the people, professionals and communities that are part of these settings. </w:t>
      </w:r>
      <w:r w:rsidR="001012B5" w:rsidRPr="00117237">
        <w:t>Addressing a complex social problem like violence against women requires engagement with as many people as possible across institutions, organisations and systems.</w:t>
      </w:r>
      <w:r w:rsidR="001012B5" w:rsidRPr="00117237">
        <w:rPr>
          <w:rStyle w:val="FootnoteReference"/>
        </w:rPr>
        <w:footnoteReference w:id="39"/>
      </w:r>
      <w:r w:rsidR="001012B5" w:rsidRPr="00117237">
        <w:t xml:space="preserve"> </w:t>
      </w:r>
      <w:r w:rsidR="00C2671C" w:rsidRPr="00117237">
        <w:t>Institutions such as TAFEs</w:t>
      </w:r>
      <w:r w:rsidR="00AC7883" w:rsidRPr="00117237">
        <w:t xml:space="preserve"> </w:t>
      </w:r>
      <w:r w:rsidR="00C2671C" w:rsidRPr="00117237">
        <w:t>are the places and social contexts in which environmental, social and personal factors interact, where policy frameworks come to life and where social and cultural values are produced and reinforced.</w:t>
      </w:r>
      <w:r w:rsidR="00C2671C" w:rsidRPr="00117237">
        <w:rPr>
          <w:rStyle w:val="FootnoteReference"/>
        </w:rPr>
        <w:footnoteReference w:id="40"/>
      </w:r>
      <w:r w:rsidR="00C2671C" w:rsidRPr="00117237">
        <w:t xml:space="preserve"> </w:t>
      </w:r>
      <w:r w:rsidR="001012B5" w:rsidRPr="00117237">
        <w:t>Critically, TAFEs:</w:t>
      </w:r>
    </w:p>
    <w:p w14:paraId="31A8FD10" w14:textId="058F5400" w:rsidR="001012B5" w:rsidRPr="00117237" w:rsidRDefault="00110FE2" w:rsidP="00462C12">
      <w:pPr>
        <w:pStyle w:val="ListBullet"/>
      </w:pPr>
      <w:r w:rsidRPr="00117237">
        <w:t>Provide a</w:t>
      </w:r>
      <w:r w:rsidR="001012B5" w:rsidRPr="00117237">
        <w:t>ccess to education and training for students from diverse backgrounds including those who have experience</w:t>
      </w:r>
      <w:r w:rsidR="000B347E" w:rsidRPr="00117237">
        <w:t>d</w:t>
      </w:r>
      <w:r w:rsidR="001012B5" w:rsidRPr="00117237">
        <w:t xml:space="preserve"> barriers to accessing education.</w:t>
      </w:r>
      <w:r w:rsidR="001012B5" w:rsidRPr="00117237">
        <w:rPr>
          <w:rStyle w:val="FootnoteReference"/>
          <w:b w:val="0"/>
        </w:rPr>
        <w:footnoteReference w:id="41"/>
      </w:r>
      <w:r w:rsidR="001012B5" w:rsidRPr="00117237">
        <w:rPr>
          <w:vertAlign w:val="superscript"/>
        </w:rPr>
        <w:t xml:space="preserve"> </w:t>
      </w:r>
      <w:r w:rsidR="001012B5" w:rsidRPr="00117237">
        <w:t xml:space="preserve"> </w:t>
      </w:r>
    </w:p>
    <w:p w14:paraId="61D1611B" w14:textId="1CFE6407" w:rsidR="001012B5" w:rsidRPr="00117237" w:rsidRDefault="001012B5" w:rsidP="00462C12">
      <w:pPr>
        <w:pStyle w:val="ListBullet"/>
      </w:pPr>
      <w:r w:rsidRPr="00117237">
        <w:t>Play a key role in fostering equitable access to education from a gendered perspective including promoting women’s economic participation through skills</w:t>
      </w:r>
      <w:r w:rsidR="007B7412" w:rsidRPr="00117237">
        <w:t xml:space="preserve"> and</w:t>
      </w:r>
      <w:r w:rsidRPr="00117237">
        <w:t xml:space="preserve"> training.</w:t>
      </w:r>
    </w:p>
    <w:p w14:paraId="727A0A04" w14:textId="7A3D6D5C" w:rsidR="00681396" w:rsidRPr="00117237" w:rsidRDefault="001012B5" w:rsidP="00C2671C">
      <w:r w:rsidRPr="00117237">
        <w:t>Equal access to education and employment for women is a key aspect of primary prevention of violence against women.</w:t>
      </w:r>
      <w:r w:rsidRPr="00117237">
        <w:rPr>
          <w:rStyle w:val="FootnoteReference"/>
        </w:rPr>
        <w:footnoteReference w:id="42"/>
      </w:r>
      <w:r w:rsidRPr="00117237">
        <w:t xml:space="preserve"> </w:t>
      </w:r>
      <w:r w:rsidR="00E05A23" w:rsidRPr="00117237">
        <w:t xml:space="preserve">As such, TAFE is identified in </w:t>
      </w:r>
      <w:r w:rsidR="00E05A23" w:rsidRPr="00117237">
        <w:rPr>
          <w:i/>
        </w:rPr>
        <w:t>Change the story</w:t>
      </w:r>
      <w:r w:rsidR="00D61CDF" w:rsidRPr="00117237">
        <w:rPr>
          <w:i/>
        </w:rPr>
        <w:t xml:space="preserve"> </w:t>
      </w:r>
      <w:r w:rsidR="00E05A23" w:rsidRPr="00117237">
        <w:t>as a key setting for the prevention of violence against women.</w:t>
      </w:r>
    </w:p>
    <w:p w14:paraId="6D75C1C4" w14:textId="652D920A" w:rsidR="00C2671C" w:rsidRPr="00117237" w:rsidRDefault="00100561" w:rsidP="00661A1C">
      <w:r w:rsidRPr="00117237">
        <w:t xml:space="preserve">Legally, </w:t>
      </w:r>
      <w:r w:rsidR="00681396" w:rsidRPr="00117237">
        <w:t>organisations and businesses now have a positive duty to take proactive and meaningful action to prevent relevant unlawful conduct (e.g. discrimination, sexual harassment) from occurring in the workplace or in connection to work.</w:t>
      </w:r>
      <w:r w:rsidR="00681396" w:rsidRPr="00117237">
        <w:rPr>
          <w:rStyle w:val="FootnoteReference"/>
        </w:rPr>
        <w:footnoteReference w:id="43"/>
      </w:r>
      <w:r w:rsidR="00681396" w:rsidRPr="00117237">
        <w:t xml:space="preserve"> This requires organisations and businesses to shift their focus to actively preventing workplace sexual harassment, sex discrimination and other relevant unlawful conduct, rather than responding only after it occurs. </w:t>
      </w:r>
    </w:p>
    <w:p w14:paraId="5AA5EC60" w14:textId="06207F6E" w:rsidR="00E05A23" w:rsidRPr="00117237" w:rsidRDefault="008A08EF" w:rsidP="00661A1C">
      <w:pPr>
        <w:pStyle w:val="Heading3Normal"/>
      </w:pPr>
      <w:r w:rsidRPr="00117237">
        <w:t>Despite this, p</w:t>
      </w:r>
      <w:r w:rsidR="009322DB" w:rsidRPr="00117237">
        <w:t xml:space="preserve">rimary prevention work is less progressed in TAFEs than in other sectors. </w:t>
      </w:r>
    </w:p>
    <w:p w14:paraId="58BC60FA" w14:textId="6FC45962" w:rsidR="009322DB" w:rsidRPr="00117237" w:rsidRDefault="009322DB" w:rsidP="00661A1C">
      <w:r w:rsidRPr="00117237">
        <w:t>As identified in the RET1 project evaluation, many TAFEs have been doing work in responding to violence against women and in addressing what drives violence against women.</w:t>
      </w:r>
      <w:r w:rsidRPr="00117237">
        <w:rPr>
          <w:rStyle w:val="FootnoteReference"/>
        </w:rPr>
        <w:footnoteReference w:id="44"/>
      </w:r>
      <w:r w:rsidRPr="00117237">
        <w:t xml:space="preserve"> However when this is compared with the University sector, work there is more advanced for example:</w:t>
      </w:r>
    </w:p>
    <w:p w14:paraId="4DE14D48" w14:textId="77777777" w:rsidR="009322DB" w:rsidRPr="00117237" w:rsidRDefault="009322DB" w:rsidP="00DB7383">
      <w:pPr>
        <w:pStyle w:val="ListBullet"/>
      </w:pPr>
      <w:r w:rsidRPr="00117237">
        <w:t>Action Plan Addressing Gender-based Violence in Higher Education was agreed to and released by Education Ministers in 2024</w:t>
      </w:r>
    </w:p>
    <w:p w14:paraId="575EA3AA" w14:textId="3A8A25F5" w:rsidR="009322DB" w:rsidRPr="00117237" w:rsidRDefault="009322DB" w:rsidP="00DB7383">
      <w:pPr>
        <w:pStyle w:val="ListBullet"/>
      </w:pPr>
      <w:r w:rsidRPr="00117237">
        <w:t>Australian Universities Accord was released containing explicit recommendations regarding prevention of violence against women</w:t>
      </w:r>
    </w:p>
    <w:p w14:paraId="64B988CC" w14:textId="77777777" w:rsidR="009322DB" w:rsidRPr="00117237" w:rsidRDefault="009322DB" w:rsidP="00DB7383">
      <w:pPr>
        <w:pStyle w:val="ListBullet"/>
      </w:pPr>
      <w:r w:rsidRPr="00117237">
        <w:t>Establishment of a cross</w:t>
      </w:r>
      <w:r w:rsidRPr="00117237">
        <w:rPr>
          <w:rFonts w:ascii="Cambria Math" w:hAnsi="Cambria Math" w:cs="Cambria Math"/>
        </w:rPr>
        <w:t>‑</w:t>
      </w:r>
      <w:r w:rsidRPr="00117237">
        <w:t>jurisdictional Working Group with an expert on the prevention of violence against women and children as an example of an action has already been taken by the Australian Government</w:t>
      </w:r>
    </w:p>
    <w:p w14:paraId="2CB6CEDD" w14:textId="3077C229" w:rsidR="0063579A" w:rsidRPr="00117237" w:rsidRDefault="0063579A" w:rsidP="00462C12">
      <w:pPr>
        <w:pStyle w:val="ListBullet"/>
      </w:pPr>
      <w:r w:rsidRPr="00117237">
        <w:t xml:space="preserve">National </w:t>
      </w:r>
      <w:r w:rsidR="00262036" w:rsidRPr="00117237">
        <w:t xml:space="preserve">Student </w:t>
      </w:r>
      <w:r w:rsidRPr="00117237">
        <w:t>Safety Survey</w:t>
      </w:r>
      <w:r w:rsidR="005E74CD" w:rsidRPr="00117237">
        <w:t xml:space="preserve"> which collects </w:t>
      </w:r>
      <w:r w:rsidR="00682C4C" w:rsidRPr="00117237">
        <w:t>data on the scale and nature of university student experiences of sexual harassment and sexual assault</w:t>
      </w:r>
      <w:r w:rsidR="001361E5" w:rsidRPr="00117237">
        <w:rPr>
          <w:rStyle w:val="FootnoteReference"/>
          <w:b w:val="0"/>
        </w:rPr>
        <w:footnoteReference w:id="45"/>
      </w:r>
      <w:r w:rsidR="00682C4C" w:rsidRPr="00117237">
        <w:rPr>
          <w:vertAlign w:val="superscript"/>
        </w:rPr>
        <w:t xml:space="preserve"> </w:t>
      </w:r>
    </w:p>
    <w:p w14:paraId="63013352" w14:textId="3A1E3193" w:rsidR="00CA18DC" w:rsidRPr="00117237" w:rsidRDefault="009322DB" w:rsidP="00661A1C">
      <w:r w:rsidRPr="00117237">
        <w:t>In 2020, Our Watch launched Educating for Equality, a world-leading holistic model to help universities prevent gendered violence.</w:t>
      </w:r>
      <w:r w:rsidRPr="00117237">
        <w:rPr>
          <w:rStyle w:val="FootnoteReference"/>
        </w:rPr>
        <w:footnoteReference w:id="46"/>
      </w:r>
      <w:r w:rsidRPr="00117237">
        <w:t xml:space="preserve"> However, there has been less attention, prior to the RET1 and RET2 projects, on a transferable whole-of-institution approach that recognises TAFE as an education institution, a workplace and community hub.</w:t>
      </w:r>
      <w:r w:rsidRPr="00117237">
        <w:rPr>
          <w:rStyle w:val="FootnoteReference"/>
        </w:rPr>
        <w:footnoteReference w:id="47"/>
      </w:r>
      <w:r w:rsidR="00756330" w:rsidRPr="00117237">
        <w:t xml:space="preserve"> </w:t>
      </w:r>
    </w:p>
    <w:p w14:paraId="75A634BC" w14:textId="5B577181" w:rsidR="009322DB" w:rsidRPr="00117237" w:rsidRDefault="00CA18DC" w:rsidP="00661A1C">
      <w:r w:rsidRPr="00117237">
        <w:t>This means</w:t>
      </w:r>
      <w:r w:rsidR="00756330" w:rsidRPr="00117237">
        <w:t xml:space="preserve"> </w:t>
      </w:r>
      <w:r w:rsidR="00714C71" w:rsidRPr="00117237">
        <w:t xml:space="preserve">there is clear rationale for Our Watch working </w:t>
      </w:r>
      <w:r w:rsidR="009E2658" w:rsidRPr="00117237">
        <w:t xml:space="preserve">with TAFEs to determine what works </w:t>
      </w:r>
      <w:r w:rsidR="00A329EA" w:rsidRPr="00117237">
        <w:t>in implementing a whole-of-institution approach in these settings.</w:t>
      </w:r>
    </w:p>
    <w:p w14:paraId="06F5D142" w14:textId="77777777" w:rsidR="004C6847" w:rsidRPr="00117237" w:rsidRDefault="004C6847" w:rsidP="002E216F">
      <w:pPr>
        <w:pStyle w:val="BodyTextAfterBullets"/>
      </w:pPr>
    </w:p>
    <w:p w14:paraId="2EB7A00E" w14:textId="77777777" w:rsidR="004C6847" w:rsidRPr="00117237" w:rsidRDefault="004C6847" w:rsidP="002E216F">
      <w:pPr>
        <w:pStyle w:val="BodyTextAfterBullets"/>
      </w:pPr>
    </w:p>
    <w:p w14:paraId="319063F3" w14:textId="44C0AED4" w:rsidR="000B1731" w:rsidRPr="00117237" w:rsidRDefault="00CD77C0" w:rsidP="00031EE1">
      <w:pPr>
        <w:pStyle w:val="Heading3Normal"/>
      </w:pPr>
      <w:r w:rsidRPr="00117237">
        <w:lastRenderedPageBreak/>
        <w:t xml:space="preserve">Whole of institution primary prevention </w:t>
      </w:r>
      <w:r w:rsidR="00EB02F4" w:rsidRPr="00117237">
        <w:t>approaches</w:t>
      </w:r>
      <w:r w:rsidRPr="00117237">
        <w:t xml:space="preserve"> face inherent challenges in design</w:t>
      </w:r>
      <w:r w:rsidR="009A4964" w:rsidRPr="00117237">
        <w:t xml:space="preserve">. </w:t>
      </w:r>
      <w:r w:rsidR="000B1731" w:rsidRPr="00117237">
        <w:t xml:space="preserve"> </w:t>
      </w:r>
    </w:p>
    <w:p w14:paraId="5CEC8BEB" w14:textId="3962E78B" w:rsidR="000D1AAB" w:rsidRPr="00117237" w:rsidRDefault="00AB50A4" w:rsidP="00AB50A4">
      <w:pPr>
        <w:jc w:val="right"/>
        <w:rPr>
          <w:i/>
          <w:iCs/>
          <w:color w:val="931B2F" w:themeColor="background2"/>
        </w:rPr>
      </w:pPr>
      <w:r w:rsidRPr="00117237">
        <w:rPr>
          <w:i/>
          <w:iCs/>
          <w:color w:val="931B2F" w:themeColor="background2"/>
        </w:rPr>
        <w:t>‘</w:t>
      </w:r>
      <w:r w:rsidR="006E073B" w:rsidRPr="00117237">
        <w:rPr>
          <w:i/>
          <w:iCs/>
          <w:color w:val="931B2F" w:themeColor="background2"/>
        </w:rPr>
        <w:t>Prevention work in any</w:t>
      </w:r>
      <w:r w:rsidRPr="00117237">
        <w:rPr>
          <w:i/>
          <w:iCs/>
          <w:color w:val="931B2F" w:themeColor="background2"/>
        </w:rPr>
        <w:t xml:space="preserve"> </w:t>
      </w:r>
      <w:r w:rsidR="006E073B" w:rsidRPr="00117237">
        <w:rPr>
          <w:i/>
          <w:iCs/>
          <w:color w:val="931B2F" w:themeColor="background2"/>
        </w:rPr>
        <w:t>given setting needs to</w:t>
      </w:r>
      <w:r w:rsidRPr="00117237">
        <w:rPr>
          <w:i/>
          <w:iCs/>
          <w:color w:val="931B2F" w:themeColor="background2"/>
        </w:rPr>
        <w:t xml:space="preserve"> </w:t>
      </w:r>
      <w:r w:rsidR="006E073B" w:rsidRPr="00117237">
        <w:rPr>
          <w:i/>
          <w:iCs/>
          <w:color w:val="931B2F" w:themeColor="background2"/>
        </w:rPr>
        <w:t>be multi-dimensional. It</w:t>
      </w:r>
      <w:r w:rsidRPr="00117237">
        <w:rPr>
          <w:i/>
          <w:iCs/>
          <w:color w:val="931B2F" w:themeColor="background2"/>
        </w:rPr>
        <w:t xml:space="preserve"> </w:t>
      </w:r>
      <w:r w:rsidR="006E073B" w:rsidRPr="00117237">
        <w:rPr>
          <w:i/>
          <w:iCs/>
          <w:color w:val="931B2F" w:themeColor="background2"/>
        </w:rPr>
        <w:t>needs to encompass the</w:t>
      </w:r>
      <w:r w:rsidRPr="00117237">
        <w:rPr>
          <w:i/>
          <w:iCs/>
          <w:color w:val="931B2F" w:themeColor="background2"/>
        </w:rPr>
        <w:t xml:space="preserve"> </w:t>
      </w:r>
      <w:r w:rsidR="006E073B" w:rsidRPr="00117237">
        <w:rPr>
          <w:i/>
          <w:iCs/>
          <w:color w:val="931B2F" w:themeColor="background2"/>
        </w:rPr>
        <w:t>individuals and groups</w:t>
      </w:r>
      <w:r w:rsidRPr="00117237">
        <w:rPr>
          <w:i/>
          <w:iCs/>
          <w:color w:val="931B2F" w:themeColor="background2"/>
        </w:rPr>
        <w:t xml:space="preserve"> </w:t>
      </w:r>
      <w:r w:rsidR="006E073B" w:rsidRPr="00117237">
        <w:rPr>
          <w:i/>
          <w:iCs/>
          <w:color w:val="931B2F" w:themeColor="background2"/>
        </w:rPr>
        <w:t>within that setting, the</w:t>
      </w:r>
      <w:r w:rsidRPr="00117237">
        <w:rPr>
          <w:i/>
          <w:iCs/>
          <w:color w:val="931B2F" w:themeColor="background2"/>
        </w:rPr>
        <w:t xml:space="preserve"> </w:t>
      </w:r>
      <w:r w:rsidR="006E073B" w:rsidRPr="00117237">
        <w:rPr>
          <w:i/>
          <w:iCs/>
          <w:color w:val="931B2F" w:themeColor="background2"/>
        </w:rPr>
        <w:t>organisations, institutions</w:t>
      </w:r>
      <w:r w:rsidRPr="00117237">
        <w:rPr>
          <w:i/>
          <w:iCs/>
          <w:color w:val="931B2F" w:themeColor="background2"/>
        </w:rPr>
        <w:t xml:space="preserve"> </w:t>
      </w:r>
      <w:r w:rsidR="006E073B" w:rsidRPr="00117237">
        <w:rPr>
          <w:i/>
          <w:iCs/>
          <w:color w:val="931B2F" w:themeColor="background2"/>
        </w:rPr>
        <w:t>and systems that define it,</w:t>
      </w:r>
      <w:r w:rsidRPr="00117237">
        <w:rPr>
          <w:i/>
          <w:iCs/>
          <w:color w:val="931B2F" w:themeColor="background2"/>
        </w:rPr>
        <w:t xml:space="preserve"> </w:t>
      </w:r>
      <w:r w:rsidR="006E073B" w:rsidRPr="00117237">
        <w:rPr>
          <w:i/>
          <w:iCs/>
          <w:color w:val="931B2F" w:themeColor="background2"/>
        </w:rPr>
        <w:t>and the laws, policies and</w:t>
      </w:r>
      <w:r w:rsidRPr="00117237">
        <w:rPr>
          <w:i/>
          <w:iCs/>
          <w:color w:val="931B2F" w:themeColor="background2"/>
        </w:rPr>
        <w:t xml:space="preserve"> </w:t>
      </w:r>
      <w:r w:rsidR="006E073B" w:rsidRPr="00117237">
        <w:rPr>
          <w:i/>
          <w:iCs/>
          <w:color w:val="931B2F" w:themeColor="background2"/>
        </w:rPr>
        <w:t>regulations that</w:t>
      </w:r>
      <w:r w:rsidRPr="00117237">
        <w:rPr>
          <w:i/>
          <w:iCs/>
          <w:color w:val="931B2F" w:themeColor="background2"/>
        </w:rPr>
        <w:t xml:space="preserve"> </w:t>
      </w:r>
      <w:r w:rsidR="006E073B" w:rsidRPr="00117237">
        <w:rPr>
          <w:i/>
          <w:iCs/>
          <w:color w:val="931B2F" w:themeColor="background2"/>
        </w:rPr>
        <w:t>govern it.</w:t>
      </w:r>
      <w:r w:rsidRPr="00117237">
        <w:rPr>
          <w:i/>
          <w:iCs/>
          <w:color w:val="931B2F" w:themeColor="background2"/>
        </w:rPr>
        <w:t xml:space="preserve">’ – Change the story </w:t>
      </w:r>
    </w:p>
    <w:p w14:paraId="4F91C89E" w14:textId="2C194420" w:rsidR="0098322A" w:rsidRPr="00117237" w:rsidRDefault="00CF2A06" w:rsidP="0098322A">
      <w:r w:rsidRPr="00117237">
        <w:t xml:space="preserve">The </w:t>
      </w:r>
      <w:r w:rsidR="0098322A" w:rsidRPr="00117237">
        <w:t>RET</w:t>
      </w:r>
      <w:r w:rsidRPr="00117237">
        <w:t xml:space="preserve"> framework</w:t>
      </w:r>
      <w:r w:rsidR="0098322A" w:rsidRPr="00117237">
        <w:t xml:space="preserve"> is a whole-of-institution </w:t>
      </w:r>
      <w:r w:rsidR="00285CC9" w:rsidRPr="00117237">
        <w:t>approach to preventing violence against women</w:t>
      </w:r>
      <w:r w:rsidR="00074CD8" w:rsidRPr="00117237">
        <w:t xml:space="preserve"> as the</w:t>
      </w:r>
      <w:r w:rsidR="00D27EC7" w:rsidRPr="00117237">
        <w:t xml:space="preserve"> evidence suggests </w:t>
      </w:r>
      <w:r w:rsidR="00A24F7D" w:rsidRPr="00117237">
        <w:t>that it is necessary to work across all areas of an institution to make lasting change</w:t>
      </w:r>
      <w:r w:rsidR="00684602" w:rsidRPr="00117237">
        <w:t>.</w:t>
      </w:r>
      <w:r w:rsidR="00684602" w:rsidRPr="00117237">
        <w:rPr>
          <w:rStyle w:val="FootnoteReference"/>
        </w:rPr>
        <w:footnoteReference w:id="48"/>
      </w:r>
      <w:r w:rsidR="00D87FEC" w:rsidRPr="00117237">
        <w:t xml:space="preserve"> However whole-of-institution primary prevention approaches are </w:t>
      </w:r>
      <w:r w:rsidR="0058038A" w:rsidRPr="00117237">
        <w:t>innately challenging and complex because</w:t>
      </w:r>
      <w:r w:rsidR="00141822" w:rsidRPr="00117237">
        <w:t xml:space="preserve"> they</w:t>
      </w:r>
      <w:r w:rsidR="0058038A" w:rsidRPr="00117237">
        <w:t>:</w:t>
      </w:r>
    </w:p>
    <w:p w14:paraId="0044A8BB" w14:textId="4CDF2AAF" w:rsidR="00141822" w:rsidRPr="00117237" w:rsidRDefault="004104A4" w:rsidP="00141822">
      <w:pPr>
        <w:pStyle w:val="ListBullet"/>
      </w:pPr>
      <w:r w:rsidRPr="00117237">
        <w:rPr>
          <w:b/>
          <w:bCs/>
        </w:rPr>
        <w:t>N</w:t>
      </w:r>
      <w:r w:rsidR="0077038A" w:rsidRPr="00117237">
        <w:rPr>
          <w:b/>
          <w:bCs/>
        </w:rPr>
        <w:t>eed</w:t>
      </w:r>
      <w:r w:rsidR="00694B99" w:rsidRPr="00117237">
        <w:rPr>
          <w:b/>
          <w:bCs/>
        </w:rPr>
        <w:t xml:space="preserve"> joint commitment from the entire TAFE community</w:t>
      </w:r>
      <w:r w:rsidR="002E799A" w:rsidRPr="00117237">
        <w:rPr>
          <w:b/>
          <w:bCs/>
        </w:rPr>
        <w:t>,</w:t>
      </w:r>
      <w:r w:rsidR="00694B99" w:rsidRPr="00117237">
        <w:t xml:space="preserve"> </w:t>
      </w:r>
      <w:r w:rsidR="006858CB" w:rsidRPr="00117237">
        <w:t>including buy-in from decision makers and authorisation from system actors.</w:t>
      </w:r>
      <w:r w:rsidR="00D979B1" w:rsidRPr="00117237">
        <w:rPr>
          <w:rStyle w:val="FootnoteReference"/>
        </w:rPr>
        <w:footnoteReference w:id="49"/>
      </w:r>
    </w:p>
    <w:p w14:paraId="11AB8230" w14:textId="307AA0F9" w:rsidR="00CA53DF" w:rsidRPr="00117237" w:rsidRDefault="00141822" w:rsidP="00141822">
      <w:pPr>
        <w:pStyle w:val="ListBullet"/>
      </w:pPr>
      <w:r w:rsidRPr="00117237">
        <w:rPr>
          <w:b/>
          <w:bCs/>
        </w:rPr>
        <w:t>Require addressing systemic factors</w:t>
      </w:r>
      <w:r w:rsidR="003A18E1" w:rsidRPr="00117237">
        <w:t xml:space="preserve">. </w:t>
      </w:r>
      <w:r w:rsidR="00477BAF" w:rsidRPr="00117237">
        <w:t>The RET framework utilises</w:t>
      </w:r>
      <w:r w:rsidR="00E66184" w:rsidRPr="00117237">
        <w:t xml:space="preserve"> </w:t>
      </w:r>
      <w:r w:rsidR="67C60F00" w:rsidRPr="00117237">
        <w:t>a</w:t>
      </w:r>
      <w:r w:rsidR="00E66184" w:rsidRPr="00117237">
        <w:t xml:space="preserve"> sociological model for understanding violence against women</w:t>
      </w:r>
      <w:r w:rsidR="00C811BF" w:rsidRPr="00117237">
        <w:t xml:space="preserve"> and</w:t>
      </w:r>
      <w:r w:rsidR="00455047" w:rsidRPr="00117237">
        <w:t xml:space="preserve"> challenges the structures</w:t>
      </w:r>
      <w:r w:rsidR="00EB380C" w:rsidRPr="00117237">
        <w:t>, norms and practices found to increase the probability of violence against women at different levels of the socio ecology.</w:t>
      </w:r>
      <w:r w:rsidR="00EB380C" w:rsidRPr="00117237">
        <w:rPr>
          <w:rStyle w:val="FootnoteReference"/>
        </w:rPr>
        <w:footnoteReference w:id="50"/>
      </w:r>
      <w:r w:rsidR="00ED7152" w:rsidRPr="00117237">
        <w:t xml:space="preserve"> </w:t>
      </w:r>
      <w:r w:rsidR="00C91119" w:rsidRPr="00117237">
        <w:t xml:space="preserve">This can be inherently challenging in institutions as structures, norms and practices can be deeply </w:t>
      </w:r>
      <w:r w:rsidR="00740E2C" w:rsidRPr="00117237">
        <w:t>engrained</w:t>
      </w:r>
      <w:r w:rsidR="00BA0BE5" w:rsidRPr="00117237">
        <w:t xml:space="preserve"> within institutions. </w:t>
      </w:r>
      <w:r w:rsidR="00740E2C" w:rsidRPr="00117237">
        <w:t xml:space="preserve"> </w:t>
      </w:r>
    </w:p>
    <w:p w14:paraId="2A671107" w14:textId="549DC6EF" w:rsidR="00141822" w:rsidRPr="00117237" w:rsidRDefault="00CA53DF" w:rsidP="00141822">
      <w:pPr>
        <w:pStyle w:val="ListBullet"/>
      </w:pPr>
      <w:r w:rsidRPr="00117237">
        <w:rPr>
          <w:b/>
          <w:bCs/>
        </w:rPr>
        <w:t xml:space="preserve">Requires work </w:t>
      </w:r>
      <w:r w:rsidR="00141822" w:rsidRPr="00117237">
        <w:rPr>
          <w:b/>
          <w:bCs/>
        </w:rPr>
        <w:t>across multiple domains</w:t>
      </w:r>
      <w:r w:rsidR="00AF101A" w:rsidRPr="00117237">
        <w:t xml:space="preserve">. </w:t>
      </w:r>
      <w:r w:rsidR="00FE2E92" w:rsidRPr="00117237">
        <w:t>The RET framework has been divided into five key domains</w:t>
      </w:r>
      <w:r w:rsidR="00365FE9" w:rsidRPr="00117237">
        <w:t>:</w:t>
      </w:r>
      <w:r w:rsidR="00FE2E92" w:rsidRPr="00117237">
        <w:t xml:space="preserve"> </w:t>
      </w:r>
      <w:r w:rsidR="00141822" w:rsidRPr="00117237">
        <w:t>workplace, students, teaching</w:t>
      </w:r>
      <w:r w:rsidR="00D821BA" w:rsidRPr="00117237">
        <w:t xml:space="preserve"> and learning</w:t>
      </w:r>
      <w:r w:rsidR="00141822" w:rsidRPr="00117237">
        <w:t xml:space="preserve">, communications, industry </w:t>
      </w:r>
      <w:r w:rsidR="00D821BA" w:rsidRPr="00117237">
        <w:t xml:space="preserve">and </w:t>
      </w:r>
      <w:r w:rsidR="00141822" w:rsidRPr="00117237">
        <w:t>community</w:t>
      </w:r>
      <w:r w:rsidR="00D821BA" w:rsidRPr="00117237">
        <w:t>.</w:t>
      </w:r>
      <w:r w:rsidR="00AA26E1" w:rsidRPr="00117237">
        <w:rPr>
          <w:rStyle w:val="FootnoteReference"/>
        </w:rPr>
        <w:footnoteReference w:id="51"/>
      </w:r>
      <w:r w:rsidR="00D821BA" w:rsidRPr="00117237">
        <w:t xml:space="preserve"> While this</w:t>
      </w:r>
      <w:r w:rsidR="00AA26E1" w:rsidRPr="00117237">
        <w:t xml:space="preserve"> is essential to support a culture of respect and equality across the entire institution, it’s challenging to </w:t>
      </w:r>
      <w:r w:rsidR="005B44F1" w:rsidRPr="00117237">
        <w:t xml:space="preserve">realise the necessary depth and breadth of change necessary across all aspects of an institution. </w:t>
      </w:r>
    </w:p>
    <w:p w14:paraId="0288CC80" w14:textId="0696E8BD" w:rsidR="003378D3" w:rsidRPr="00117237" w:rsidRDefault="00C75EAF" w:rsidP="009A4964">
      <w:pPr>
        <w:pStyle w:val="ListBullet"/>
      </w:pPr>
      <w:r w:rsidRPr="00117237">
        <w:rPr>
          <w:b/>
          <w:bCs/>
        </w:rPr>
        <w:t>Include other inbuilt challenges</w:t>
      </w:r>
      <w:r w:rsidRPr="00117237">
        <w:t xml:space="preserve"> such as resistance to change or backlash, resource limitations that make engagement and participation logistically difficult, and ensuring sustained engagement and the ongoing sustainability of any approach implemented.</w:t>
      </w:r>
      <w:r w:rsidR="008D5AEA" w:rsidRPr="00117237">
        <w:rPr>
          <w:rStyle w:val="FootnoteReference"/>
        </w:rPr>
        <w:footnoteReference w:id="52"/>
      </w:r>
    </w:p>
    <w:p w14:paraId="4734B4C8" w14:textId="250DEA73" w:rsidR="003378D3" w:rsidRPr="00117237" w:rsidRDefault="003378D3" w:rsidP="009A4964">
      <w:pPr>
        <w:rPr>
          <w:rFonts w:asciiTheme="majorHAnsi" w:hAnsiTheme="majorHAnsi"/>
          <w:b/>
          <w:color w:val="931B2F" w:themeColor="background2"/>
        </w:rPr>
      </w:pPr>
      <w:r w:rsidRPr="00117237">
        <w:rPr>
          <w:rFonts w:asciiTheme="majorHAnsi" w:hAnsiTheme="majorHAnsi"/>
          <w:b/>
          <w:color w:val="931B2F" w:themeColor="background2"/>
        </w:rPr>
        <w:t>The significant variation and complexities of TAFE settings compound</w:t>
      </w:r>
      <w:r w:rsidR="001B35BF" w:rsidRPr="00117237">
        <w:rPr>
          <w:rFonts w:asciiTheme="majorHAnsi" w:hAnsiTheme="majorHAnsi"/>
          <w:b/>
          <w:color w:val="931B2F" w:themeColor="background2"/>
        </w:rPr>
        <w:t>s</w:t>
      </w:r>
      <w:r w:rsidRPr="00117237">
        <w:rPr>
          <w:rFonts w:asciiTheme="majorHAnsi" w:hAnsiTheme="majorHAnsi"/>
          <w:b/>
          <w:color w:val="931B2F" w:themeColor="background2"/>
        </w:rPr>
        <w:t xml:space="preserve"> these challenges.</w:t>
      </w:r>
    </w:p>
    <w:p w14:paraId="12B7F35B" w14:textId="68A18130" w:rsidR="009A4964" w:rsidRPr="00117237" w:rsidRDefault="00D31E71" w:rsidP="000B1D60">
      <w:r w:rsidRPr="00117237">
        <w:t>Desi</w:t>
      </w:r>
      <w:r w:rsidR="009A4964" w:rsidRPr="00117237">
        <w:t xml:space="preserve">gn challenges </w:t>
      </w:r>
      <w:r w:rsidR="00A37AC7" w:rsidRPr="00117237">
        <w:t>of whole-of-institution approaches</w:t>
      </w:r>
      <w:r w:rsidR="009A4964" w:rsidRPr="00117237">
        <w:t xml:space="preserve"> </w:t>
      </w:r>
      <w:r w:rsidRPr="00117237">
        <w:t>are</w:t>
      </w:r>
      <w:r w:rsidR="009A4964" w:rsidRPr="00117237">
        <w:t xml:space="preserve"> </w:t>
      </w:r>
      <w:r w:rsidR="00A37AC7" w:rsidRPr="00117237">
        <w:t xml:space="preserve">further </w:t>
      </w:r>
      <w:r w:rsidR="009A4964" w:rsidRPr="00117237">
        <w:t>compounded</w:t>
      </w:r>
      <w:r w:rsidR="009A4964" w:rsidRPr="00117237" w:rsidDel="009A4964">
        <w:t xml:space="preserve"> </w:t>
      </w:r>
      <w:r w:rsidR="009A4964" w:rsidRPr="00117237">
        <w:t>by:</w:t>
      </w:r>
    </w:p>
    <w:p w14:paraId="2D37FBF9" w14:textId="16E60AE5" w:rsidR="001C5A42" w:rsidRPr="00117237" w:rsidRDefault="00295A41" w:rsidP="001C5A42">
      <w:pPr>
        <w:pStyle w:val="ListBullet"/>
      </w:pPr>
      <w:r w:rsidRPr="00117237">
        <w:rPr>
          <w:b/>
          <w:bCs/>
        </w:rPr>
        <w:t>The diversity and variation of individual TAFE</w:t>
      </w:r>
      <w:r w:rsidR="00C752EF" w:rsidRPr="00117237">
        <w:rPr>
          <w:b/>
          <w:bCs/>
        </w:rPr>
        <w:t xml:space="preserve"> institutions</w:t>
      </w:r>
      <w:r w:rsidR="00F1547D" w:rsidRPr="00117237">
        <w:rPr>
          <w:b/>
          <w:bCs/>
        </w:rPr>
        <w:t>.</w:t>
      </w:r>
      <w:r w:rsidR="00F1547D" w:rsidRPr="00117237">
        <w:rPr>
          <w:b/>
        </w:rPr>
        <w:t xml:space="preserve"> </w:t>
      </w:r>
      <w:r w:rsidR="00F1547D" w:rsidRPr="00117237">
        <w:t>TAFEs are non-homogenous, with diverse student demographics and varied industry focuses</w:t>
      </w:r>
      <w:r w:rsidR="00C56255" w:rsidRPr="00117237">
        <w:t xml:space="preserve"> which</w:t>
      </w:r>
      <w:r w:rsidR="001572D5" w:rsidRPr="00117237">
        <w:t xml:space="preserve"> neces</w:t>
      </w:r>
      <w:r w:rsidR="000B1C25" w:rsidRPr="00117237">
        <w:t>sitates</w:t>
      </w:r>
      <w:r w:rsidR="001572D5" w:rsidRPr="00117237">
        <w:t xml:space="preserve"> an adaptable </w:t>
      </w:r>
      <w:r w:rsidR="000B1C25" w:rsidRPr="00117237">
        <w:t xml:space="preserve">approach. </w:t>
      </w:r>
      <w:r w:rsidR="009715B8" w:rsidRPr="00117237">
        <w:rPr>
          <w:rFonts w:ascii="Arial Narrow" w:hAnsi="Arial Narrow" w:cs="Calibri"/>
          <w:color w:val="000000"/>
          <w:szCs w:val="22"/>
        </w:rPr>
        <w:t>There is significant diversity between TAFE institutions, as outlined in Figure 2, that intensifies the challenges associated with implementing a whole-of-institution approach in TAFEs.</w:t>
      </w:r>
    </w:p>
    <w:p w14:paraId="0C7EF031" w14:textId="10740EC2" w:rsidR="0023071A" w:rsidRPr="00117237" w:rsidRDefault="00E65FE8" w:rsidP="73F7B053">
      <w:pPr>
        <w:pStyle w:val="ListBullet"/>
      </w:pPr>
      <w:r w:rsidRPr="00117237">
        <w:rPr>
          <w:b/>
          <w:bCs/>
        </w:rPr>
        <w:t>Historically m</w:t>
      </w:r>
      <w:r w:rsidR="0023071A" w:rsidRPr="00117237">
        <w:rPr>
          <w:b/>
          <w:bCs/>
        </w:rPr>
        <w:t>ale-dominated leadership structures and</w:t>
      </w:r>
      <w:r w:rsidR="003D286B" w:rsidRPr="00117237">
        <w:rPr>
          <w:b/>
          <w:bCs/>
        </w:rPr>
        <w:t xml:space="preserve"> </w:t>
      </w:r>
      <w:r w:rsidR="0023071A" w:rsidRPr="00117237">
        <w:rPr>
          <w:b/>
          <w:bCs/>
        </w:rPr>
        <w:t>industries</w:t>
      </w:r>
      <w:r w:rsidR="003D286B" w:rsidRPr="00117237">
        <w:t xml:space="preserve"> served by the VET sector</w:t>
      </w:r>
      <w:r w:rsidR="001667EC" w:rsidRPr="00117237">
        <w:t>, which</w:t>
      </w:r>
      <w:r w:rsidR="0023071A" w:rsidRPr="00117237">
        <w:t xml:space="preserve"> </w:t>
      </w:r>
      <w:r w:rsidR="00F56915" w:rsidRPr="00117237">
        <w:t xml:space="preserve">can </w:t>
      </w:r>
      <w:r w:rsidR="0023071A" w:rsidRPr="00117237">
        <w:t>exacerbate challenge</w:t>
      </w:r>
      <w:r w:rsidR="00CE3861" w:rsidRPr="00117237">
        <w:t>s of implementing a primary prevention approach.</w:t>
      </w:r>
      <w:r w:rsidR="006E272E" w:rsidRPr="00117237">
        <w:t xml:space="preserve"> </w:t>
      </w:r>
      <w:r w:rsidR="000C10F9" w:rsidRPr="00117237">
        <w:t xml:space="preserve">The VET sector is now 57.2% female, and leadership is 56.6% female, but </w:t>
      </w:r>
      <w:r w:rsidR="004C54DC">
        <w:t>historically</w:t>
      </w:r>
      <w:r w:rsidR="009C7FFB" w:rsidRPr="00117237">
        <w:t xml:space="preserve"> </w:t>
      </w:r>
      <w:r w:rsidR="000C10F9" w:rsidRPr="00117237">
        <w:t xml:space="preserve">the VET sector has </w:t>
      </w:r>
      <w:r w:rsidR="00771D9C" w:rsidRPr="00117237">
        <w:t>been male dominated</w:t>
      </w:r>
      <w:r w:rsidR="009B4ECB" w:rsidRPr="00117237">
        <w:t>,</w:t>
      </w:r>
      <w:r w:rsidR="00771D9C" w:rsidRPr="00117237">
        <w:t xml:space="preserve"> </w:t>
      </w:r>
      <w:r w:rsidR="008557B7" w:rsidRPr="00117237">
        <w:t>and this culture can take time to shift.</w:t>
      </w:r>
      <w:r w:rsidR="008557B7" w:rsidRPr="00117237">
        <w:rPr>
          <w:rStyle w:val="FootnoteReference"/>
        </w:rPr>
        <w:footnoteReference w:id="53"/>
      </w:r>
    </w:p>
    <w:p w14:paraId="124BF316" w14:textId="47EE0854" w:rsidR="00B644FD" w:rsidRPr="00117237" w:rsidRDefault="00B644FD" w:rsidP="00B644FD">
      <w:pPr>
        <w:pStyle w:val="ListBullet"/>
      </w:pPr>
      <w:r w:rsidRPr="00117237">
        <w:rPr>
          <w:b/>
          <w:bCs/>
        </w:rPr>
        <w:t>A lack of robust data on violence against women</w:t>
      </w:r>
      <w:r w:rsidRPr="00117237">
        <w:rPr>
          <w:b/>
        </w:rPr>
        <w:t xml:space="preserve"> </w:t>
      </w:r>
      <w:r w:rsidRPr="00117237">
        <w:rPr>
          <w:b/>
          <w:bCs/>
        </w:rPr>
        <w:t>within the VET sector</w:t>
      </w:r>
      <w:r w:rsidR="001667EC" w:rsidRPr="00117237">
        <w:rPr>
          <w:b/>
          <w:bCs/>
        </w:rPr>
        <w:t xml:space="preserve">, </w:t>
      </w:r>
      <w:r w:rsidR="001667EC" w:rsidRPr="00117237">
        <w:t>which</w:t>
      </w:r>
      <w:r w:rsidRPr="00117237">
        <w:t xml:space="preserve"> complicates evidence-based design.</w:t>
      </w:r>
      <w:r w:rsidR="00310300" w:rsidRPr="00117237">
        <w:t xml:space="preserve"> </w:t>
      </w:r>
      <w:r w:rsidR="008B5505" w:rsidRPr="00117237">
        <w:t>U</w:t>
      </w:r>
      <w:r w:rsidR="003606B0" w:rsidRPr="00117237">
        <w:t>nderstanding</w:t>
      </w:r>
      <w:r w:rsidR="00D02D76" w:rsidRPr="00117237">
        <w:t xml:space="preserve"> the baseline regarding</w:t>
      </w:r>
      <w:r w:rsidR="003606B0" w:rsidRPr="00117237">
        <w:t xml:space="preserve"> </w:t>
      </w:r>
      <w:r w:rsidR="00751D93" w:rsidRPr="00117237">
        <w:t>gender equality and</w:t>
      </w:r>
      <w:r w:rsidR="005F1C38" w:rsidRPr="00117237">
        <w:t xml:space="preserve"> </w:t>
      </w:r>
      <w:r w:rsidR="003606B0" w:rsidRPr="00117237">
        <w:t xml:space="preserve">violence against women in TAFEs is </w:t>
      </w:r>
      <w:r w:rsidR="002D5ACF" w:rsidRPr="00117237">
        <w:t xml:space="preserve">a </w:t>
      </w:r>
      <w:r w:rsidR="003606B0" w:rsidRPr="00117237">
        <w:t xml:space="preserve">challenge due to limited data </w:t>
      </w:r>
      <w:r w:rsidR="005F1C38" w:rsidRPr="00117237">
        <w:t xml:space="preserve">collection. </w:t>
      </w:r>
      <w:r w:rsidR="003C6903" w:rsidRPr="00117237">
        <w:t>While there is limited data from VET, over</w:t>
      </w:r>
      <w:r w:rsidR="00A2657E" w:rsidRPr="00117237">
        <w:t xml:space="preserve"> </w:t>
      </w:r>
      <w:r w:rsidR="003C6903" w:rsidRPr="00117237">
        <w:t xml:space="preserve">the last several years evidence has shown that sexual violence continues to occur in university </w:t>
      </w:r>
      <w:r w:rsidR="00513C3E" w:rsidRPr="00117237">
        <w:t xml:space="preserve">and dual sector </w:t>
      </w:r>
      <w:r w:rsidR="003C6903" w:rsidRPr="00117237">
        <w:t>communities at significant rates.</w:t>
      </w:r>
      <w:r w:rsidR="007F39F9" w:rsidRPr="00117237">
        <w:rPr>
          <w:rStyle w:val="FootnoteReference"/>
        </w:rPr>
        <w:footnoteReference w:id="54"/>
      </w:r>
    </w:p>
    <w:p w14:paraId="5AA1062E" w14:textId="77777777" w:rsidR="00C72937" w:rsidRPr="00117237" w:rsidRDefault="00C72937" w:rsidP="002E216F">
      <w:pPr>
        <w:pStyle w:val="BodyTextAfterBullets"/>
      </w:pPr>
    </w:p>
    <w:p w14:paraId="63608EC3" w14:textId="77777777" w:rsidR="00C72937" w:rsidRPr="00117237" w:rsidRDefault="00C72937" w:rsidP="002E216F">
      <w:pPr>
        <w:pStyle w:val="BodyTextAfterBullets"/>
      </w:pPr>
    </w:p>
    <w:p w14:paraId="7ED4326D" w14:textId="77777777" w:rsidR="00C72937" w:rsidRPr="00117237" w:rsidRDefault="00C72937" w:rsidP="002E216F">
      <w:pPr>
        <w:pStyle w:val="BodyTextAfterBullets"/>
      </w:pPr>
    </w:p>
    <w:p w14:paraId="11C2423F" w14:textId="0A51CA8D" w:rsidR="00B674DC" w:rsidRPr="00117237" w:rsidRDefault="00EF1186" w:rsidP="00EF1186">
      <w:pPr>
        <w:pStyle w:val="Heading3Normal"/>
      </w:pPr>
      <w:r w:rsidRPr="00117237">
        <w:t xml:space="preserve">Mitigating this complexity requires </w:t>
      </w:r>
      <w:r w:rsidR="00D51392" w:rsidRPr="00117237">
        <w:t>a</w:t>
      </w:r>
      <w:r w:rsidR="00594C9A" w:rsidRPr="00117237">
        <w:t xml:space="preserve"> system level </w:t>
      </w:r>
      <w:r w:rsidR="00D51392" w:rsidRPr="00117237">
        <w:t xml:space="preserve">authorising environment, buy-in from leadership </w:t>
      </w:r>
      <w:r w:rsidR="00BA0074" w:rsidRPr="00117237">
        <w:t>with</w:t>
      </w:r>
      <w:r w:rsidR="00D51392" w:rsidRPr="00117237">
        <w:t>in TAFEs and strong relationships</w:t>
      </w:r>
      <w:r w:rsidR="003772DE" w:rsidRPr="00117237">
        <w:t>, support</w:t>
      </w:r>
      <w:r w:rsidR="00D51392" w:rsidRPr="00117237">
        <w:t xml:space="preserve"> and trust with the people doing the work day-to-day. </w:t>
      </w:r>
    </w:p>
    <w:p w14:paraId="11BE32C8" w14:textId="037C04F4" w:rsidR="004E408E" w:rsidRPr="00117237" w:rsidRDefault="00AA2AB6" w:rsidP="000B1D60">
      <w:r w:rsidRPr="00117237">
        <w:t xml:space="preserve">A whole-of-TAFE approach includes </w:t>
      </w:r>
      <w:r w:rsidR="009756B9" w:rsidRPr="00117237">
        <w:t xml:space="preserve">buy-in and engagement with </w:t>
      </w:r>
      <w:r w:rsidRPr="00117237">
        <w:t>system level</w:t>
      </w:r>
      <w:r w:rsidR="00794CBB" w:rsidRPr="00117237">
        <w:t xml:space="preserve"> actors</w:t>
      </w:r>
      <w:r w:rsidRPr="00117237">
        <w:t>, leadership and</w:t>
      </w:r>
      <w:r w:rsidR="002A79FA" w:rsidRPr="00117237">
        <w:t xml:space="preserve"> from</w:t>
      </w:r>
      <w:r w:rsidRPr="00117237">
        <w:t xml:space="preserve"> people working </w:t>
      </w:r>
      <w:r w:rsidR="002A79FA" w:rsidRPr="00117237">
        <w:t xml:space="preserve">across all </w:t>
      </w:r>
      <w:r w:rsidRPr="00117237">
        <w:t xml:space="preserve">operational areas of the TAFE. </w:t>
      </w:r>
      <w:r w:rsidR="004F10DE" w:rsidRPr="00117237">
        <w:t>Our Watch’s whole-of-TAFE</w:t>
      </w:r>
      <w:r w:rsidR="00CB5B22" w:rsidRPr="00117237">
        <w:t xml:space="preserve"> approach is supported by research</w:t>
      </w:r>
      <w:r w:rsidR="00B758E2" w:rsidRPr="00117237">
        <w:t>,</w:t>
      </w:r>
      <w:r w:rsidR="005C025A" w:rsidRPr="00117237">
        <w:t xml:space="preserve"> which to </w:t>
      </w:r>
      <w:r w:rsidR="009B2ADA" w:rsidRPr="00117237">
        <w:t xml:space="preserve">date </w:t>
      </w:r>
      <w:r w:rsidR="00CB5B22" w:rsidRPr="00117237">
        <w:t>has predominately been done in university contexts</w:t>
      </w:r>
      <w:r w:rsidR="00C86A61" w:rsidRPr="00117237">
        <w:t>,</w:t>
      </w:r>
      <w:r w:rsidR="005C025A" w:rsidRPr="00117237">
        <w:rPr>
          <w:rStyle w:val="FootnoteReference"/>
        </w:rPr>
        <w:t xml:space="preserve"> </w:t>
      </w:r>
      <w:r w:rsidR="002E2725" w:rsidRPr="00117237">
        <w:t>emphasis</w:t>
      </w:r>
      <w:r w:rsidR="00944ACA">
        <w:t>ing</w:t>
      </w:r>
      <w:r w:rsidR="003B41E6" w:rsidRPr="00117237">
        <w:t xml:space="preserve"> the importance of</w:t>
      </w:r>
      <w:r w:rsidR="005C025A" w:rsidRPr="00117237">
        <w:t>:</w:t>
      </w:r>
      <w:r w:rsidR="005C025A" w:rsidRPr="00117237">
        <w:rPr>
          <w:rStyle w:val="FootnoteReference"/>
        </w:rPr>
        <w:t xml:space="preserve"> </w:t>
      </w:r>
      <w:r w:rsidR="005C025A" w:rsidRPr="00117237">
        <w:rPr>
          <w:rStyle w:val="FootnoteReference"/>
        </w:rPr>
        <w:footnoteReference w:id="55"/>
      </w:r>
      <w:r w:rsidR="005C025A" w:rsidRPr="00117237">
        <w:rPr>
          <w:rStyle w:val="FootnoteReference"/>
        </w:rPr>
        <w:t xml:space="preserve"> </w:t>
      </w:r>
    </w:p>
    <w:p w14:paraId="19AF743A" w14:textId="77777777" w:rsidR="003B41E6" w:rsidRPr="00117237" w:rsidRDefault="003B41E6" w:rsidP="005C025A">
      <w:pPr>
        <w:pStyle w:val="ListBullet"/>
      </w:pPr>
      <w:r w:rsidRPr="00117237">
        <w:t>W</w:t>
      </w:r>
      <w:r w:rsidR="005C025A" w:rsidRPr="00117237">
        <w:t xml:space="preserve">hole-of-institution approaches to primary prevention </w:t>
      </w:r>
    </w:p>
    <w:p w14:paraId="18CB7457" w14:textId="1F5ECABD" w:rsidR="005C025A" w:rsidRPr="00117237" w:rsidRDefault="003B41E6" w:rsidP="005C025A">
      <w:pPr>
        <w:pStyle w:val="ListBullet"/>
      </w:pPr>
      <w:r w:rsidRPr="00117237">
        <w:t xml:space="preserve">Addressing </w:t>
      </w:r>
      <w:r w:rsidR="00C32405" w:rsidRPr="00117237">
        <w:t xml:space="preserve">gendered </w:t>
      </w:r>
      <w:r w:rsidRPr="00117237">
        <w:t xml:space="preserve">drivers at all levels of the </w:t>
      </w:r>
      <w:r w:rsidR="005C025A" w:rsidRPr="00117237">
        <w:t>soci</w:t>
      </w:r>
      <w:r w:rsidR="002B772D" w:rsidRPr="00117237">
        <w:t>o-</w:t>
      </w:r>
      <w:r w:rsidR="005C025A" w:rsidRPr="00117237">
        <w:t>ecological mode</w:t>
      </w:r>
      <w:r w:rsidRPr="00117237">
        <w:t>l</w:t>
      </w:r>
      <w:r w:rsidR="004F4D35" w:rsidRPr="00117237">
        <w:t xml:space="preserve"> </w:t>
      </w:r>
    </w:p>
    <w:p w14:paraId="09BB2D0F" w14:textId="201056CE" w:rsidR="00B41B01" w:rsidRPr="00117237" w:rsidRDefault="00B41B01" w:rsidP="005C025A">
      <w:pPr>
        <w:pStyle w:val="ListBullet"/>
      </w:pPr>
      <w:r w:rsidRPr="00117237">
        <w:t xml:space="preserve">Support from leadership, that is coordinated and sustained </w:t>
      </w:r>
    </w:p>
    <w:p w14:paraId="498609B5" w14:textId="266C6D19" w:rsidR="00011143" w:rsidRPr="00117237" w:rsidRDefault="00011143" w:rsidP="005C025A">
      <w:pPr>
        <w:pStyle w:val="ListBullet"/>
      </w:pPr>
      <w:r w:rsidRPr="00117237">
        <w:t>Implementation at scale</w:t>
      </w:r>
    </w:p>
    <w:p w14:paraId="77629109" w14:textId="2F35B20F" w:rsidR="001E598F" w:rsidRPr="00117237" w:rsidRDefault="001E598F" w:rsidP="005C025A">
      <w:pPr>
        <w:pStyle w:val="ListBullet"/>
      </w:pPr>
      <w:r w:rsidRPr="00117237">
        <w:t>Collaboration across and beyond the institution</w:t>
      </w:r>
    </w:p>
    <w:p w14:paraId="5DF49617" w14:textId="5CC5CDFE" w:rsidR="00EB4697" w:rsidRPr="00117237" w:rsidRDefault="008D55C2" w:rsidP="000B1D60">
      <w:r w:rsidRPr="00117237">
        <w:t>The RET1 evaluation</w:t>
      </w:r>
      <w:r w:rsidR="00D400BE" w:rsidRPr="00117237">
        <w:t xml:space="preserve"> </w:t>
      </w:r>
      <w:r w:rsidR="002472BF" w:rsidRPr="00117237">
        <w:t>of the development of the framework in a Victorian context,</w:t>
      </w:r>
      <w:r w:rsidR="00672741" w:rsidRPr="00117237">
        <w:t xml:space="preserve"> </w:t>
      </w:r>
      <w:r w:rsidR="00ED52EE" w:rsidRPr="00117237">
        <w:t xml:space="preserve">identified contextual factors which influenced the implementation of the </w:t>
      </w:r>
      <w:r w:rsidR="002D57B9" w:rsidRPr="00117237">
        <w:t xml:space="preserve">of the approach </w:t>
      </w:r>
      <w:r w:rsidR="00993E0F" w:rsidRPr="00117237">
        <w:t xml:space="preserve">and </w:t>
      </w:r>
      <w:r w:rsidR="00B856C0" w:rsidRPr="00117237">
        <w:t xml:space="preserve">found </w:t>
      </w:r>
      <w:r w:rsidR="00BE2251" w:rsidRPr="00117237">
        <w:t>the key enablers of a whole-of-TAFE approach were:</w:t>
      </w:r>
    </w:p>
    <w:p w14:paraId="2DD5CB0C" w14:textId="54E3FB2F" w:rsidR="00EB4697" w:rsidRPr="00117237" w:rsidRDefault="00EB4697" w:rsidP="00DB7383">
      <w:pPr>
        <w:pStyle w:val="ListBullet"/>
      </w:pPr>
      <w:r w:rsidRPr="00117237">
        <w:t>Senior leadership commitment to a whole-of-TAFE approach</w:t>
      </w:r>
    </w:p>
    <w:p w14:paraId="0127F27B" w14:textId="492810D7" w:rsidR="00B80DE1" w:rsidRPr="00117237" w:rsidRDefault="00EB4697" w:rsidP="00DB7383">
      <w:pPr>
        <w:pStyle w:val="ListBullet"/>
      </w:pPr>
      <w:r w:rsidRPr="00117237">
        <w:t>Previous and current activity in primary prevention and</w:t>
      </w:r>
      <w:r w:rsidR="00B80DE1" w:rsidRPr="00117237">
        <w:t xml:space="preserve"> </w:t>
      </w:r>
      <w:r w:rsidRPr="00117237">
        <w:t>gender equality conducted in TAFEs</w:t>
      </w:r>
    </w:p>
    <w:p w14:paraId="7AEC4111" w14:textId="6E2996DB" w:rsidR="001D067A" w:rsidRPr="00117237" w:rsidRDefault="00EB4697" w:rsidP="00DB7383">
      <w:pPr>
        <w:pStyle w:val="ListBullet"/>
      </w:pPr>
      <w:r w:rsidRPr="00117237">
        <w:t>Willingness to focus on</w:t>
      </w:r>
      <w:r w:rsidR="00B80DE1" w:rsidRPr="00117237">
        <w:t xml:space="preserve"> </w:t>
      </w:r>
      <w:r w:rsidRPr="00117237">
        <w:t>primary prevention in addition</w:t>
      </w:r>
      <w:r w:rsidR="00B80DE1" w:rsidRPr="00117237">
        <w:t xml:space="preserve"> </w:t>
      </w:r>
      <w:r w:rsidRPr="00117237">
        <w:t>to response</w:t>
      </w:r>
    </w:p>
    <w:p w14:paraId="2ABEB5E0" w14:textId="5B5F3067" w:rsidR="00993E0F" w:rsidRPr="00117237" w:rsidRDefault="00EB4697" w:rsidP="00DB7383">
      <w:pPr>
        <w:pStyle w:val="ListBullet"/>
      </w:pPr>
      <w:r w:rsidRPr="00117237">
        <w:t>Resourcing for dedicated staff</w:t>
      </w:r>
    </w:p>
    <w:p w14:paraId="01DEBC5A" w14:textId="01CC3C49" w:rsidR="00157261" w:rsidRPr="00117237" w:rsidRDefault="004B73ED" w:rsidP="00157261">
      <w:r w:rsidRPr="00117237">
        <w:t xml:space="preserve">This </w:t>
      </w:r>
      <w:r w:rsidR="00157261" w:rsidRPr="00117237">
        <w:t>was reflected in the design of the RET2 framework which outlines key foundational factors necessary to start implementing the RET approach.</w:t>
      </w:r>
      <w:r w:rsidR="00157261" w:rsidRPr="00117237">
        <w:rPr>
          <w:rStyle w:val="FootnoteReference"/>
        </w:rPr>
        <w:footnoteReference w:id="56"/>
      </w:r>
      <w:r w:rsidR="00157261" w:rsidRPr="00117237">
        <w:t xml:space="preserve"> These include:</w:t>
      </w:r>
    </w:p>
    <w:p w14:paraId="58EC8084" w14:textId="77777777" w:rsidR="00157261" w:rsidRPr="00117237" w:rsidRDefault="00157261" w:rsidP="00157261">
      <w:pPr>
        <w:pStyle w:val="ListBullet"/>
      </w:pPr>
      <w:r w:rsidRPr="00117237">
        <w:t>Securing commitment from leadership</w:t>
      </w:r>
    </w:p>
    <w:p w14:paraId="040B2E29" w14:textId="77777777" w:rsidR="00157261" w:rsidRPr="00117237" w:rsidRDefault="00157261" w:rsidP="00157261">
      <w:pPr>
        <w:pStyle w:val="ListBullet"/>
      </w:pPr>
      <w:r w:rsidRPr="00117237">
        <w:t xml:space="preserve">Appointing a gender equality lead within the TAFE </w:t>
      </w:r>
    </w:p>
    <w:p w14:paraId="3BF69C15" w14:textId="714E72EC" w:rsidR="00157261" w:rsidRPr="00117237" w:rsidRDefault="00157261" w:rsidP="00157261">
      <w:pPr>
        <w:pStyle w:val="ListBullet"/>
      </w:pPr>
      <w:r w:rsidRPr="00117237">
        <w:t>Understanding a whole-of-institution approach across the five domains</w:t>
      </w:r>
      <w:r w:rsidR="005F67AD" w:rsidRPr="00117237">
        <w:t>:</w:t>
      </w:r>
      <w:r w:rsidRPr="00117237">
        <w:t xml:space="preserve"> workplace, students, teaching and learning, communications, industry and community</w:t>
      </w:r>
    </w:p>
    <w:p w14:paraId="7ECEAC83" w14:textId="77777777" w:rsidR="00157261" w:rsidRPr="00117237" w:rsidRDefault="00157261" w:rsidP="00157261">
      <w:pPr>
        <w:pStyle w:val="ListBullet"/>
      </w:pPr>
      <w:r w:rsidRPr="00117237">
        <w:t>Establishing policies and practices to prioritise the safety of staff, by responding appropriately to any staff or students who experience violence</w:t>
      </w:r>
    </w:p>
    <w:p w14:paraId="42062C4F" w14:textId="428F8789" w:rsidR="00157261" w:rsidRPr="00117237" w:rsidRDefault="00157261" w:rsidP="00D13073">
      <w:pPr>
        <w:pStyle w:val="ListBullet"/>
      </w:pPr>
      <w:r w:rsidRPr="00117237">
        <w:t xml:space="preserve">Increasing key staff’s understanding of violence against women </w:t>
      </w:r>
    </w:p>
    <w:p w14:paraId="5277BDD7" w14:textId="1ECB0E73" w:rsidR="00A5650E" w:rsidRPr="00117237" w:rsidRDefault="00A5650E" w:rsidP="00DE3249">
      <w:pPr>
        <w:spacing w:before="240" w:after="190"/>
        <w:outlineLvl w:val="2"/>
        <w:rPr>
          <w:rFonts w:ascii="Arial Narrow" w:hAnsi="Arial Narrow" w:cs="Times New Roman"/>
          <w:b/>
          <w:color w:val="931B2F"/>
        </w:rPr>
      </w:pPr>
      <w:r w:rsidRPr="00117237">
        <w:rPr>
          <w:rFonts w:ascii="Arial Narrow" w:hAnsi="Arial Narrow" w:cs="Times New Roman"/>
          <w:b/>
          <w:color w:val="931B2F"/>
        </w:rPr>
        <w:t xml:space="preserve">RET2’s </w:t>
      </w:r>
      <w:r w:rsidR="00D12B23" w:rsidRPr="00117237">
        <w:rPr>
          <w:rFonts w:ascii="Arial Narrow" w:hAnsi="Arial Narrow" w:cs="Times New Roman"/>
          <w:b/>
          <w:color w:val="931B2F"/>
        </w:rPr>
        <w:t>ToC</w:t>
      </w:r>
      <w:r w:rsidRPr="00117237">
        <w:rPr>
          <w:rFonts w:ascii="Arial Narrow" w:hAnsi="Arial Narrow" w:cs="Times New Roman"/>
          <w:b/>
          <w:color w:val="931B2F"/>
        </w:rPr>
        <w:t xml:space="preserve"> was </w:t>
      </w:r>
      <w:r w:rsidR="00C60D61" w:rsidRPr="00117237">
        <w:rPr>
          <w:rFonts w:ascii="Arial Narrow" w:hAnsi="Arial Narrow" w:cs="Times New Roman"/>
          <w:b/>
          <w:color w:val="931B2F"/>
        </w:rPr>
        <w:t>logical but</w:t>
      </w:r>
      <w:r w:rsidRPr="00117237">
        <w:rPr>
          <w:rFonts w:ascii="Arial Narrow" w:hAnsi="Arial Narrow" w:cs="Times New Roman"/>
          <w:b/>
          <w:color w:val="931B2F"/>
        </w:rPr>
        <w:t xml:space="preserve"> </w:t>
      </w:r>
      <w:r w:rsidR="00C60D61" w:rsidRPr="00117237">
        <w:rPr>
          <w:rFonts w:ascii="Arial Narrow" w:hAnsi="Arial Narrow" w:cs="Times New Roman"/>
          <w:b/>
          <w:color w:val="931B2F"/>
        </w:rPr>
        <w:t xml:space="preserve">overly </w:t>
      </w:r>
      <w:r w:rsidRPr="00117237">
        <w:rPr>
          <w:rFonts w:ascii="Arial Narrow" w:hAnsi="Arial Narrow" w:cs="Times New Roman"/>
          <w:b/>
          <w:color w:val="931B2F"/>
        </w:rPr>
        <w:t>ambitious, which meant some elements were no</w:t>
      </w:r>
      <w:r w:rsidR="00C60D61" w:rsidRPr="00117237">
        <w:rPr>
          <w:rFonts w:ascii="Arial Narrow" w:hAnsi="Arial Narrow" w:cs="Times New Roman"/>
          <w:b/>
          <w:color w:val="931B2F"/>
        </w:rPr>
        <w:t>t</w:t>
      </w:r>
      <w:r w:rsidRPr="00117237">
        <w:rPr>
          <w:rFonts w:ascii="Arial Narrow" w:hAnsi="Arial Narrow" w:cs="Times New Roman"/>
          <w:b/>
          <w:color w:val="931B2F"/>
        </w:rPr>
        <w:t xml:space="preserve"> feasible.</w:t>
      </w:r>
    </w:p>
    <w:p w14:paraId="54795402" w14:textId="2948FE75" w:rsidR="00A57BCE" w:rsidRPr="00117237" w:rsidRDefault="004B73ED" w:rsidP="004B73ED">
      <w:pPr>
        <w:rPr>
          <w:color w:val="auto"/>
        </w:rPr>
      </w:pPr>
      <w:r w:rsidRPr="00117237">
        <w:rPr>
          <w:color w:val="auto"/>
        </w:rPr>
        <w:t xml:space="preserve">The RET2 project team developed a </w:t>
      </w:r>
      <w:r w:rsidR="008B5726" w:rsidRPr="00117237">
        <w:rPr>
          <w:color w:val="auto"/>
        </w:rPr>
        <w:t xml:space="preserve">ToC </w:t>
      </w:r>
      <w:r w:rsidRPr="00117237">
        <w:rPr>
          <w:color w:val="auto"/>
        </w:rPr>
        <w:t xml:space="preserve">to articulate </w:t>
      </w:r>
      <w:r w:rsidR="00C83F39" w:rsidRPr="00117237">
        <w:rPr>
          <w:color w:val="auto"/>
        </w:rPr>
        <w:t>how the proje</w:t>
      </w:r>
      <w:r w:rsidR="00952D99" w:rsidRPr="00117237">
        <w:rPr>
          <w:color w:val="auto"/>
        </w:rPr>
        <w:t xml:space="preserve">ct aimed to </w:t>
      </w:r>
      <w:r w:rsidR="00081094" w:rsidRPr="00117237">
        <w:rPr>
          <w:color w:val="auto"/>
        </w:rPr>
        <w:t>facilitate the desired change and overall outcomes</w:t>
      </w:r>
      <w:r w:rsidR="00C55C21" w:rsidRPr="00117237">
        <w:rPr>
          <w:color w:val="auto"/>
        </w:rPr>
        <w:t xml:space="preserve"> (see Figure 3).</w:t>
      </w:r>
    </w:p>
    <w:p w14:paraId="2B263B06" w14:textId="77777777" w:rsidR="00BA06FD" w:rsidRPr="00117237" w:rsidRDefault="00E76AC0" w:rsidP="00E76AC0">
      <w:pPr>
        <w:rPr>
          <w:color w:val="auto"/>
        </w:rPr>
      </w:pPr>
      <w:r w:rsidRPr="00117237">
        <w:rPr>
          <w:color w:val="auto"/>
        </w:rPr>
        <w:t>The ToC outlines a logical approach to progressing toward the overall outcome of greater understanding of what works to support changes in TAFE to promote gender equality and prevent violence against women.</w:t>
      </w:r>
      <w:r w:rsidR="00AF6BDA" w:rsidRPr="00117237">
        <w:rPr>
          <w:color w:val="auto"/>
        </w:rPr>
        <w:t xml:space="preserve"> However, it</w:t>
      </w:r>
      <w:r w:rsidRPr="00117237">
        <w:rPr>
          <w:color w:val="auto"/>
        </w:rPr>
        <w:t xml:space="preserve"> is ambitious in targeting both TAFE level outcomes and system level actors across multiple jurisdictions. The mechanisms intended to engage system level actors beyond the foundation phase are unclear in design, and resourcing didn’t support the level of intention to undertake the system actor engagement. </w:t>
      </w:r>
    </w:p>
    <w:p w14:paraId="73E2D935" w14:textId="1D1AE093" w:rsidR="00E76AC0" w:rsidRPr="00117237" w:rsidRDefault="00E76AC0" w:rsidP="00E76AC0">
      <w:pPr>
        <w:rPr>
          <w:color w:val="auto"/>
        </w:rPr>
      </w:pPr>
      <w:r w:rsidRPr="00117237">
        <w:rPr>
          <w:color w:val="auto"/>
        </w:rPr>
        <w:t xml:space="preserve">A strategic decision was made early to instead primarily focus efforts on engagement with TAFEs (See 2.2 implementation for further discussion on the involvement of system level actors).  </w:t>
      </w:r>
    </w:p>
    <w:p w14:paraId="0B54FCF9" w14:textId="77777777" w:rsidR="00A57BCE" w:rsidRPr="00117237" w:rsidRDefault="00A57BCE" w:rsidP="004B73ED">
      <w:pPr>
        <w:rPr>
          <w:color w:val="auto"/>
        </w:rPr>
        <w:sectPr w:rsidR="00A57BCE" w:rsidRPr="00117237" w:rsidSect="003368C4">
          <w:pgSz w:w="11906" w:h="16838" w:code="9"/>
          <w:pgMar w:top="720" w:right="1134" w:bottom="720" w:left="1134" w:header="567" w:footer="567" w:gutter="0"/>
          <w:cols w:space="708"/>
          <w:docGrid w:linePitch="360"/>
        </w:sectPr>
      </w:pPr>
    </w:p>
    <w:p w14:paraId="7DAEE268" w14:textId="22573609" w:rsidR="005D734E" w:rsidRPr="00117237" w:rsidRDefault="002E617B" w:rsidP="008F6115">
      <w:pPr>
        <w:pStyle w:val="Caption"/>
        <w:keepNext/>
      </w:pPr>
      <w:bookmarkStart w:id="19" w:name="_Toc204167671"/>
      <w:bookmarkStart w:id="20" w:name="_Toc204168057"/>
      <w:r w:rsidRPr="00117237">
        <w:lastRenderedPageBreak/>
        <w:t xml:space="preserve">Figure </w:t>
      </w:r>
      <w:fldSimple w:instr=" SEQ Figure \* ARABIC ">
        <w:r w:rsidR="00E3688B">
          <w:rPr>
            <w:noProof/>
          </w:rPr>
          <w:t>3</w:t>
        </w:r>
      </w:fldSimple>
      <w:r w:rsidRPr="00117237">
        <w:t xml:space="preserve">: Our Watch's </w:t>
      </w:r>
      <w:proofErr w:type="spellStart"/>
      <w:r w:rsidR="00D12B23" w:rsidRPr="00117237">
        <w:t>ToC</w:t>
      </w:r>
      <w:proofErr w:type="spellEnd"/>
      <w:r w:rsidRPr="00117237">
        <w:t xml:space="preserve"> for the RET2 Project</w:t>
      </w:r>
      <w:bookmarkEnd w:id="19"/>
      <w:bookmarkEnd w:id="20"/>
    </w:p>
    <w:p w14:paraId="11680BBE" w14:textId="12D17C23" w:rsidR="00A57BCE" w:rsidRPr="00117237" w:rsidRDefault="008F6115" w:rsidP="004B73ED">
      <w:pPr>
        <w:rPr>
          <w:color w:val="auto"/>
        </w:rPr>
        <w:sectPr w:rsidR="00A57BCE" w:rsidRPr="00117237" w:rsidSect="00A57BCE">
          <w:pgSz w:w="16838" w:h="11906" w:orient="landscape" w:code="9"/>
          <w:pgMar w:top="1134" w:right="720" w:bottom="1134" w:left="720" w:header="567" w:footer="567" w:gutter="0"/>
          <w:cols w:space="708"/>
          <w:docGrid w:linePitch="360"/>
        </w:sectPr>
      </w:pPr>
      <w:r w:rsidRPr="00117237">
        <w:rPr>
          <w:noProof/>
          <w:color w:val="auto"/>
        </w:rPr>
        <w:drawing>
          <wp:inline distT="0" distB="0" distL="0" distR="0" wp14:anchorId="397A5A2F" wp14:editId="38D223CB">
            <wp:extent cx="9676425" cy="5550818"/>
            <wp:effectExtent l="0" t="0" r="1270" b="0"/>
            <wp:docPr id="72507340" name="Picture 8" descr="This image presents a detailed flowchart illustrating the iterative process for promoting gender equality and preventing violence against women within TAFE (Technical and Further Education) institutions. The chart is divided into distinct phases—Discover (inception), Engage (foundational), Active (short-term), and Lead (medium-term)—with each phase spanning specified timeframes (within 12 months, 6-12 months, within two years, and within five years).&#10;&#10;The process begins with developing internal frameworks and securing TAFE engagement, followed by engaging with changemakers to raise awareness and build commitment. As the flow progresses, outcomes are tracked at both TAFE level and system level, including increased understanding, actions taken on gender equality, and recognition of key roles across stakeholders. The process culminates in medium-term impacts such as changed policies, ongoing financial support, and increased capacity to further gender equality initiatives. At the bottom, a highlighted statement summarizes the overall outcome: a greater understanding of effective strategies to support changes in TAFEs for gender equality and violenc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7340" name="Picture 8" descr="This image presents a detailed flowchart illustrating the iterative process for promoting gender equality and preventing violence against women within TAFE (Technical and Further Education) institutions. The chart is divided into distinct phases—Discover (inception), Engage (foundational), Active (short-term), and Lead (medium-term)—with each phase spanning specified timeframes (within 12 months, 6-12 months, within two years, and within five years).&#10;&#10;The process begins with developing internal frameworks and securing TAFE engagement, followed by engaging with changemakers to raise awareness and build commitment. As the flow progresses, outcomes are tracked at both TAFE level and system level, including increased understanding, actions taken on gender equality, and recognition of key roles across stakeholders. The process culminates in medium-term impacts such as changed policies, ongoing financial support, and increased capacity to further gender equality initiatives. At the bottom, a highlighted statement summarizes the overall outcome: a greater understanding of effective strategies to support changes in TAFEs for gender equality and violence prevention."/>
                    <pic:cNvPicPr>
                      <a:picLocks noChangeAspect="1" noChangeArrowheads="1"/>
                    </pic:cNvPicPr>
                  </pic:nvPicPr>
                  <pic:blipFill>
                    <a:blip r:embed="rId24"/>
                    <a:stretch>
                      <a:fillRect/>
                    </a:stretch>
                  </pic:blipFill>
                  <pic:spPr bwMode="auto">
                    <a:xfrm>
                      <a:off x="0" y="0"/>
                      <a:ext cx="9676425" cy="5550818"/>
                    </a:xfrm>
                    <a:prstGeom prst="rect">
                      <a:avLst/>
                    </a:prstGeom>
                    <a:noFill/>
                  </pic:spPr>
                </pic:pic>
              </a:graphicData>
            </a:graphic>
          </wp:inline>
        </w:drawing>
      </w:r>
    </w:p>
    <w:p w14:paraId="07715203" w14:textId="2D9F6A12" w:rsidR="001B6968" w:rsidRPr="00117237" w:rsidRDefault="00C72937" w:rsidP="001B6968">
      <w:pPr>
        <w:pStyle w:val="Heading3Normal"/>
      </w:pPr>
      <w:r w:rsidRPr="00117237">
        <w:lastRenderedPageBreak/>
        <w:t>T</w:t>
      </w:r>
      <w:r w:rsidR="001B6968" w:rsidRPr="00117237">
        <w:t>he project model</w:t>
      </w:r>
      <w:r w:rsidR="009B666F" w:rsidRPr="00117237">
        <w:t xml:space="preserve"> for engaging with TAFEs</w:t>
      </w:r>
      <w:r w:rsidR="001B6968" w:rsidRPr="00117237">
        <w:t xml:space="preserve"> was sound</w:t>
      </w:r>
      <w:r w:rsidR="008702D8" w:rsidRPr="00117237">
        <w:t>,</w:t>
      </w:r>
      <w:r w:rsidR="001B6968" w:rsidRPr="00117237">
        <w:t xml:space="preserve"> </w:t>
      </w:r>
      <w:r w:rsidR="009B666F" w:rsidRPr="00117237">
        <w:t xml:space="preserve">and </w:t>
      </w:r>
      <w:r w:rsidR="00B56493" w:rsidRPr="00117237">
        <w:t>set the project up to prioritise</w:t>
      </w:r>
      <w:r w:rsidR="00077DB3" w:rsidRPr="00117237">
        <w:t xml:space="preserve"> key enabling factors of</w:t>
      </w:r>
      <w:r w:rsidR="00B56493" w:rsidRPr="00117237">
        <w:t xml:space="preserve"> relationships </w:t>
      </w:r>
      <w:r w:rsidR="00077DB3" w:rsidRPr="00117237">
        <w:t xml:space="preserve">building </w:t>
      </w:r>
      <w:r w:rsidR="00B56493" w:rsidRPr="00117237">
        <w:t>and leadership buy-in.</w:t>
      </w:r>
    </w:p>
    <w:p w14:paraId="0F7FA236" w14:textId="4D0C8BA8" w:rsidR="00DB104E" w:rsidRPr="00117237" w:rsidRDefault="009C25D9" w:rsidP="008C5903">
      <w:pPr>
        <w:pStyle w:val="Caption"/>
        <w:keepNext/>
        <w:rPr>
          <w:b w:val="0"/>
        </w:rPr>
      </w:pPr>
      <w:r w:rsidRPr="00117237">
        <w:rPr>
          <w:b w:val="0"/>
          <w:bCs/>
        </w:rPr>
        <w:t xml:space="preserve">RET framework includes eight key steps for engaging with TAFEs to develop gender equality action plans, and is based on the evidence for whole-of-institutional approaches (see 1.2. Overview of the Respect and Equality in TAFEs 2 project). The RET2 project team drew on the RET framework to develop a project model for engagement with TAFEs (see Figure </w:t>
      </w:r>
      <w:r w:rsidR="00256D5F" w:rsidRPr="00117237">
        <w:rPr>
          <w:b w:val="0"/>
          <w:bCs/>
        </w:rPr>
        <w:t>4</w:t>
      </w:r>
      <w:r w:rsidRPr="00117237">
        <w:rPr>
          <w:b w:val="0"/>
          <w:bCs/>
        </w:rPr>
        <w:t xml:space="preserve"> below)</w:t>
      </w:r>
      <w:r w:rsidR="001A3315" w:rsidRPr="00117237">
        <w:rPr>
          <w:b w:val="0"/>
          <w:bCs/>
        </w:rPr>
        <w:t>, designed so that TAFEs could progress through the framework with</w:t>
      </w:r>
      <w:r w:rsidR="00A36E03" w:rsidRPr="00117237">
        <w:rPr>
          <w:b w:val="0"/>
          <w:bCs/>
        </w:rPr>
        <w:t xml:space="preserve"> support from Our Watch. </w:t>
      </w:r>
    </w:p>
    <w:p w14:paraId="419878D5" w14:textId="77777777" w:rsidR="00A36E03" w:rsidRPr="00117237" w:rsidRDefault="00A36E03" w:rsidP="004C167C">
      <w:pPr>
        <w:pStyle w:val="Caption"/>
        <w:keepNext/>
      </w:pPr>
    </w:p>
    <w:p w14:paraId="21AE7BDD" w14:textId="0602E68C" w:rsidR="004C167C" w:rsidRPr="00117237" w:rsidRDefault="004C167C" w:rsidP="004C167C">
      <w:pPr>
        <w:pStyle w:val="Caption"/>
        <w:keepNext/>
      </w:pPr>
      <w:bookmarkStart w:id="21" w:name="_Toc204167672"/>
      <w:bookmarkStart w:id="22" w:name="_Toc204168058"/>
      <w:r w:rsidRPr="00117237">
        <w:t xml:space="preserve">Figure </w:t>
      </w:r>
      <w:fldSimple w:instr=" SEQ Figure \* ARABIC ">
        <w:r w:rsidR="00E3688B">
          <w:rPr>
            <w:noProof/>
          </w:rPr>
          <w:t>4</w:t>
        </w:r>
      </w:fldSimple>
      <w:r w:rsidRPr="00117237">
        <w:t>: RET2 Project model</w:t>
      </w:r>
      <w:bookmarkEnd w:id="21"/>
      <w:bookmarkEnd w:id="22"/>
      <w:r w:rsidR="00E105CF" w:rsidRPr="00117237">
        <w:rPr>
          <w:b w:val="0"/>
          <w:iCs w:val="0"/>
          <w:szCs w:val="20"/>
        </w:rPr>
        <w:t xml:space="preserve"> </w:t>
      </w:r>
    </w:p>
    <w:p w14:paraId="4B673DFE" w14:textId="5C3BC0A9" w:rsidR="00F17D32" w:rsidRPr="00117237" w:rsidRDefault="00317CEA" w:rsidP="00B937C4">
      <w:r w:rsidRPr="00117237">
        <w:rPr>
          <w:noProof/>
        </w:rPr>
        <w:drawing>
          <wp:inline distT="0" distB="0" distL="0" distR="0" wp14:anchorId="1E4FBF66" wp14:editId="55DC09D5">
            <wp:extent cx="6123002" cy="2176013"/>
            <wp:effectExtent l="0" t="0" r="0" b="0"/>
            <wp:docPr id="1233045119" name="Picture 9" descr="The image displays a step-by-step project delivery model for a gender equality initiative with TAFE institutions. The process is shown in four connected boxes from left to right:&#10;&#10;    The Pre-engagement phase box describes the initial contact with TAFE through ministers and staff, setting up frameworks, resources, and ways of working for the program.&#10;&#10;    The MoU signing box explains the process of signing Memoranda of Understanding with each TAFE to ensure collaboration on building intersectional gender equality using prevention methods.&#10;&#10;    The Engagement phase – Implementation of the RET framework box details regular interactions with TAFE contacts, monthly check-ins, and the delivery of working groups and summits as TAFEs implement the framework in their context.&#10;&#10;    The Project end box marks the completion of each TAFE’s gender equality action plan and related project activities.&#10;&#10;At the bottom, a highlighted bar notes that program delivery is managed by a core team comprised of 2–3 Innovation Directorate members and project leadership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45119" name="Picture 9" descr="The image displays a step-by-step project delivery model for a gender equality initiative with TAFE institutions. The process is shown in four connected boxes from left to right:&#10;&#10;    The Pre-engagement phase box describes the initial contact with TAFE through ministers and staff, setting up frameworks, resources, and ways of working for the program.&#10;&#10;    The MoU signing box explains the process of signing Memoranda of Understanding with each TAFE to ensure collaboration on building intersectional gender equality using prevention methods.&#10;&#10;    The Engagement phase – Implementation of the RET framework box details regular interactions with TAFE contacts, monthly check-ins, and the delivery of working groups and summits as TAFEs implement the framework in their context.&#10;&#10;    The Project end box marks the completion of each TAFE’s gender equality action plan and related project activities.&#10;&#10;At the bottom, a highlighted bar notes that program delivery is managed by a core team comprised of 2–3 Innovation Directorate members and project leadership ro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3551" cy="2193977"/>
                    </a:xfrm>
                    <a:prstGeom prst="rect">
                      <a:avLst/>
                    </a:prstGeom>
                    <a:noFill/>
                  </pic:spPr>
                </pic:pic>
              </a:graphicData>
            </a:graphic>
          </wp:inline>
        </w:drawing>
      </w:r>
    </w:p>
    <w:p w14:paraId="020A6D7B" w14:textId="77777777" w:rsidR="00A36E03" w:rsidRPr="00117237" w:rsidRDefault="00A36E03" w:rsidP="00A36E03">
      <w:r w:rsidRPr="00117237">
        <w:t>Support from the Our Watch team included:</w:t>
      </w:r>
    </w:p>
    <w:p w14:paraId="1F5B1333" w14:textId="18680A1A" w:rsidR="00A36E03" w:rsidRPr="00117237" w:rsidRDefault="00A36E03" w:rsidP="00756D65">
      <w:pPr>
        <w:pStyle w:val="ListParagraph"/>
        <w:numPr>
          <w:ilvl w:val="0"/>
          <w:numId w:val="30"/>
        </w:numPr>
      </w:pPr>
      <w:r w:rsidRPr="00117237">
        <w:t>A series of structured engagements with the TAFE working group – these were facilitated sessions to help guide them through the process of developing their action plans</w:t>
      </w:r>
    </w:p>
    <w:p w14:paraId="1E308741" w14:textId="6A5842A3" w:rsidR="001B4DD5" w:rsidRPr="00117237" w:rsidRDefault="00DD57C7" w:rsidP="00756D65">
      <w:pPr>
        <w:pStyle w:val="ListParagraph"/>
        <w:numPr>
          <w:ilvl w:val="0"/>
          <w:numId w:val="30"/>
        </w:numPr>
      </w:pPr>
      <w:r w:rsidRPr="00117237">
        <w:t xml:space="preserve">Supporting TAFEs with subject matter expertise on primary prevention through </w:t>
      </w:r>
      <w:r w:rsidR="00794B2A" w:rsidRPr="00117237">
        <w:t>the project team, training, guidance, resources, tools and templates</w:t>
      </w:r>
    </w:p>
    <w:p w14:paraId="6300B50C" w14:textId="176712B4" w:rsidR="00794B2A" w:rsidRPr="00117237" w:rsidRDefault="00794B2A" w:rsidP="00756D65">
      <w:pPr>
        <w:pStyle w:val="ListParagraph"/>
        <w:numPr>
          <w:ilvl w:val="0"/>
          <w:numId w:val="30"/>
        </w:numPr>
      </w:pPr>
      <w:r w:rsidRPr="00117237">
        <w:t xml:space="preserve">Providing opportunities to connect with other TAFEs working through their primary prevention journey, including via </w:t>
      </w:r>
      <w:r w:rsidR="00E71C32" w:rsidRPr="00117237">
        <w:t xml:space="preserve">CoPs and </w:t>
      </w:r>
      <w:r w:rsidR="00CA08AC" w:rsidRPr="00117237">
        <w:t>s</w:t>
      </w:r>
      <w:r w:rsidR="00E71C32" w:rsidRPr="00117237">
        <w:t>ummits with participating TAFEs</w:t>
      </w:r>
      <w:r w:rsidR="008E3E7D" w:rsidRPr="00117237">
        <w:t xml:space="preserve"> </w:t>
      </w:r>
    </w:p>
    <w:p w14:paraId="39F8F29A" w14:textId="58645331" w:rsidR="00A36E03" w:rsidRPr="00117237" w:rsidRDefault="00A36E03" w:rsidP="008E3E7D">
      <w:r w:rsidRPr="00117237">
        <w:t xml:space="preserve">This allowed TAFEs to progress through the process of developing their gender equality action plans including collecting data on current progress and initiatives and setting up monitoring plans to evaluate future progress against goals. </w:t>
      </w:r>
    </w:p>
    <w:p w14:paraId="5096FA07" w14:textId="1160646A" w:rsidR="00831197" w:rsidRPr="00117237" w:rsidRDefault="009F41C5" w:rsidP="000B1D60">
      <w:pPr>
        <w:pStyle w:val="Heading3Normal"/>
        <w:rPr>
          <w:strike/>
        </w:rPr>
      </w:pPr>
      <w:r w:rsidRPr="00117237">
        <w:t>The RET2 project team developed u</w:t>
      </w:r>
      <w:r w:rsidR="00831197" w:rsidRPr="00117237">
        <w:t xml:space="preserve">nderpinning principles </w:t>
      </w:r>
      <w:r w:rsidR="00731478" w:rsidRPr="00117237">
        <w:t>to inform ways of working</w:t>
      </w:r>
      <w:r w:rsidRPr="00117237">
        <w:t>.</w:t>
      </w:r>
    </w:p>
    <w:p w14:paraId="2774645A" w14:textId="5625DFE9" w:rsidR="00EC45BB" w:rsidRPr="00117237" w:rsidRDefault="00A5650E" w:rsidP="002C1960">
      <w:r w:rsidRPr="00117237">
        <w:t>A</w:t>
      </w:r>
      <w:r w:rsidR="002C1960" w:rsidRPr="00117237">
        <w:t xml:space="preserve"> series of project </w:t>
      </w:r>
      <w:r w:rsidR="00EC45BB" w:rsidRPr="00117237">
        <w:t>principles were developed by the Our Watch RET2 project implementation team, and</w:t>
      </w:r>
      <w:r w:rsidR="002C1960" w:rsidRPr="00117237">
        <w:t xml:space="preserve"> </w:t>
      </w:r>
      <w:r w:rsidR="00EC45BB" w:rsidRPr="00117237">
        <w:t>underpin</w:t>
      </w:r>
      <w:r w:rsidR="00113CE7" w:rsidRPr="00117237">
        <w:t>ned</w:t>
      </w:r>
      <w:r w:rsidR="00EC45BB" w:rsidRPr="00117237">
        <w:t xml:space="preserve"> how the project was implemented</w:t>
      </w:r>
      <w:r w:rsidR="002C1960" w:rsidRPr="00117237">
        <w:t xml:space="preserve">. They were: </w:t>
      </w:r>
    </w:p>
    <w:p w14:paraId="373A933C" w14:textId="6AD6A14D" w:rsidR="00EC45BB" w:rsidRPr="00117237" w:rsidRDefault="00EC45BB" w:rsidP="00756D65">
      <w:pPr>
        <w:pStyle w:val="ListParagraph"/>
        <w:numPr>
          <w:ilvl w:val="0"/>
          <w:numId w:val="39"/>
        </w:numPr>
        <w:spacing w:line="276" w:lineRule="auto"/>
      </w:pPr>
      <w:r w:rsidRPr="00117237">
        <w:t>We understand one approach does not fit all, and we need to meet TAFE and system actors where they are at in their jurisdictions</w:t>
      </w:r>
    </w:p>
    <w:p w14:paraId="5D2F23A9" w14:textId="4B7864EC" w:rsidR="00EC45BB" w:rsidRPr="00117237" w:rsidRDefault="00EC45BB" w:rsidP="00756D65">
      <w:pPr>
        <w:pStyle w:val="ListParagraph"/>
        <w:numPr>
          <w:ilvl w:val="0"/>
          <w:numId w:val="39"/>
        </w:numPr>
        <w:spacing w:line="276" w:lineRule="auto"/>
      </w:pPr>
      <w:r w:rsidRPr="00117237">
        <w:t>We foster strong mutual engagement and understanding to encourage TAFE and system actors to recognise their role in primary prevention based on the evidence base</w:t>
      </w:r>
    </w:p>
    <w:p w14:paraId="7477F371" w14:textId="1E13976B" w:rsidR="00EC45BB" w:rsidRPr="00117237" w:rsidRDefault="00EC45BB" w:rsidP="00756D65">
      <w:pPr>
        <w:pStyle w:val="ListParagraph"/>
        <w:numPr>
          <w:ilvl w:val="0"/>
          <w:numId w:val="39"/>
        </w:numPr>
        <w:spacing w:line="276" w:lineRule="auto"/>
      </w:pPr>
      <w:r w:rsidRPr="00117237">
        <w:t>We engage in continuous learning and evidence generation to support TAFEs, system actors and ourselves to learn about what works</w:t>
      </w:r>
    </w:p>
    <w:p w14:paraId="38C32937" w14:textId="70A494CC" w:rsidR="00EC45BB" w:rsidRPr="00117237" w:rsidRDefault="00EC45BB" w:rsidP="00756D65">
      <w:pPr>
        <w:pStyle w:val="ListParagraph"/>
        <w:numPr>
          <w:ilvl w:val="0"/>
          <w:numId w:val="39"/>
        </w:numPr>
        <w:spacing w:line="276" w:lineRule="auto"/>
      </w:pPr>
      <w:r w:rsidRPr="00117237">
        <w:t>We use comprehensive thinking and action to redress the inter-related causes of sexual harassment, violence against women and gender inequality at all levels of the socio-ecological model</w:t>
      </w:r>
    </w:p>
    <w:p w14:paraId="321103DD" w14:textId="74ED4766" w:rsidR="00EC45BB" w:rsidRPr="00117237" w:rsidRDefault="00EC45BB" w:rsidP="00756D65">
      <w:pPr>
        <w:pStyle w:val="ListParagraph"/>
        <w:numPr>
          <w:ilvl w:val="0"/>
          <w:numId w:val="39"/>
        </w:numPr>
        <w:spacing w:line="276" w:lineRule="auto"/>
      </w:pPr>
      <w:r w:rsidRPr="00117237">
        <w:t>We focus on long term change, by supporting the building blocks</w:t>
      </w:r>
    </w:p>
    <w:p w14:paraId="51CE09CE" w14:textId="4DD90678" w:rsidR="00EC45BB" w:rsidRPr="00117237" w:rsidRDefault="00EC45BB" w:rsidP="00756D65">
      <w:pPr>
        <w:pStyle w:val="ListParagraph"/>
        <w:numPr>
          <w:ilvl w:val="0"/>
          <w:numId w:val="39"/>
        </w:numPr>
        <w:spacing w:line="276" w:lineRule="auto"/>
      </w:pPr>
      <w:r w:rsidRPr="00117237">
        <w:t>We centre intersectionality in our approach by listening to and learning from diverse perspectives and evidence bases, to support meaningful and inclusive change for all</w:t>
      </w:r>
    </w:p>
    <w:p w14:paraId="6B9906B1" w14:textId="16A2FA3B" w:rsidR="00AD3DFB" w:rsidRPr="00117237" w:rsidRDefault="00BB524B" w:rsidP="00AD3DFB">
      <w:pPr>
        <w:spacing w:line="276" w:lineRule="auto"/>
      </w:pPr>
      <w:r w:rsidRPr="00117237">
        <w:rPr>
          <w:rFonts w:cs="Calibri"/>
          <w:szCs w:val="22"/>
        </w:rPr>
        <w:t xml:space="preserve">The </w:t>
      </w:r>
      <w:r w:rsidR="00A228F0" w:rsidRPr="00117237">
        <w:rPr>
          <w:rFonts w:cs="Calibri"/>
          <w:szCs w:val="22"/>
        </w:rPr>
        <w:t>use of p</w:t>
      </w:r>
      <w:r w:rsidRPr="00117237">
        <w:rPr>
          <w:rFonts w:cs="Calibri"/>
          <w:szCs w:val="22"/>
        </w:rPr>
        <w:t>rinciples gave the</w:t>
      </w:r>
      <w:r w:rsidR="000E6048" w:rsidRPr="00117237">
        <w:rPr>
          <w:rFonts w:cs="Calibri"/>
          <w:szCs w:val="22"/>
        </w:rPr>
        <w:t xml:space="preserve"> project team the</w:t>
      </w:r>
      <w:r w:rsidRPr="00117237">
        <w:rPr>
          <w:rFonts w:cs="Calibri"/>
          <w:szCs w:val="22"/>
        </w:rPr>
        <w:t xml:space="preserve"> scope and remit</w:t>
      </w:r>
      <w:r w:rsidR="00407660" w:rsidRPr="00117237">
        <w:rPr>
          <w:rFonts w:cs="Calibri"/>
          <w:szCs w:val="22"/>
        </w:rPr>
        <w:t xml:space="preserve"> to be adaptable, work flexibly and make adjustments during implementation </w:t>
      </w:r>
      <w:r w:rsidR="006E7E35" w:rsidRPr="00117237">
        <w:rPr>
          <w:rFonts w:cs="Calibri"/>
          <w:szCs w:val="22"/>
        </w:rPr>
        <w:t xml:space="preserve">and </w:t>
      </w:r>
      <w:r w:rsidR="00407660" w:rsidRPr="00117237">
        <w:rPr>
          <w:rFonts w:cs="Calibri"/>
          <w:szCs w:val="22"/>
        </w:rPr>
        <w:t xml:space="preserve">to ensure the framework and project model </w:t>
      </w:r>
      <w:r w:rsidR="00113CE7" w:rsidRPr="00117237">
        <w:rPr>
          <w:rFonts w:cs="Calibri"/>
          <w:szCs w:val="22"/>
        </w:rPr>
        <w:t>were</w:t>
      </w:r>
      <w:r w:rsidR="00407660" w:rsidRPr="00117237">
        <w:rPr>
          <w:rFonts w:cs="Calibri"/>
          <w:szCs w:val="22"/>
        </w:rPr>
        <w:t xml:space="preserve"> fit for purpose and they were working with TAFEs as effectively as they </w:t>
      </w:r>
      <w:r w:rsidR="00A2505C" w:rsidRPr="00117237">
        <w:rPr>
          <w:rFonts w:cs="Calibri"/>
          <w:szCs w:val="22"/>
        </w:rPr>
        <w:t>could</w:t>
      </w:r>
      <w:r w:rsidR="00407660" w:rsidRPr="00117237">
        <w:rPr>
          <w:rFonts w:cs="Calibri"/>
          <w:szCs w:val="22"/>
        </w:rPr>
        <w:t xml:space="preserve">. </w:t>
      </w:r>
    </w:p>
    <w:p w14:paraId="34447F11" w14:textId="7D6C63C0" w:rsidR="00963F7D" w:rsidRPr="00117237" w:rsidRDefault="004C491E" w:rsidP="00963F7D">
      <w:pPr>
        <w:pStyle w:val="Heading3Normal"/>
      </w:pPr>
      <w:r w:rsidRPr="00117237">
        <w:lastRenderedPageBreak/>
        <w:t>The p</w:t>
      </w:r>
      <w:r w:rsidR="00963F7D" w:rsidRPr="00117237">
        <w:t>rocess of identifying and selecting</w:t>
      </w:r>
      <w:r w:rsidR="00303B37" w:rsidRPr="00117237">
        <w:t xml:space="preserve"> the </w:t>
      </w:r>
      <w:r w:rsidR="00FA5502" w:rsidRPr="00117237">
        <w:t>jurisdictions to work with was</w:t>
      </w:r>
      <w:r w:rsidR="00963F7D" w:rsidRPr="00117237">
        <w:t xml:space="preserve"> outside </w:t>
      </w:r>
      <w:r w:rsidR="00FA5502" w:rsidRPr="00117237">
        <w:t>of</w:t>
      </w:r>
      <w:r w:rsidR="00963F7D" w:rsidRPr="00117237">
        <w:t xml:space="preserve"> O</w:t>
      </w:r>
      <w:r w:rsidR="00F81B5C" w:rsidRPr="00117237">
        <w:t>ur Watch’s</w:t>
      </w:r>
      <w:r w:rsidR="00CD7A17" w:rsidRPr="00117237">
        <w:t xml:space="preserve"> remit</w:t>
      </w:r>
      <w:r w:rsidR="00C061D5" w:rsidRPr="00117237">
        <w:t>,</w:t>
      </w:r>
      <w:r w:rsidR="00963F7D" w:rsidRPr="00117237">
        <w:t xml:space="preserve"> and </w:t>
      </w:r>
      <w:r w:rsidR="00720AFD" w:rsidRPr="00117237">
        <w:t>there was limited support for</w:t>
      </w:r>
      <w:r w:rsidR="00963F7D" w:rsidRPr="00117237">
        <w:t xml:space="preserve"> engagement</w:t>
      </w:r>
      <w:r w:rsidR="003F3533" w:rsidRPr="00117237">
        <w:t xml:space="preserve"> with</w:t>
      </w:r>
      <w:r w:rsidR="00E75AA1" w:rsidRPr="00117237">
        <w:t xml:space="preserve"> TAFEs</w:t>
      </w:r>
      <w:r w:rsidR="00720AFD" w:rsidRPr="00117237">
        <w:t xml:space="preserve">. </w:t>
      </w:r>
    </w:p>
    <w:p w14:paraId="2908CBF4" w14:textId="220A6C9A" w:rsidR="00582077" w:rsidRPr="00117237" w:rsidRDefault="00582077" w:rsidP="008D1CBD">
      <w:r w:rsidRPr="00117237">
        <w:t>Our Watch’s involvement in the</w:t>
      </w:r>
      <w:r w:rsidR="0029272A" w:rsidRPr="00117237">
        <w:t xml:space="preserve"> RET2 project</w:t>
      </w:r>
      <w:r w:rsidR="0029272A" w:rsidRPr="00117237" w:rsidDel="00F33AAC">
        <w:t xml:space="preserve"> </w:t>
      </w:r>
      <w:r w:rsidRPr="00117237">
        <w:t>marked its first national-scale initiative in the VET sector</w:t>
      </w:r>
      <w:r w:rsidR="0029272A" w:rsidRPr="00117237">
        <w:t xml:space="preserve">. </w:t>
      </w:r>
      <w:r w:rsidR="007173DA" w:rsidRPr="00117237">
        <w:t xml:space="preserve">The organisation had prior experience working with TAFEs in Victoria during RET1, </w:t>
      </w:r>
      <w:r w:rsidR="000C450C" w:rsidRPr="00117237">
        <w:t>where the Minister for Skills and TAFE collaborated with the TAFE Network to prioritise gender equality actions, embedding Respect and Equality initiatives into their annual Statement of Priorities</w:t>
      </w:r>
      <w:r w:rsidR="000816A8" w:rsidRPr="00117237">
        <w:t>.</w:t>
      </w:r>
      <w:r w:rsidR="00231B2F" w:rsidRPr="00117237">
        <w:rPr>
          <w:rStyle w:val="FootnoteReference"/>
        </w:rPr>
        <w:footnoteReference w:id="57"/>
      </w:r>
      <w:r w:rsidR="0052694F" w:rsidRPr="00117237">
        <w:t xml:space="preserve"> Also in Victoria TAFEs are ‘defined entities with obligations’ under the </w:t>
      </w:r>
      <w:r w:rsidR="0052694F" w:rsidRPr="00117237">
        <w:rPr>
          <w:i/>
          <w:iCs/>
        </w:rPr>
        <w:t>Gender Equality Act 2020</w:t>
      </w:r>
      <w:r w:rsidR="00B4125D" w:rsidRPr="00117237">
        <w:rPr>
          <w:b/>
          <w:bCs/>
        </w:rPr>
        <w:t>.</w:t>
      </w:r>
      <w:r w:rsidR="00CA49D3" w:rsidRPr="00117237">
        <w:rPr>
          <w:rStyle w:val="FootnoteReference"/>
          <w:b w:val="0"/>
          <w:bCs/>
        </w:rPr>
        <w:footnoteReference w:id="58"/>
      </w:r>
      <w:r w:rsidR="00CB2352" w:rsidRPr="00117237">
        <w:rPr>
          <w:b/>
          <w:bCs/>
        </w:rPr>
        <w:t xml:space="preserve"> </w:t>
      </w:r>
      <w:r w:rsidR="00B4125D" w:rsidRPr="00117237">
        <w:t>This means they are required to develop and implement a gender equality action plan</w:t>
      </w:r>
      <w:r w:rsidR="00CA49D3" w:rsidRPr="00117237">
        <w:t>, publicly report on their progress and promote gender equality in policies, programs and services.</w:t>
      </w:r>
      <w:r w:rsidR="00581AB3" w:rsidRPr="00117237">
        <w:rPr>
          <w:rStyle w:val="FootnoteReference"/>
        </w:rPr>
        <w:footnoteReference w:id="59"/>
      </w:r>
      <w:r w:rsidR="00CB2352" w:rsidRPr="00117237">
        <w:t xml:space="preserve"> </w:t>
      </w:r>
      <w:r w:rsidR="000C450C" w:rsidRPr="00117237">
        <w:t xml:space="preserve">This established framework </w:t>
      </w:r>
      <w:r w:rsidR="00905798" w:rsidRPr="00117237">
        <w:t xml:space="preserve">and legally defined obligation </w:t>
      </w:r>
      <w:r w:rsidR="000C450C" w:rsidRPr="00117237">
        <w:t xml:space="preserve">provided </w:t>
      </w:r>
      <w:r w:rsidR="00905798" w:rsidRPr="00117237">
        <w:t xml:space="preserve">the impetus for TAFEs to engage in </w:t>
      </w:r>
      <w:r w:rsidR="000C450C" w:rsidRPr="00117237">
        <w:t xml:space="preserve">such work, which was absent in other </w:t>
      </w:r>
      <w:r w:rsidR="00905798" w:rsidRPr="00117237">
        <w:t>jurisdictions.</w:t>
      </w:r>
    </w:p>
    <w:p w14:paraId="19BE919F" w14:textId="77777777" w:rsidR="003431DD" w:rsidRPr="00117237" w:rsidRDefault="003431DD" w:rsidP="008D1CBD">
      <w:r w:rsidRPr="00117237">
        <w:t xml:space="preserve">In RET2, Our Watch had no role in selecting jurisdictions or TAFEs. Instead, TAFEs were approached individually, often as the sole institution within their jurisdiction, without prior introductions or system-level facilitation. This lack of support required Our Watch to build relationships and credibility from scratch in a sector unfamiliar with their work. One stakeholder noted: </w:t>
      </w:r>
    </w:p>
    <w:p w14:paraId="7D4AD4B6" w14:textId="021F6DEB" w:rsidR="003431DD" w:rsidRPr="00117237" w:rsidRDefault="003431DD" w:rsidP="00E11CE2">
      <w:pPr>
        <w:ind w:left="357"/>
        <w:jc w:val="right"/>
        <w:rPr>
          <w:i/>
          <w:color w:val="931B2F" w:themeColor="background2"/>
        </w:rPr>
      </w:pPr>
      <w:r w:rsidRPr="00117237">
        <w:rPr>
          <w:i/>
          <w:color w:val="931B2F" w:themeColor="background2"/>
          <w:szCs w:val="22"/>
        </w:rPr>
        <w:t>‘At the beginning they thought we were a marketing org</w:t>
      </w:r>
      <w:r w:rsidR="0029204D" w:rsidRPr="00117237">
        <w:rPr>
          <w:i/>
          <w:color w:val="931B2F" w:themeColor="background2"/>
          <w:szCs w:val="22"/>
        </w:rPr>
        <w:t>anisation</w:t>
      </w:r>
      <w:r w:rsidRPr="00117237">
        <w:rPr>
          <w:i/>
          <w:color w:val="931B2F" w:themeColor="background2"/>
          <w:szCs w:val="22"/>
        </w:rPr>
        <w:t xml:space="preserve">, they did not know us at all.’ - Our Watch stakeholder </w:t>
      </w:r>
    </w:p>
    <w:p w14:paraId="79286CCC" w14:textId="0FEE330C" w:rsidR="00582077" w:rsidRPr="00117237" w:rsidRDefault="00DC138C" w:rsidP="008D1CBD">
      <w:r w:rsidRPr="00117237">
        <w:t xml:space="preserve">Greater system-level support </w:t>
      </w:r>
      <w:r w:rsidR="003C2B7F" w:rsidRPr="00117237">
        <w:t xml:space="preserve">in the design of the project, </w:t>
      </w:r>
      <w:r w:rsidRPr="00117237">
        <w:t xml:space="preserve">could have </w:t>
      </w:r>
      <w:r w:rsidR="003C2B7F" w:rsidRPr="00117237">
        <w:t>set the project up for smoother</w:t>
      </w:r>
      <w:r w:rsidRPr="00117237">
        <w:t xml:space="preserve"> implementation. For example, external actors articulating the importance of this work to TAFEs might have encouraged them to prioritise gender equality initiatives more efficiently. </w:t>
      </w:r>
    </w:p>
    <w:p w14:paraId="246AA5D3" w14:textId="44F3E703" w:rsidR="00143906" w:rsidRPr="00117237" w:rsidRDefault="00143906" w:rsidP="005846CC">
      <w:pPr>
        <w:spacing w:before="240" w:after="190"/>
        <w:outlineLvl w:val="2"/>
        <w:rPr>
          <w:rFonts w:ascii="Arial Narrow" w:hAnsi="Arial Narrow" w:cs="Times New Roman"/>
        </w:rPr>
      </w:pPr>
      <w:r w:rsidRPr="00117237">
        <w:rPr>
          <w:rFonts w:ascii="Arial Narrow" w:hAnsi="Arial Narrow" w:cs="Times New Roman"/>
          <w:b/>
          <w:bCs/>
          <w:color w:val="931B2F" w:themeColor="accent1"/>
        </w:rPr>
        <w:t>RET2 has been sufficiently resource</w:t>
      </w:r>
      <w:r w:rsidR="00C46BD3" w:rsidRPr="00117237">
        <w:rPr>
          <w:rFonts w:ascii="Arial Narrow" w:hAnsi="Arial Narrow" w:cs="Times New Roman"/>
          <w:b/>
          <w:bCs/>
          <w:color w:val="931B2F" w:themeColor="accent1"/>
        </w:rPr>
        <w:t>d</w:t>
      </w:r>
      <w:r w:rsidRPr="00117237">
        <w:rPr>
          <w:rFonts w:ascii="Arial Narrow" w:hAnsi="Arial Narrow" w:cs="Times New Roman"/>
          <w:b/>
          <w:bCs/>
          <w:color w:val="931B2F" w:themeColor="accent1"/>
        </w:rPr>
        <w:t xml:space="preserve"> to deliver on its scope. </w:t>
      </w:r>
    </w:p>
    <w:p w14:paraId="66722601" w14:textId="665CB154" w:rsidR="005846CC" w:rsidRPr="00117237" w:rsidRDefault="005846CC" w:rsidP="007812B1">
      <w:r w:rsidRPr="00117237">
        <w:t>This project was given a significant budget</w:t>
      </w:r>
      <w:r w:rsidR="00E6292C" w:rsidRPr="00117237">
        <w:t>,</w:t>
      </w:r>
      <w:r w:rsidRPr="00117237">
        <w:t xml:space="preserve"> accompanied by a</w:t>
      </w:r>
      <w:r w:rsidR="00E6292C" w:rsidRPr="00117237">
        <w:t xml:space="preserve"> high-level</w:t>
      </w:r>
      <w:r w:rsidR="00860409" w:rsidRPr="00117237">
        <w:t xml:space="preserve"> Activity Work Plan</w:t>
      </w:r>
      <w:r w:rsidR="004942E9" w:rsidRPr="00117237">
        <w:t xml:space="preserve">, and a scoping document </w:t>
      </w:r>
      <w:r w:rsidR="00AD56FD" w:rsidRPr="00117237">
        <w:t>on the VET sector</w:t>
      </w:r>
      <w:r w:rsidR="004942E9" w:rsidRPr="00117237">
        <w:t xml:space="preserve"> that</w:t>
      </w:r>
      <w:r w:rsidR="00A41129" w:rsidRPr="00117237">
        <w:t xml:space="preserve"> </w:t>
      </w:r>
      <w:r w:rsidRPr="00117237">
        <w:t xml:space="preserve">was able to be used as a guide rather than a source of truth. </w:t>
      </w:r>
    </w:p>
    <w:p w14:paraId="10D62E8E" w14:textId="17A9D3D7" w:rsidR="00ED601F" w:rsidRPr="00117237" w:rsidRDefault="00517D33" w:rsidP="007812B1">
      <w:pPr>
        <w:jc w:val="right"/>
        <w:rPr>
          <w:i/>
          <w:color w:val="931B2F" w:themeColor="background2"/>
          <w:szCs w:val="22"/>
        </w:rPr>
      </w:pPr>
      <w:r w:rsidRPr="00117237">
        <w:rPr>
          <w:i/>
          <w:color w:val="931B2F" w:themeColor="background2"/>
          <w:szCs w:val="22"/>
        </w:rPr>
        <w:t>‘</w:t>
      </w:r>
      <w:r w:rsidR="00ED601F" w:rsidRPr="00117237">
        <w:rPr>
          <w:i/>
          <w:color w:val="931B2F" w:themeColor="background2"/>
          <w:szCs w:val="22"/>
        </w:rPr>
        <w:t>This AWP was really loose, it basically said we deliver a project plan, evaluation plan.</w:t>
      </w:r>
      <w:r w:rsidRPr="00117237">
        <w:rPr>
          <w:i/>
          <w:color w:val="931B2F" w:themeColor="background2"/>
          <w:szCs w:val="22"/>
        </w:rPr>
        <w:t>’ – Our Watch stakeholder</w:t>
      </w:r>
    </w:p>
    <w:p w14:paraId="76896AE1" w14:textId="402915AC" w:rsidR="00ED601F" w:rsidRPr="00117237" w:rsidRDefault="00647A0D" w:rsidP="007812B1">
      <w:pPr>
        <w:jc w:val="right"/>
        <w:rPr>
          <w:i/>
          <w:color w:val="931B2F" w:themeColor="background2"/>
          <w:szCs w:val="22"/>
        </w:rPr>
      </w:pPr>
      <w:r w:rsidRPr="00117237">
        <w:rPr>
          <w:i/>
          <w:color w:val="931B2F" w:themeColor="background2"/>
          <w:szCs w:val="22"/>
        </w:rPr>
        <w:t>‘</w:t>
      </w:r>
      <w:r w:rsidR="006B7379" w:rsidRPr="00117237">
        <w:rPr>
          <w:i/>
          <w:color w:val="931B2F" w:themeColor="background2"/>
          <w:szCs w:val="22"/>
        </w:rPr>
        <w:t>We had a scoping report another consultant prepared in 2021, but it was huge, broad and out of date by the time I arrived</w:t>
      </w:r>
      <w:r w:rsidR="00517D33" w:rsidRPr="00117237">
        <w:rPr>
          <w:i/>
          <w:color w:val="931B2F" w:themeColor="background2"/>
          <w:szCs w:val="22"/>
        </w:rPr>
        <w:t>…</w:t>
      </w:r>
      <w:r w:rsidR="00517D33" w:rsidRPr="00117237">
        <w:rPr>
          <w:i/>
          <w:iCs/>
          <w:color w:val="931B2F" w:themeColor="background2"/>
        </w:rPr>
        <w:t xml:space="preserve"> </w:t>
      </w:r>
      <w:r w:rsidR="00517D33" w:rsidRPr="00117237">
        <w:rPr>
          <w:i/>
          <w:color w:val="931B2F" w:themeColor="background2"/>
          <w:szCs w:val="22"/>
        </w:rPr>
        <w:t>the scoping work became a template or guiding document, rather than instructions</w:t>
      </w:r>
      <w:r w:rsidR="003C2B7F" w:rsidRPr="00117237">
        <w:rPr>
          <w:i/>
          <w:color w:val="931B2F" w:themeColor="background2"/>
          <w:szCs w:val="22"/>
        </w:rPr>
        <w:t>.</w:t>
      </w:r>
      <w:r w:rsidR="00517D33" w:rsidRPr="00117237">
        <w:rPr>
          <w:i/>
          <w:color w:val="931B2F" w:themeColor="background2"/>
          <w:szCs w:val="22"/>
        </w:rPr>
        <w:t xml:space="preserve">’ – Our Watch stakeholder </w:t>
      </w:r>
    </w:p>
    <w:p w14:paraId="0885246B" w14:textId="176794FE" w:rsidR="005C6436" w:rsidRPr="00117237" w:rsidRDefault="005C6436" w:rsidP="007812B1">
      <w:r w:rsidRPr="00117237">
        <w:t xml:space="preserve">This enabled Our Watch to </w:t>
      </w:r>
      <w:r w:rsidR="00AA3F07" w:rsidRPr="00117237">
        <w:t>develop</w:t>
      </w:r>
      <w:r w:rsidRPr="00117237">
        <w:t xml:space="preserve"> a </w:t>
      </w:r>
      <w:r w:rsidR="00AA3F07" w:rsidRPr="00117237">
        <w:t>more comprehensive</w:t>
      </w:r>
      <w:r w:rsidRPr="00117237">
        <w:t xml:space="preserve"> project </w:t>
      </w:r>
      <w:r w:rsidR="00AA3F07" w:rsidRPr="00117237">
        <w:t xml:space="preserve">plan </w:t>
      </w:r>
      <w:r w:rsidRPr="00117237">
        <w:t xml:space="preserve">and </w:t>
      </w:r>
      <w:r w:rsidR="00AA3F07" w:rsidRPr="00117237">
        <w:t>evaluation plan to design the project approach, and resourcing to hire</w:t>
      </w:r>
      <w:r w:rsidRPr="00117237">
        <w:t xml:space="preserve"> a team</w:t>
      </w:r>
      <w:r w:rsidR="00913D89" w:rsidRPr="00117237">
        <w:t xml:space="preserve"> </w:t>
      </w:r>
      <w:r w:rsidR="00B84550" w:rsidRPr="00117237">
        <w:t>of two to three</w:t>
      </w:r>
      <w:r w:rsidRPr="00117237">
        <w:t xml:space="preserve"> </w:t>
      </w:r>
      <w:r w:rsidR="00B84550" w:rsidRPr="00117237">
        <w:t>(this varied throughout the project)</w:t>
      </w:r>
      <w:r w:rsidRPr="00117237">
        <w:t xml:space="preserve"> who could dedicate the time needed to make impact</w:t>
      </w:r>
      <w:r w:rsidR="00AA3F07" w:rsidRPr="00117237">
        <w:t xml:space="preserve"> and realise this approach. </w:t>
      </w:r>
    </w:p>
    <w:p w14:paraId="64606FE4" w14:textId="77777777" w:rsidR="00077DB3" w:rsidRPr="00117237" w:rsidRDefault="00077DB3" w:rsidP="003C2B7F">
      <w:pPr>
        <w:pStyle w:val="BodyTextAfterBullets"/>
      </w:pPr>
    </w:p>
    <w:p w14:paraId="7906A85A" w14:textId="6802E15F" w:rsidR="003D7BF1" w:rsidRPr="00117237" w:rsidRDefault="003D7BF1" w:rsidP="003C2B7F">
      <w:pPr>
        <w:pStyle w:val="BodyTextAfterBullets"/>
        <w:rPr>
          <w:rFonts w:asciiTheme="majorHAnsi" w:hAnsiTheme="majorHAnsi"/>
          <w:color w:val="931B2F" w:themeColor="background2"/>
          <w:sz w:val="32"/>
        </w:rPr>
      </w:pPr>
      <w:r w:rsidRPr="00117237">
        <w:br w:type="page"/>
      </w:r>
    </w:p>
    <w:p w14:paraId="4145411F" w14:textId="4BF49F87" w:rsidR="00C240EF" w:rsidRPr="00117237" w:rsidRDefault="009308F9" w:rsidP="005D51DE">
      <w:pPr>
        <w:pStyle w:val="Heading2"/>
      </w:pPr>
      <w:bookmarkStart w:id="23" w:name="_Toc204168360"/>
      <w:r w:rsidRPr="00117237">
        <w:lastRenderedPageBreak/>
        <w:t>Program delivery</w:t>
      </w:r>
      <w:bookmarkEnd w:id="23"/>
    </w:p>
    <w:tbl>
      <w:tblPr>
        <w:tblStyle w:val="TableGrid"/>
        <w:tblW w:w="0" w:type="auto"/>
        <w:tblLook w:val="04A0" w:firstRow="1" w:lastRow="0" w:firstColumn="1" w:lastColumn="0" w:noHBand="0" w:noVBand="1"/>
      </w:tblPr>
      <w:tblGrid>
        <w:gridCol w:w="9628"/>
      </w:tblGrid>
      <w:tr w:rsidR="004B5372" w:rsidRPr="00117237" w14:paraId="741FB6D2" w14:textId="77777777">
        <w:tc>
          <w:tcPr>
            <w:tcW w:w="9628" w:type="dxa"/>
            <w:tcBorders>
              <w:top w:val="nil"/>
              <w:left w:val="nil"/>
              <w:bottom w:val="nil"/>
              <w:right w:val="nil"/>
            </w:tcBorders>
            <w:shd w:val="clear" w:color="auto" w:fill="D9D9D9" w:themeFill="background1" w:themeFillShade="D9"/>
          </w:tcPr>
          <w:p w14:paraId="71707C9B" w14:textId="77777777" w:rsidR="004B5372" w:rsidRPr="00117237" w:rsidRDefault="004B5372" w:rsidP="00174CBF">
            <w:pPr>
              <w:pStyle w:val="ListBullet1"/>
              <w:rPr>
                <w:b/>
              </w:rPr>
            </w:pPr>
            <w:r w:rsidRPr="00117237">
              <w:rPr>
                <w:b/>
              </w:rPr>
              <w:t>Key insights</w:t>
            </w:r>
          </w:p>
          <w:p w14:paraId="6B77F680" w14:textId="77777777" w:rsidR="00B7723E" w:rsidRPr="00117237" w:rsidRDefault="006064C7" w:rsidP="00756D65">
            <w:pPr>
              <w:pStyle w:val="ListBullet"/>
              <w:numPr>
                <w:ilvl w:val="0"/>
                <w:numId w:val="31"/>
              </w:numPr>
            </w:pPr>
            <w:r w:rsidRPr="00117237">
              <w:t xml:space="preserve">Between 2021 and 2024, Our Watch delivered the RET2 project to five TAFEs across four jurisdictions. </w:t>
            </w:r>
          </w:p>
          <w:p w14:paraId="20B5F042" w14:textId="47EF1C1C" w:rsidR="006064C7" w:rsidRPr="00117237" w:rsidRDefault="00B7723E" w:rsidP="00756D65">
            <w:pPr>
              <w:pStyle w:val="ListBullet"/>
              <w:numPr>
                <w:ilvl w:val="0"/>
                <w:numId w:val="31"/>
              </w:numPr>
            </w:pPr>
            <w:r w:rsidRPr="00117237">
              <w:t>Variation in TAFE contexts influenced implementation.</w:t>
            </w:r>
          </w:p>
          <w:p w14:paraId="61F920CB" w14:textId="75B2230E" w:rsidR="00564098" w:rsidRPr="00117237" w:rsidRDefault="00820E4D" w:rsidP="006C252F">
            <w:pPr>
              <w:pStyle w:val="ListBullet"/>
              <w:ind w:left="717"/>
            </w:pPr>
            <w:r w:rsidRPr="00117237">
              <w:t xml:space="preserve">A lack of authorising environment caused delays in getting the work off the ground and required the Our Watch team to use alternative mechanisms to </w:t>
            </w:r>
            <w:r w:rsidR="00BA4484" w:rsidRPr="00117237">
              <w:t xml:space="preserve">engage </w:t>
            </w:r>
            <w:r w:rsidRPr="00117237">
              <w:t>TAFEs.</w:t>
            </w:r>
            <w:r w:rsidR="007D1788" w:rsidRPr="00117237">
              <w:rPr>
                <w:bCs/>
              </w:rPr>
              <w:t xml:space="preserve"> </w:t>
            </w:r>
          </w:p>
          <w:p w14:paraId="73457AAD" w14:textId="23006A42" w:rsidR="00DD0D53" w:rsidRPr="00117237" w:rsidRDefault="00DD0D53" w:rsidP="00756D65">
            <w:pPr>
              <w:pStyle w:val="ListBullet"/>
              <w:numPr>
                <w:ilvl w:val="0"/>
                <w:numId w:val="31"/>
              </w:numPr>
            </w:pPr>
            <w:r w:rsidRPr="00117237">
              <w:t>The delays influenced the strategic decision to forgo engaging system actors as initially planned.</w:t>
            </w:r>
          </w:p>
          <w:p w14:paraId="0D95FA5F" w14:textId="10C6C72A" w:rsidR="00653DD3" w:rsidRPr="00117237" w:rsidRDefault="00653DD3" w:rsidP="00756D65">
            <w:pPr>
              <w:pStyle w:val="ListBullet"/>
              <w:numPr>
                <w:ilvl w:val="0"/>
                <w:numId w:val="31"/>
              </w:numPr>
            </w:pPr>
            <w:r w:rsidRPr="00117237">
              <w:t>Our Watch recruited a capable team to deliver this work. They developed and practiced approaches that built productive relationships with the TAFEs.</w:t>
            </w:r>
            <w:r w:rsidR="007D1788" w:rsidRPr="00117237">
              <w:rPr>
                <w:bCs/>
              </w:rPr>
              <w:t xml:space="preserve"> </w:t>
            </w:r>
          </w:p>
          <w:p w14:paraId="4DB2D7CB" w14:textId="4ABEF7B1" w:rsidR="006064C7" w:rsidRPr="00117237" w:rsidRDefault="00FA7667" w:rsidP="00756D65">
            <w:pPr>
              <w:pStyle w:val="ListBullet"/>
              <w:numPr>
                <w:ilvl w:val="0"/>
                <w:numId w:val="31"/>
              </w:numPr>
            </w:pPr>
            <w:r w:rsidRPr="00117237">
              <w:t xml:space="preserve">RET2 </w:t>
            </w:r>
            <w:r w:rsidR="003C4600" w:rsidRPr="00117237">
              <w:t xml:space="preserve">applied </w:t>
            </w:r>
            <w:r w:rsidRPr="00117237">
              <w:t>the RET Framework to different TAFE contexts.</w:t>
            </w:r>
          </w:p>
          <w:p w14:paraId="610D52F2" w14:textId="5312F420" w:rsidR="006064C7" w:rsidRPr="00117237" w:rsidRDefault="006064C7" w:rsidP="00756D65">
            <w:pPr>
              <w:pStyle w:val="ListBullet"/>
              <w:numPr>
                <w:ilvl w:val="0"/>
                <w:numId w:val="31"/>
              </w:numPr>
            </w:pPr>
            <w:r w:rsidRPr="00117237">
              <w:t xml:space="preserve">Despite early delays and challenges, there has been strong engagement from </w:t>
            </w:r>
            <w:r w:rsidR="00FA5253" w:rsidRPr="00117237">
              <w:t>TAFEs,</w:t>
            </w:r>
            <w:r w:rsidRPr="00117237">
              <w:t xml:space="preserve"> and the work has progressed effectively largely due to the approach by the Our Watch team.</w:t>
            </w:r>
          </w:p>
          <w:p w14:paraId="03692792" w14:textId="7FD8EEBC" w:rsidR="004B5372" w:rsidRPr="00117237" w:rsidRDefault="006064C7" w:rsidP="00756D65">
            <w:pPr>
              <w:pStyle w:val="ListBullet"/>
              <w:numPr>
                <w:ilvl w:val="0"/>
                <w:numId w:val="31"/>
              </w:numPr>
              <w:rPr>
                <w:b/>
              </w:rPr>
            </w:pPr>
            <w:r w:rsidRPr="00117237">
              <w:t xml:space="preserve">Project principles have contributed to an effective implementation, and influenced </w:t>
            </w:r>
            <w:r w:rsidR="00D317C4" w:rsidRPr="00117237">
              <w:t>positive</w:t>
            </w:r>
            <w:r w:rsidRPr="00117237">
              <w:t xml:space="preserve"> outcomes. </w:t>
            </w:r>
          </w:p>
        </w:tc>
      </w:tr>
    </w:tbl>
    <w:p w14:paraId="35B2E157" w14:textId="77777777" w:rsidR="004B5372" w:rsidRPr="00117237" w:rsidRDefault="004B5372" w:rsidP="004B5372"/>
    <w:p w14:paraId="70EA0243" w14:textId="6F66168B" w:rsidR="00927966" w:rsidRPr="00117237" w:rsidRDefault="00927966" w:rsidP="00927966">
      <w:pPr>
        <w:spacing w:before="240" w:after="190"/>
        <w:outlineLvl w:val="2"/>
        <w:rPr>
          <w:rFonts w:ascii="Arial Narrow" w:hAnsi="Arial Narrow" w:cs="Times New Roman"/>
          <w:b/>
          <w:color w:val="931B2F"/>
        </w:rPr>
      </w:pPr>
      <w:r w:rsidRPr="00117237">
        <w:rPr>
          <w:rFonts w:ascii="Arial Narrow" w:hAnsi="Arial Narrow" w:cs="Times New Roman"/>
          <w:b/>
          <w:color w:val="931B2F"/>
        </w:rPr>
        <w:t xml:space="preserve">Between </w:t>
      </w:r>
      <w:r w:rsidR="00837E3B" w:rsidRPr="00117237">
        <w:rPr>
          <w:rFonts w:ascii="Arial Narrow" w:hAnsi="Arial Narrow" w:cs="Times New Roman"/>
          <w:b/>
          <w:color w:val="931B2F"/>
        </w:rPr>
        <w:t>202</w:t>
      </w:r>
      <w:r w:rsidR="0025372D" w:rsidRPr="00117237">
        <w:rPr>
          <w:rFonts w:ascii="Arial Narrow" w:hAnsi="Arial Narrow" w:cs="Times New Roman"/>
          <w:b/>
          <w:color w:val="931B2F"/>
        </w:rPr>
        <w:t>1</w:t>
      </w:r>
      <w:r w:rsidRPr="00117237">
        <w:rPr>
          <w:rFonts w:ascii="Arial Narrow" w:hAnsi="Arial Narrow" w:cs="Times New Roman"/>
          <w:b/>
          <w:color w:val="931B2F"/>
        </w:rPr>
        <w:t xml:space="preserve"> and </w:t>
      </w:r>
      <w:r w:rsidR="00837E3B" w:rsidRPr="00117237">
        <w:rPr>
          <w:rFonts w:ascii="Arial Narrow" w:hAnsi="Arial Narrow" w:cs="Times New Roman"/>
          <w:b/>
          <w:color w:val="931B2F"/>
        </w:rPr>
        <w:t>2024</w:t>
      </w:r>
      <w:r w:rsidRPr="00117237">
        <w:rPr>
          <w:rFonts w:ascii="Arial Narrow" w:hAnsi="Arial Narrow" w:cs="Times New Roman"/>
          <w:b/>
          <w:color w:val="931B2F"/>
        </w:rPr>
        <w:t xml:space="preserve">, Our Watch delivered the RET2 project to five TAFEs across four jurisdictions. </w:t>
      </w:r>
    </w:p>
    <w:p w14:paraId="1E640507" w14:textId="63445CCB" w:rsidR="002F2AED" w:rsidRPr="00117237" w:rsidRDefault="008471D2" w:rsidP="002F2AED">
      <w:r w:rsidRPr="00117237">
        <w:t>Project funding for the RET2 project was awarded in September 2022</w:t>
      </w:r>
      <w:r w:rsidR="00771910" w:rsidRPr="00117237">
        <w:t>, which also marked the start of initial contact and pre-engagement</w:t>
      </w:r>
      <w:r w:rsidRPr="00117237">
        <w:t xml:space="preserve"> </w:t>
      </w:r>
      <w:r w:rsidR="003E1F25" w:rsidRPr="00117237">
        <w:t xml:space="preserve">with the TAFEs. </w:t>
      </w:r>
      <w:r w:rsidR="00C436FA" w:rsidRPr="00117237">
        <w:t xml:space="preserve">Official engagement with </w:t>
      </w:r>
      <w:r w:rsidR="00E11CE2" w:rsidRPr="00117237">
        <w:t>e</w:t>
      </w:r>
      <w:r w:rsidR="00C436FA" w:rsidRPr="00117237">
        <w:t xml:space="preserve">ach of the TAFEs was marked by the signing of </w:t>
      </w:r>
      <w:r w:rsidR="00E11CE2" w:rsidRPr="00117237">
        <w:t xml:space="preserve">Memorandums of Understanding </w:t>
      </w:r>
      <w:r w:rsidR="0012488C" w:rsidRPr="00117237">
        <w:t>(</w:t>
      </w:r>
      <w:r w:rsidR="00C436FA" w:rsidRPr="00117237">
        <w:t>MoUs</w:t>
      </w:r>
      <w:r w:rsidR="0012488C" w:rsidRPr="00117237">
        <w:t>)</w:t>
      </w:r>
      <w:r w:rsidR="00C436FA" w:rsidRPr="00117237">
        <w:t xml:space="preserve"> with each of the TAFEs which took place </w:t>
      </w:r>
      <w:r w:rsidR="00414785" w:rsidRPr="00117237">
        <w:t xml:space="preserve">between </w:t>
      </w:r>
      <w:r w:rsidR="001955A6" w:rsidRPr="00117237">
        <w:t xml:space="preserve">August </w:t>
      </w:r>
      <w:r w:rsidR="00414785" w:rsidRPr="00117237">
        <w:t>2023 and August 2024</w:t>
      </w:r>
      <w:r w:rsidR="000379C2" w:rsidRPr="00117237">
        <w:t xml:space="preserve">, due the delays in engagement with </w:t>
      </w:r>
      <w:r w:rsidR="005D1ADA" w:rsidRPr="00117237">
        <w:t>TAFEs.</w:t>
      </w:r>
      <w:r w:rsidR="009460AB" w:rsidRPr="00117237">
        <w:t xml:space="preserve"> </w:t>
      </w:r>
      <w:r w:rsidR="00C816B7" w:rsidRPr="00117237">
        <w:t xml:space="preserve">TAFEs worked through the RET framework at their own pace, </w:t>
      </w:r>
      <w:r w:rsidR="009E2918" w:rsidRPr="00117237">
        <w:t>and the f</w:t>
      </w:r>
      <w:r w:rsidR="009460AB" w:rsidRPr="00117237">
        <w:t xml:space="preserve">ormal engagement periods </w:t>
      </w:r>
      <w:r w:rsidR="001873D2" w:rsidRPr="00117237">
        <w:t xml:space="preserve">continued from MoU signing to the completion of project work in December 2024. </w:t>
      </w:r>
      <w:r w:rsidR="002F2AED" w:rsidRPr="00117237">
        <w:t xml:space="preserve">Figure </w:t>
      </w:r>
      <w:r w:rsidR="00CD22AF" w:rsidRPr="00117237">
        <w:t>5</w:t>
      </w:r>
      <w:r w:rsidR="002F2AED" w:rsidRPr="00117237">
        <w:t xml:space="preserve"> below </w:t>
      </w:r>
      <w:r w:rsidR="00E47A10" w:rsidRPr="00117237">
        <w:t>outlines the RET2 project timeline.</w:t>
      </w:r>
    </w:p>
    <w:p w14:paraId="45C8B9F4" w14:textId="510D3959" w:rsidR="00E376BB" w:rsidRPr="00117237" w:rsidRDefault="00E376BB" w:rsidP="00E376BB">
      <w:pPr>
        <w:pStyle w:val="Caption"/>
        <w:keepNext/>
      </w:pPr>
      <w:bookmarkStart w:id="24" w:name="_Toc204167673"/>
      <w:bookmarkStart w:id="25" w:name="_Toc204168059"/>
      <w:r w:rsidRPr="00117237">
        <w:t>Figure</w:t>
      </w:r>
      <w:r w:rsidR="00543C6D">
        <w:t xml:space="preserve"> </w:t>
      </w:r>
      <w:fldSimple w:instr=" SEQ Figure \* ARABIC ">
        <w:r w:rsidR="00E3688B">
          <w:rPr>
            <w:noProof/>
          </w:rPr>
          <w:t>5</w:t>
        </w:r>
      </w:fldSimple>
      <w:r w:rsidRPr="00117237">
        <w:t>: RET2 Project Timeline</w:t>
      </w:r>
      <w:r w:rsidR="002500D2" w:rsidRPr="00117237">
        <w:rPr>
          <w:rStyle w:val="FootnoteReference"/>
        </w:rPr>
        <w:footnoteReference w:id="60"/>
      </w:r>
      <w:bookmarkEnd w:id="24"/>
      <w:bookmarkEnd w:id="25"/>
    </w:p>
    <w:p w14:paraId="10FE4DC2" w14:textId="6D134565" w:rsidR="00C602EE" w:rsidRPr="00117237" w:rsidRDefault="00752ACC" w:rsidP="00C602EE">
      <w:r w:rsidRPr="00117237">
        <w:rPr>
          <w:noProof/>
        </w:rPr>
        <w:drawing>
          <wp:inline distT="0" distB="0" distL="0" distR="0" wp14:anchorId="7026C798" wp14:editId="354B6B94">
            <wp:extent cx="6469380" cy="3551396"/>
            <wp:effectExtent l="0" t="0" r="0" b="0"/>
            <wp:docPr id="1722216983" name="Picture 6" descr="The image presents a detailed project timeline and activity chart focused on engagement between a coordinating team and various TAFE institutions from 2022 through mid-2025. It is divided into two main sections: Project milestones and Activities with TAFEs.&#10;Project Milestones (Top Section)&#10;&#10;    The timeline runs from September 2022 to June 2025, marked by key milestones including:&#10;&#10;        Project funding awarded (September 2022)&#10;&#10;        Development of TOC (Theory of Change) by August 2022&#10;&#10;        Finalising Developmental Evaluation Plan by July 2023&#10;&#10;        Deed of variation signed in October 2023&#10;&#10;        Mid-term review workshop in February 2024&#10;&#10;        Evaluation commenced in September 2024&#10;&#10;        Project end based on extension from DSS (Department of Social Services) projected for June 2025&#10;&#10;    Participating COP (Conference of the Parties) events are noted along the timeline including COP1 to COP8, and summits aligned with these.&#10;&#10;Activities with TAFEs (Bottom Section)&#10;&#10;    Several TAFE institutions are engaged across different phases:&#10;&#10;        CIT (Canberra Institute of Technology): Pre-engagement through November 2022, MoU signing in June 2023, and ongoing engagement period extending well into 2024.&#10;&#10;        TAFESA (TAFE South Australia): Pre-engagement before November 2022, signed MoU by February 2024, followed by a dedicated engagement period.&#10;&#10;        CDU (Charles Darwin University): Pre-engagement spans before February 2024, MoU signed in February 2024, and a subsequent engagement period.&#10;&#10;        TasTAFE: Pre-engagement lasting until August 2024, MoU signed by August 2024, with engagement activities continuing thereafter.&#10;&#10;        BIITE (Batchelor Institute of Indigenous Tertiary Education): Long pre-engagement from May 2023 until September 2024, MoU signed in September 2024, and continuing engagement phase into 2025.&#10;&#10;The timeline uses color-coded bars to indicate pre-engagement, MoU signing, and engagement periods for each institution, showing their participation stages and overlaps across the project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16983" name="Picture 6" descr="The image presents a detailed project timeline and activity chart focused on engagement between a coordinating team and various TAFE institutions from 2022 through mid-2025. It is divided into two main sections: Project milestones and Activities with TAFEs.&#10;Project Milestones (Top Section)&#10;&#10;    The timeline runs from September 2022 to June 2025, marked by key milestones including:&#10;&#10;        Project funding awarded (September 2022)&#10;&#10;        Development of TOC (Theory of Change) by August 2022&#10;&#10;        Finalising Developmental Evaluation Plan by July 2023&#10;&#10;        Deed of variation signed in October 2023&#10;&#10;        Mid-term review workshop in February 2024&#10;&#10;        Evaluation commenced in September 2024&#10;&#10;        Project end based on extension from DSS (Department of Social Services) projected for June 2025&#10;&#10;    Participating COP (Conference of the Parties) events are noted along the timeline including COP1 to COP8, and summits aligned with these.&#10;&#10;Activities with TAFEs (Bottom Section)&#10;&#10;    Several TAFE institutions are engaged across different phases:&#10;&#10;        CIT (Canberra Institute of Technology): Pre-engagement through November 2022, MoU signing in June 2023, and ongoing engagement period extending well into 2024.&#10;&#10;        TAFESA (TAFE South Australia): Pre-engagement before November 2022, signed MoU by February 2024, followed by a dedicated engagement period.&#10;&#10;        CDU (Charles Darwin University): Pre-engagement spans before February 2024, MoU signed in February 2024, and a subsequent engagement period.&#10;&#10;        TasTAFE: Pre-engagement lasting until August 2024, MoU signed by August 2024, with engagement activities continuing thereafter.&#10;&#10;        BIITE (Batchelor Institute of Indigenous Tertiary Education): Long pre-engagement from May 2023 until September 2024, MoU signed in September 2024, and continuing engagement phase into 2025.&#10;&#10;The timeline uses color-coded bars to indicate pre-engagement, MoU signing, and engagement periods for each institution, showing their participation stages and overlaps across the project dur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3072" cy="3564402"/>
                    </a:xfrm>
                    <a:prstGeom prst="rect">
                      <a:avLst/>
                    </a:prstGeom>
                    <a:noFill/>
                  </pic:spPr>
                </pic:pic>
              </a:graphicData>
            </a:graphic>
          </wp:inline>
        </w:drawing>
      </w:r>
    </w:p>
    <w:p w14:paraId="2D00E83F" w14:textId="15FF6975" w:rsidR="00941403" w:rsidRPr="00117237" w:rsidRDefault="00941403" w:rsidP="00941403"/>
    <w:p w14:paraId="502D8B5A" w14:textId="2DDA26A6" w:rsidR="599F88D1" w:rsidRPr="00117237" w:rsidRDefault="00AE4172" w:rsidP="00B44F86">
      <w:r w:rsidRPr="00117237">
        <w:rPr>
          <w:rFonts w:ascii="Arial Narrow" w:hAnsi="Arial Narrow" w:cs="Times New Roman"/>
          <w:b/>
          <w:bCs/>
          <w:color w:val="931B2F" w:themeColor="accent1"/>
        </w:rPr>
        <w:lastRenderedPageBreak/>
        <w:t xml:space="preserve">Variation in TAFE contexts </w:t>
      </w:r>
      <w:r w:rsidR="001F4EBB" w:rsidRPr="00117237">
        <w:rPr>
          <w:rFonts w:ascii="Arial Narrow" w:hAnsi="Arial Narrow" w:cs="Times New Roman"/>
          <w:b/>
          <w:bCs/>
          <w:color w:val="931B2F" w:themeColor="accent1"/>
        </w:rPr>
        <w:t>influenced</w:t>
      </w:r>
      <w:r w:rsidRPr="00117237">
        <w:rPr>
          <w:rFonts w:ascii="Arial Narrow" w:hAnsi="Arial Narrow" w:cs="Times New Roman"/>
          <w:b/>
          <w:bCs/>
          <w:color w:val="931B2F" w:themeColor="accent1"/>
        </w:rPr>
        <w:t xml:space="preserve"> implementation.</w:t>
      </w:r>
      <w:r w:rsidR="001448E4" w:rsidRPr="00117237">
        <w:rPr>
          <w:rStyle w:val="FootnoteReference"/>
          <w:rFonts w:ascii="Arial Narrow" w:hAnsi="Arial Narrow" w:cs="Times New Roman"/>
          <w:b w:val="0"/>
          <w:bCs/>
          <w:color w:val="931B2F" w:themeColor="accent1"/>
        </w:rPr>
        <w:footnoteReference w:id="61"/>
      </w:r>
      <w:r w:rsidRPr="00117237">
        <w:rPr>
          <w:rFonts w:ascii="Arial Narrow" w:hAnsi="Arial Narrow" w:cs="Times New Roman"/>
          <w:b/>
          <w:bCs/>
          <w:color w:val="931B2F" w:themeColor="accent1"/>
        </w:rPr>
        <w:t xml:space="preserve"> </w:t>
      </w:r>
    </w:p>
    <w:p w14:paraId="1577D897" w14:textId="01BE2577" w:rsidR="1FC96B90" w:rsidRPr="00117237" w:rsidRDefault="00160F0B" w:rsidP="556ACCD7">
      <w:pPr>
        <w:contextualSpacing/>
        <w:rPr>
          <w:rFonts w:ascii="Arial Narrow" w:hAnsi="Arial Narrow" w:cs="Times New Roman"/>
        </w:rPr>
      </w:pPr>
      <w:r w:rsidRPr="00117237">
        <w:rPr>
          <w:rFonts w:ascii="Arial Narrow" w:hAnsi="Arial Narrow" w:cs="Times New Roman"/>
        </w:rPr>
        <w:t xml:space="preserve">Jurisdictional governments </w:t>
      </w:r>
      <w:r w:rsidR="00C46014" w:rsidRPr="00117237">
        <w:rPr>
          <w:rFonts w:ascii="Arial Narrow" w:hAnsi="Arial Narrow" w:cs="Times New Roman"/>
        </w:rPr>
        <w:t>in the ACT</w:t>
      </w:r>
      <w:r w:rsidR="006B17B3" w:rsidRPr="00117237">
        <w:rPr>
          <w:rFonts w:ascii="Arial Narrow" w:hAnsi="Arial Narrow" w:cs="Times New Roman"/>
        </w:rPr>
        <w:t>, Tasmania and SA</w:t>
      </w:r>
      <w:r w:rsidR="00C46014" w:rsidRPr="00117237">
        <w:rPr>
          <w:rFonts w:ascii="Arial Narrow" w:hAnsi="Arial Narrow" w:cs="Times New Roman"/>
        </w:rPr>
        <w:t xml:space="preserve"> </w:t>
      </w:r>
      <w:r w:rsidR="00562542" w:rsidRPr="00117237">
        <w:rPr>
          <w:rFonts w:ascii="Arial Narrow" w:hAnsi="Arial Narrow" w:cs="Times New Roman"/>
        </w:rPr>
        <w:t xml:space="preserve">have a legislated responsibility </w:t>
      </w:r>
      <w:r w:rsidR="00F55B94" w:rsidRPr="00117237">
        <w:rPr>
          <w:rFonts w:ascii="Arial Narrow" w:hAnsi="Arial Narrow" w:cs="Times New Roman"/>
        </w:rPr>
        <w:t xml:space="preserve">to provide </w:t>
      </w:r>
      <w:r w:rsidR="006B17B3" w:rsidRPr="00117237">
        <w:rPr>
          <w:rFonts w:ascii="Arial Narrow" w:hAnsi="Arial Narrow" w:cs="Times New Roman"/>
        </w:rPr>
        <w:t>public VET</w:t>
      </w:r>
      <w:r w:rsidR="1FC96B90" w:rsidRPr="00117237">
        <w:rPr>
          <w:rFonts w:ascii="Arial Narrow" w:hAnsi="Arial Narrow" w:cs="Times New Roman"/>
        </w:rPr>
        <w:t xml:space="preserve"> institutions.</w:t>
      </w:r>
      <w:r w:rsidR="009575D0" w:rsidRPr="00117237">
        <w:rPr>
          <w:rFonts w:ascii="Arial Narrow" w:hAnsi="Arial Narrow" w:cs="Times New Roman"/>
        </w:rPr>
        <w:t xml:space="preserve"> </w:t>
      </w:r>
      <w:r w:rsidR="1FC96B90" w:rsidRPr="00117237">
        <w:rPr>
          <w:rFonts w:ascii="Arial Narrow" w:hAnsi="Arial Narrow" w:cs="Times New Roman"/>
        </w:rPr>
        <w:t xml:space="preserve">TAFEs also largely </w:t>
      </w:r>
      <w:r w:rsidR="004C0115" w:rsidRPr="00117237">
        <w:rPr>
          <w:rFonts w:ascii="Arial Narrow" w:hAnsi="Arial Narrow" w:cs="Times New Roman"/>
        </w:rPr>
        <w:t>aligned</w:t>
      </w:r>
      <w:r w:rsidR="1FC96B90" w:rsidRPr="00117237">
        <w:rPr>
          <w:rFonts w:ascii="Arial Narrow" w:hAnsi="Arial Narrow" w:cs="Times New Roman"/>
        </w:rPr>
        <w:t xml:space="preserve"> in: </w:t>
      </w:r>
    </w:p>
    <w:p w14:paraId="0DB15B1C" w14:textId="20608F89" w:rsidR="1FC96B90" w:rsidRPr="00117237" w:rsidRDefault="1FC96B90" w:rsidP="00462C12">
      <w:pPr>
        <w:pStyle w:val="ListBullet"/>
      </w:pPr>
      <w:r w:rsidRPr="00117237">
        <w:rPr>
          <w:b/>
          <w:bCs/>
        </w:rPr>
        <w:t>Some student cohort demographics.</w:t>
      </w:r>
      <w:r w:rsidRPr="00117237">
        <w:t xml:space="preserve"> The TAFEs </w:t>
      </w:r>
      <w:r w:rsidR="004A7B12" w:rsidRPr="00117237">
        <w:t>have</w:t>
      </w:r>
      <w:r w:rsidRPr="00117237">
        <w:t xml:space="preserve"> majority male student bod</w:t>
      </w:r>
      <w:r w:rsidR="003E4AC3" w:rsidRPr="00117237">
        <w:t>ies</w:t>
      </w:r>
      <w:r w:rsidRPr="00117237">
        <w:t xml:space="preserve"> (~60% male), a high percentage of students from low</w:t>
      </w:r>
      <w:r w:rsidR="00514B65" w:rsidRPr="00117237">
        <w:t xml:space="preserve"> socioeconomic statis</w:t>
      </w:r>
      <w:r w:rsidRPr="00117237">
        <w:t xml:space="preserve"> backgrounds and </w:t>
      </w:r>
      <w:r w:rsidR="00D1103D" w:rsidRPr="00117237">
        <w:t>most</w:t>
      </w:r>
      <w:r w:rsidRPr="00117237">
        <w:t xml:space="preserve"> students over the age of 25. </w:t>
      </w:r>
    </w:p>
    <w:p w14:paraId="4322A09B" w14:textId="26B5808B" w:rsidR="1FC96B90" w:rsidRPr="00117237" w:rsidRDefault="1FC96B90" w:rsidP="00462C12">
      <w:pPr>
        <w:pStyle w:val="ListBullet"/>
      </w:pPr>
      <w:r w:rsidRPr="00117237">
        <w:rPr>
          <w:b/>
          <w:bCs/>
        </w:rPr>
        <w:t>Majority female staff cohort.</w:t>
      </w:r>
      <w:r w:rsidRPr="00117237">
        <w:t xml:space="preserve"> Excluding </w:t>
      </w:r>
      <w:r w:rsidR="00576718" w:rsidRPr="00117237">
        <w:t>BIITE</w:t>
      </w:r>
      <w:r w:rsidRPr="00117237">
        <w:t xml:space="preserve"> who does not publish this data, the remaining four TAFEs </w:t>
      </w:r>
      <w:r w:rsidR="00AF0E70" w:rsidRPr="00117237">
        <w:t>have</w:t>
      </w:r>
      <w:r w:rsidRPr="00117237">
        <w:t xml:space="preserve"> ~55% female staff. </w:t>
      </w:r>
    </w:p>
    <w:p w14:paraId="12C2D192" w14:textId="2CF9436D" w:rsidR="005D4938" w:rsidRPr="00117237" w:rsidRDefault="005D4938" w:rsidP="00471E31">
      <w:pPr>
        <w:pStyle w:val="ListBullet"/>
        <w:numPr>
          <w:ilvl w:val="0"/>
          <w:numId w:val="0"/>
        </w:numPr>
      </w:pPr>
      <w:r w:rsidRPr="00117237">
        <w:t xml:space="preserve">The contrasting demographics of predominantly male students and female staff in TAFEs may pose challenges in fostering inclusive learning environments and addressing gender-based violence through institutional culture. </w:t>
      </w:r>
    </w:p>
    <w:p w14:paraId="2675E058" w14:textId="774BAD06" w:rsidR="1FC96B90" w:rsidRPr="00117237" w:rsidRDefault="004D2CDC" w:rsidP="556ACCD7">
      <w:pPr>
        <w:contextualSpacing/>
        <w:rPr>
          <w:rFonts w:ascii="Arial Narrow" w:hAnsi="Arial Narrow" w:cs="Times New Roman"/>
        </w:rPr>
      </w:pPr>
      <w:r w:rsidRPr="00117237">
        <w:rPr>
          <w:rFonts w:ascii="Arial Narrow" w:hAnsi="Arial Narrow" w:cs="Times New Roman"/>
        </w:rPr>
        <w:t>There</w:t>
      </w:r>
      <w:r w:rsidR="1FC96B90" w:rsidRPr="00117237">
        <w:rPr>
          <w:rFonts w:ascii="Arial Narrow" w:hAnsi="Arial Narrow" w:cs="Times New Roman"/>
        </w:rPr>
        <w:t xml:space="preserve"> are significant variations </w:t>
      </w:r>
      <w:r w:rsidR="000C74EF" w:rsidRPr="00117237">
        <w:rPr>
          <w:rFonts w:ascii="Arial Narrow" w:hAnsi="Arial Narrow" w:cs="Times New Roman"/>
        </w:rPr>
        <w:t xml:space="preserve">between </w:t>
      </w:r>
      <w:r w:rsidR="1FC96B90" w:rsidRPr="00117237">
        <w:rPr>
          <w:rFonts w:ascii="Arial Narrow" w:hAnsi="Arial Narrow" w:cs="Times New Roman"/>
        </w:rPr>
        <w:t>the TAFEs</w:t>
      </w:r>
      <w:r w:rsidR="00B551DB" w:rsidRPr="00117237">
        <w:rPr>
          <w:rFonts w:ascii="Arial Narrow" w:hAnsi="Arial Narrow" w:cs="Times New Roman"/>
        </w:rPr>
        <w:t xml:space="preserve"> in</w:t>
      </w:r>
      <w:r w:rsidR="1FC96B90" w:rsidRPr="00117237">
        <w:rPr>
          <w:rFonts w:ascii="Arial Narrow" w:hAnsi="Arial Narrow" w:cs="Times New Roman"/>
        </w:rPr>
        <w:t>:</w:t>
      </w:r>
    </w:p>
    <w:p w14:paraId="5878D72A" w14:textId="01A76930" w:rsidR="1FC96B90" w:rsidRPr="00117237" w:rsidRDefault="00D002B2" w:rsidP="00462C12">
      <w:pPr>
        <w:pStyle w:val="ListBullet"/>
      </w:pPr>
      <w:r w:rsidRPr="00117237">
        <w:rPr>
          <w:b/>
          <w:bCs/>
        </w:rPr>
        <w:t>S</w:t>
      </w:r>
      <w:r w:rsidR="1FC96B90" w:rsidRPr="00117237">
        <w:rPr>
          <w:b/>
          <w:bCs/>
        </w:rPr>
        <w:t xml:space="preserve">ize, geographic distribution, and jurisdictional context. </w:t>
      </w:r>
      <w:r w:rsidR="00DF1E01" w:rsidRPr="00117237">
        <w:t>For example,</w:t>
      </w:r>
      <w:r w:rsidR="00DF1E01" w:rsidRPr="00117237">
        <w:rPr>
          <w:b/>
          <w:bCs/>
        </w:rPr>
        <w:t xml:space="preserve"> </w:t>
      </w:r>
      <w:r w:rsidR="004F706D" w:rsidRPr="00117237">
        <w:t>C</w:t>
      </w:r>
      <w:r w:rsidR="00025E29" w:rsidRPr="00117237">
        <w:t xml:space="preserve">DU </w:t>
      </w:r>
      <w:r w:rsidR="00C256C9" w:rsidRPr="00117237">
        <w:t xml:space="preserve">had </w:t>
      </w:r>
      <w:r w:rsidR="000F6D3B" w:rsidRPr="00117237">
        <w:t>9,305 TAFE student enrolments</w:t>
      </w:r>
      <w:r w:rsidR="004F706D" w:rsidRPr="00117237">
        <w:t xml:space="preserve"> </w:t>
      </w:r>
      <w:r w:rsidR="00DF1E01" w:rsidRPr="00117237">
        <w:t>while</w:t>
      </w:r>
      <w:r w:rsidR="1FC96B90" w:rsidRPr="00117237">
        <w:t xml:space="preserve"> TAFE</w:t>
      </w:r>
      <w:r w:rsidR="00DF1E01" w:rsidRPr="00117237">
        <w:t xml:space="preserve"> SA had </w:t>
      </w:r>
      <w:r w:rsidR="1FC96B90" w:rsidRPr="00117237">
        <w:t xml:space="preserve">49,000 </w:t>
      </w:r>
      <w:r w:rsidR="00DF1E01" w:rsidRPr="00117237">
        <w:t>in 2023,</w:t>
      </w:r>
      <w:r w:rsidR="1FC96B90" w:rsidRPr="00117237">
        <w:t xml:space="preserve"> with corresponding variation in staff numbers. Campus distribution differs widely, from highly localised campuses (e.g., </w:t>
      </w:r>
      <w:r w:rsidR="00DF1E01" w:rsidRPr="00117237">
        <w:t>CIT</w:t>
      </w:r>
      <w:r w:rsidR="1FC96B90" w:rsidRPr="00117237">
        <w:t xml:space="preserve"> with 4 campuses in Canberra) to extensive networks serving regional and remote students</w:t>
      </w:r>
      <w:r w:rsidR="00A33525" w:rsidRPr="00117237">
        <w:t>.</w:t>
      </w:r>
      <w:r w:rsidR="1FC96B90" w:rsidRPr="00117237">
        <w:t xml:space="preserve"> </w:t>
      </w:r>
      <w:r w:rsidR="00576718" w:rsidRPr="00117237">
        <w:t>BIITE</w:t>
      </w:r>
      <w:r w:rsidR="1FC96B90" w:rsidRPr="00117237">
        <w:t xml:space="preserve"> also </w:t>
      </w:r>
      <w:r w:rsidR="00A33525" w:rsidRPr="00117237">
        <w:t>provides VET education in prison</w:t>
      </w:r>
      <w:r w:rsidR="00901266" w:rsidRPr="00117237">
        <w:t xml:space="preserve"> with </w:t>
      </w:r>
      <w:r w:rsidR="00535FE2" w:rsidRPr="00117237">
        <w:t>over</w:t>
      </w:r>
      <w:r w:rsidR="00901266" w:rsidRPr="00117237">
        <w:t xml:space="preserve"> 50 </w:t>
      </w:r>
      <w:r w:rsidR="00535FE2" w:rsidRPr="00117237">
        <w:t xml:space="preserve">teaching </w:t>
      </w:r>
      <w:r w:rsidR="00901266" w:rsidRPr="00117237">
        <w:t>locations</w:t>
      </w:r>
      <w:r w:rsidR="1FC96B90" w:rsidRPr="00117237">
        <w:t xml:space="preserve"> </w:t>
      </w:r>
      <w:r w:rsidR="00535FE2" w:rsidRPr="00117237">
        <w:t xml:space="preserve">in the NT. </w:t>
      </w:r>
      <w:r w:rsidR="1FC96B90" w:rsidRPr="00117237">
        <w:t xml:space="preserve">However, size of organisation did not correspond with rapidity of activities </w:t>
      </w:r>
      <w:r w:rsidR="0038176A" w:rsidRPr="00117237">
        <w:t>nor depth of impact.</w:t>
      </w:r>
    </w:p>
    <w:p w14:paraId="34D1B990" w14:textId="4B952AB0" w:rsidR="1FC96B90" w:rsidRPr="00117237" w:rsidRDefault="00B50734" w:rsidP="00462C12">
      <w:pPr>
        <w:pStyle w:val="ListBullet"/>
      </w:pPr>
      <w:r w:rsidRPr="00117237">
        <w:rPr>
          <w:b/>
          <w:bCs/>
        </w:rPr>
        <w:t xml:space="preserve">Student demographics. </w:t>
      </w:r>
      <w:r w:rsidRPr="00117237">
        <w:t>The d</w:t>
      </w:r>
      <w:r w:rsidR="00B56B5F" w:rsidRPr="00117237">
        <w:t xml:space="preserve">istribution of </w:t>
      </w:r>
      <w:r w:rsidR="1FC96B90" w:rsidRPr="00117237">
        <w:t>CALD, Indigenous and international student cohort</w:t>
      </w:r>
      <w:r w:rsidR="00B56B5F" w:rsidRPr="00117237">
        <w:t>s</w:t>
      </w:r>
      <w:r w:rsidR="1FC96B90" w:rsidRPr="00117237">
        <w:t xml:space="preserve"> </w:t>
      </w:r>
      <w:r w:rsidRPr="00117237">
        <w:t>varied</w:t>
      </w:r>
      <w:r w:rsidRPr="00117237">
        <w:rPr>
          <w:b/>
          <w:bCs/>
        </w:rPr>
        <w:t xml:space="preserve"> </w:t>
      </w:r>
      <w:r w:rsidR="1FC96B90" w:rsidRPr="00117237">
        <w:t xml:space="preserve">in accordance with TAFEs local context. </w:t>
      </w:r>
      <w:r w:rsidR="00576718" w:rsidRPr="00117237">
        <w:t>BIITE</w:t>
      </w:r>
      <w:r w:rsidR="1FC96B90" w:rsidRPr="00117237">
        <w:t xml:space="preserve"> as an Indigenous RTO has almost 100% Indigenous cohort and 40% Indigenous staff cohort</w:t>
      </w:r>
      <w:r w:rsidR="00884186" w:rsidRPr="00117237">
        <w:t>. Th</w:t>
      </w:r>
      <w:r w:rsidR="003672AA" w:rsidRPr="00117237">
        <w:t>ese contexts</w:t>
      </w:r>
      <w:r w:rsidR="1FC96B90" w:rsidRPr="00117237">
        <w:t xml:space="preserve"> present</w:t>
      </w:r>
      <w:r w:rsidR="00884186" w:rsidRPr="00117237">
        <w:t xml:space="preserve"> </w:t>
      </w:r>
      <w:r w:rsidR="1FC96B90" w:rsidRPr="00117237">
        <w:t>a unique environment for primary prevention advocacy</w:t>
      </w:r>
      <w:r w:rsidR="004C4C2C" w:rsidRPr="00117237">
        <w:t xml:space="preserve"> to respond to differing cohort and demographic needs</w:t>
      </w:r>
      <w:r w:rsidR="1FC96B90" w:rsidRPr="00117237">
        <w:t xml:space="preserve">. </w:t>
      </w:r>
    </w:p>
    <w:p w14:paraId="3CA5CC56" w14:textId="6C9E8A8F" w:rsidR="003C2E76" w:rsidRPr="00117237" w:rsidRDefault="003C2E76" w:rsidP="00A220D0">
      <w:pPr>
        <w:pStyle w:val="ListBullet"/>
      </w:pPr>
      <w:r w:rsidRPr="00117237">
        <w:rPr>
          <w:b/>
          <w:bCs/>
        </w:rPr>
        <w:t>Org</w:t>
      </w:r>
      <w:r w:rsidR="00B50734" w:rsidRPr="00117237">
        <w:rPr>
          <w:b/>
          <w:bCs/>
        </w:rPr>
        <w:t>anisational</w:t>
      </w:r>
      <w:r w:rsidRPr="00117237">
        <w:rPr>
          <w:b/>
          <w:bCs/>
        </w:rPr>
        <w:t xml:space="preserve"> structure</w:t>
      </w:r>
      <w:r w:rsidR="00B50734" w:rsidRPr="00117237">
        <w:rPr>
          <w:b/>
          <w:bCs/>
        </w:rPr>
        <w:t>.</w:t>
      </w:r>
      <w:r w:rsidRPr="00117237">
        <w:rPr>
          <w:b/>
          <w:bCs/>
        </w:rPr>
        <w:t xml:space="preserve"> </w:t>
      </w:r>
      <w:r w:rsidRPr="00117237">
        <w:t>CDU and BIITE are dual-sector universities,</w:t>
      </w:r>
      <w:r w:rsidRPr="00117237">
        <w:rPr>
          <w:b/>
          <w:bCs/>
        </w:rPr>
        <w:t xml:space="preserve"> </w:t>
      </w:r>
      <w:r w:rsidRPr="00117237">
        <w:t xml:space="preserve">offering both TAFE and higher education qualifications. At CDU, we heard that the vast majority of Working Group members were from the higher education divisions, raising questions </w:t>
      </w:r>
      <w:r w:rsidR="00EF772F" w:rsidRPr="00117237">
        <w:t>about</w:t>
      </w:r>
      <w:r w:rsidRPr="00117237">
        <w:t xml:space="preserve"> extent the TAFE division </w:t>
      </w:r>
      <w:r w:rsidR="00EF772F" w:rsidRPr="00117237">
        <w:t>were able to</w:t>
      </w:r>
      <w:r w:rsidRPr="00117237">
        <w:t xml:space="preserve"> engage with this work</w:t>
      </w:r>
      <w:r w:rsidR="00EF772F" w:rsidRPr="00117237">
        <w:t xml:space="preserve"> in a dual-sector context</w:t>
      </w:r>
      <w:r w:rsidRPr="00117237">
        <w:t xml:space="preserve">. CDU also found it challenging to be interpreting TAFE-specific content for their context. The Our Watch team were responsive to the unique needs of these TAFEs and developed dual sector specific content in mid-2023. </w:t>
      </w:r>
    </w:p>
    <w:p w14:paraId="4E087379" w14:textId="3462CC9F" w:rsidR="0041473F" w:rsidRPr="00117237" w:rsidRDefault="00E4150C" w:rsidP="0092737C">
      <w:pPr>
        <w:pStyle w:val="ListBullet"/>
        <w:numPr>
          <w:ilvl w:val="0"/>
          <w:numId w:val="0"/>
        </w:numPr>
      </w:pPr>
      <w:r w:rsidRPr="00117237">
        <w:t xml:space="preserve">There were also variations in the </w:t>
      </w:r>
      <w:r w:rsidR="00700738" w:rsidRPr="00117237">
        <w:t xml:space="preserve">organisational and </w:t>
      </w:r>
      <w:r w:rsidR="0041473F" w:rsidRPr="00117237">
        <w:t xml:space="preserve">funding circumstances of TAFEs which </w:t>
      </w:r>
      <w:r w:rsidR="00E646C4" w:rsidRPr="00117237">
        <w:t>e</w:t>
      </w:r>
      <w:r w:rsidR="0041473F" w:rsidRPr="00117237">
        <w:t xml:space="preserve">ffected their ability to </w:t>
      </w:r>
      <w:r w:rsidR="009D08DB" w:rsidRPr="00117237">
        <w:t>prioritise</w:t>
      </w:r>
      <w:r w:rsidR="0041473F" w:rsidRPr="00117237">
        <w:t xml:space="preserve"> this work. </w:t>
      </w:r>
      <w:r w:rsidR="00CA3F36" w:rsidRPr="00117237">
        <w:t xml:space="preserve">All TAFEs were operating in complex and </w:t>
      </w:r>
      <w:r w:rsidR="00F13E7B" w:rsidRPr="00117237">
        <w:t>tight resourcing environments, two TAFEs were undergoing governance restructuring</w:t>
      </w:r>
      <w:r w:rsidR="00C3035E" w:rsidRPr="00117237">
        <w:t>,</w:t>
      </w:r>
      <w:r w:rsidR="00F13E7B" w:rsidRPr="00117237">
        <w:t xml:space="preserve"> and one TAFE underwent massive staff turnover and sweeping policy changes. In the case of CIT, changes were implemented to the types of free services staff could receive or participate in</w:t>
      </w:r>
      <w:r w:rsidR="007D5620">
        <w:t>,</w:t>
      </w:r>
      <w:r w:rsidR="00F13E7B" w:rsidRPr="00117237">
        <w:t xml:space="preserve"> which resulted in CIT being unable to attend the second summit.</w:t>
      </w:r>
    </w:p>
    <w:p w14:paraId="0DEF34A4" w14:textId="057D61FD" w:rsidR="00B168E3" w:rsidRPr="00117237" w:rsidRDefault="00E57E31" w:rsidP="00B168E3">
      <w:pPr>
        <w:pStyle w:val="Heading3Normal"/>
      </w:pPr>
      <w:r w:rsidRPr="00117237">
        <w:t xml:space="preserve">Prior </w:t>
      </w:r>
      <w:r w:rsidR="00B168E3" w:rsidRPr="00117237">
        <w:t xml:space="preserve">TAFE involvement in gender equality </w:t>
      </w:r>
      <w:r w:rsidR="005A3A92" w:rsidRPr="00117237">
        <w:t xml:space="preserve">work </w:t>
      </w:r>
      <w:r w:rsidR="00B168E3" w:rsidRPr="00117237">
        <w:t>was not an indicator for level of readiness</w:t>
      </w:r>
      <w:r w:rsidR="00515F7F" w:rsidRPr="00117237">
        <w:t xml:space="preserve"> to engage in primary prevention work</w:t>
      </w:r>
      <w:r w:rsidR="00B168E3" w:rsidRPr="00117237">
        <w:t xml:space="preserve">. </w:t>
      </w:r>
    </w:p>
    <w:p w14:paraId="72A9A949" w14:textId="0A703239" w:rsidR="00B168E3" w:rsidRPr="00117237" w:rsidRDefault="00B168E3" w:rsidP="00862750">
      <w:r w:rsidRPr="00117237">
        <w:t>Governments in all jurisdiction</w:t>
      </w:r>
      <w:r w:rsidR="008F2FB1" w:rsidRPr="00117237">
        <w:t>s</w:t>
      </w:r>
      <w:r w:rsidRPr="00117237">
        <w:t xml:space="preserve"> were taking action in primary prevention and gender equity, </w:t>
      </w:r>
      <w:r w:rsidR="000A7D36" w:rsidRPr="00117237">
        <w:t>through</w:t>
      </w:r>
      <w:r w:rsidRPr="00117237">
        <w:t xml:space="preserve"> specific strategies for women and gendered violence action plans</w:t>
      </w:r>
      <w:r w:rsidR="00391D31" w:rsidRPr="00117237">
        <w:t xml:space="preserve"> upon commencement of this project</w:t>
      </w:r>
      <w:r w:rsidRPr="00117237">
        <w:t>.</w:t>
      </w:r>
      <w:r w:rsidR="00790658" w:rsidRPr="00117237">
        <w:rPr>
          <w:rStyle w:val="FootnoteReference"/>
        </w:rPr>
        <w:footnoteReference w:id="62"/>
      </w:r>
      <w:r w:rsidRPr="00117237">
        <w:t xml:space="preserve"> CDU and CIT were the only TAFEs who reported having actively approached work in the gender equality space prior to engaging with Our Watch. These activities were primarily awareness raising</w:t>
      </w:r>
      <w:r w:rsidRPr="00117237">
        <w:rPr>
          <w:rStyle w:val="FootnoteReference"/>
        </w:rPr>
        <w:footnoteReference w:id="63"/>
      </w:r>
      <w:r w:rsidRPr="00117237">
        <w:t xml:space="preserve"> rather than intensive and institution-wide primary prevention activities, </w:t>
      </w:r>
      <w:r w:rsidR="00D57F16" w:rsidRPr="00117237">
        <w:t>with</w:t>
      </w:r>
      <w:r w:rsidRPr="00117237">
        <w:t xml:space="preserve"> more reactive than proactive </w:t>
      </w:r>
      <w:r w:rsidR="00525030" w:rsidRPr="00117237">
        <w:t>approaches.</w:t>
      </w:r>
      <w:r w:rsidRPr="00117237">
        <w:t xml:space="preserve"> Despite prior engagement, readiness </w:t>
      </w:r>
      <w:r w:rsidR="00304F49" w:rsidRPr="00117237">
        <w:t xml:space="preserve">to engage with primary prevention </w:t>
      </w:r>
      <w:r w:rsidRPr="00117237">
        <w:t xml:space="preserve">at TAFEs overall was low and we heard from Our Watch stakeholders that there was lower awareness of primary prevention and a higher level of resistance than they experienced in other sectors. </w:t>
      </w:r>
    </w:p>
    <w:p w14:paraId="03AE3820" w14:textId="77928980" w:rsidR="69BEC25A" w:rsidRPr="00117237" w:rsidRDefault="009333F5" w:rsidP="119E592C">
      <w:pPr>
        <w:spacing w:before="240" w:after="190" w:line="259" w:lineRule="auto"/>
        <w:rPr>
          <w:rFonts w:ascii="Arial Narrow" w:hAnsi="Arial Narrow" w:cs="Times New Roman"/>
          <w:b/>
          <w:bCs/>
          <w:color w:val="931B2F" w:themeColor="accent1"/>
        </w:rPr>
      </w:pPr>
      <w:r w:rsidRPr="00117237">
        <w:rPr>
          <w:rFonts w:ascii="Arial Narrow" w:hAnsi="Arial Narrow" w:cs="Times New Roman"/>
          <w:b/>
          <w:bCs/>
          <w:color w:val="931B2F" w:themeColor="accent1"/>
        </w:rPr>
        <w:t>A</w:t>
      </w:r>
      <w:r w:rsidR="69BEC25A" w:rsidRPr="00117237">
        <w:rPr>
          <w:rFonts w:ascii="Arial Narrow" w:hAnsi="Arial Narrow" w:cs="Times New Roman"/>
          <w:b/>
          <w:bCs/>
          <w:color w:val="931B2F" w:themeColor="accent1"/>
        </w:rPr>
        <w:t xml:space="preserve"> lack of authorising environment caused delays in </w:t>
      </w:r>
      <w:r w:rsidR="4729EBB1" w:rsidRPr="00117237">
        <w:rPr>
          <w:rFonts w:ascii="Arial Narrow" w:hAnsi="Arial Narrow" w:cs="Times New Roman"/>
          <w:b/>
          <w:bCs/>
          <w:color w:val="931B2F" w:themeColor="accent1"/>
        </w:rPr>
        <w:t>getting the work off the ground</w:t>
      </w:r>
      <w:r w:rsidR="000527C9" w:rsidRPr="00117237">
        <w:rPr>
          <w:rFonts w:ascii="Arial Narrow" w:hAnsi="Arial Narrow" w:cs="Times New Roman"/>
          <w:b/>
          <w:bCs/>
          <w:color w:val="931B2F" w:themeColor="accent1"/>
        </w:rPr>
        <w:t xml:space="preserve"> and </w:t>
      </w:r>
      <w:r w:rsidR="006A1DB7" w:rsidRPr="00117237">
        <w:rPr>
          <w:rFonts w:ascii="Arial Narrow" w:hAnsi="Arial Narrow" w:cs="Times New Roman"/>
          <w:b/>
          <w:bCs/>
          <w:color w:val="931B2F" w:themeColor="accent1"/>
        </w:rPr>
        <w:t>required</w:t>
      </w:r>
      <w:r w:rsidR="000527C9" w:rsidRPr="00117237">
        <w:rPr>
          <w:rFonts w:ascii="Arial Narrow" w:hAnsi="Arial Narrow" w:cs="Times New Roman"/>
          <w:b/>
          <w:bCs/>
          <w:color w:val="931B2F" w:themeColor="accent1"/>
        </w:rPr>
        <w:t xml:space="preserve"> </w:t>
      </w:r>
      <w:r w:rsidR="006910AA" w:rsidRPr="00117237">
        <w:rPr>
          <w:rFonts w:ascii="Arial Narrow" w:hAnsi="Arial Narrow" w:cs="Times New Roman"/>
          <w:b/>
          <w:bCs/>
          <w:color w:val="931B2F" w:themeColor="accent1"/>
        </w:rPr>
        <w:t xml:space="preserve">the Our Watch team </w:t>
      </w:r>
      <w:r w:rsidR="0065060A" w:rsidRPr="00117237">
        <w:rPr>
          <w:rFonts w:ascii="Arial Narrow" w:hAnsi="Arial Narrow" w:cs="Times New Roman"/>
          <w:b/>
          <w:bCs/>
          <w:color w:val="931B2F" w:themeColor="accent1"/>
        </w:rPr>
        <w:t>to use</w:t>
      </w:r>
      <w:r w:rsidR="006910AA" w:rsidRPr="00117237">
        <w:rPr>
          <w:rFonts w:ascii="Arial Narrow" w:hAnsi="Arial Narrow" w:cs="Times New Roman"/>
          <w:b/>
          <w:bCs/>
          <w:color w:val="931B2F" w:themeColor="accent1"/>
        </w:rPr>
        <w:t xml:space="preserve"> alternative mechanisms to </w:t>
      </w:r>
      <w:r w:rsidR="00F5655A" w:rsidRPr="00117237">
        <w:rPr>
          <w:rFonts w:ascii="Arial Narrow" w:hAnsi="Arial Narrow" w:cs="Times New Roman"/>
          <w:b/>
          <w:bCs/>
          <w:color w:val="931B2F" w:themeColor="accent1"/>
        </w:rPr>
        <w:t xml:space="preserve">encourage </w:t>
      </w:r>
      <w:r w:rsidR="006910AA" w:rsidRPr="00117237">
        <w:rPr>
          <w:rFonts w:ascii="Arial Narrow" w:hAnsi="Arial Narrow" w:cs="Times New Roman"/>
          <w:b/>
          <w:bCs/>
          <w:color w:val="931B2F" w:themeColor="accent1"/>
        </w:rPr>
        <w:t>TAFE</w:t>
      </w:r>
      <w:r w:rsidR="00F5655A" w:rsidRPr="00117237">
        <w:rPr>
          <w:rFonts w:ascii="Arial Narrow" w:hAnsi="Arial Narrow" w:cs="Times New Roman"/>
          <w:b/>
          <w:bCs/>
          <w:color w:val="931B2F" w:themeColor="accent1"/>
        </w:rPr>
        <w:t>s to participate</w:t>
      </w:r>
      <w:r w:rsidR="4729EBB1" w:rsidRPr="00117237">
        <w:rPr>
          <w:rFonts w:ascii="Arial Narrow" w:hAnsi="Arial Narrow" w:cs="Times New Roman"/>
          <w:b/>
          <w:bCs/>
          <w:color w:val="931B2F" w:themeColor="accent1"/>
        </w:rPr>
        <w:t xml:space="preserve">. </w:t>
      </w:r>
    </w:p>
    <w:p w14:paraId="6D243F60" w14:textId="5457F7F2" w:rsidR="007B7759" w:rsidRPr="00117237" w:rsidRDefault="008527FF" w:rsidP="00D13B8B">
      <w:r w:rsidRPr="00117237">
        <w:t xml:space="preserve">DSS </w:t>
      </w:r>
      <w:r w:rsidR="69BEC25A" w:rsidRPr="00117237">
        <w:t xml:space="preserve">preselected </w:t>
      </w:r>
      <w:r w:rsidRPr="00117237">
        <w:t>j</w:t>
      </w:r>
      <w:r w:rsidR="00446705" w:rsidRPr="00117237">
        <w:t>urisdictions</w:t>
      </w:r>
      <w:r w:rsidR="69BEC25A" w:rsidRPr="00117237">
        <w:t xml:space="preserve"> </w:t>
      </w:r>
      <w:r w:rsidRPr="00117237">
        <w:t xml:space="preserve">for this project, </w:t>
      </w:r>
      <w:r w:rsidR="00446705" w:rsidRPr="00117237">
        <w:t xml:space="preserve">and Our Watch </w:t>
      </w:r>
      <w:r w:rsidR="00C47E50" w:rsidRPr="00117237">
        <w:t>engaged with</w:t>
      </w:r>
      <w:r w:rsidR="69BEC25A" w:rsidRPr="00117237">
        <w:t xml:space="preserve"> </w:t>
      </w:r>
      <w:r w:rsidR="00446705" w:rsidRPr="00117237">
        <w:t xml:space="preserve">TAFEs </w:t>
      </w:r>
      <w:r w:rsidRPr="00117237">
        <w:t>who were</w:t>
      </w:r>
      <w:r w:rsidR="00446705" w:rsidRPr="00117237">
        <w:t xml:space="preserve"> the primary</w:t>
      </w:r>
      <w:r w:rsidR="00BE6D32" w:rsidRPr="00117237">
        <w:t xml:space="preserve"> </w:t>
      </w:r>
      <w:r w:rsidR="00091F6E" w:rsidRPr="00117237">
        <w:t>public</w:t>
      </w:r>
      <w:r w:rsidR="00446705" w:rsidRPr="00117237">
        <w:t xml:space="preserve"> </w:t>
      </w:r>
      <w:r w:rsidRPr="00117237">
        <w:t>VET</w:t>
      </w:r>
      <w:r w:rsidR="00446705" w:rsidRPr="00117237">
        <w:t xml:space="preserve"> providers in </w:t>
      </w:r>
      <w:r w:rsidR="00166355" w:rsidRPr="00117237">
        <w:t xml:space="preserve">each jurisdiction. </w:t>
      </w:r>
      <w:r w:rsidR="00740509" w:rsidRPr="00117237">
        <w:t>This meant that TAFEs</w:t>
      </w:r>
      <w:r w:rsidR="69BEC25A" w:rsidRPr="00117237">
        <w:t xml:space="preserve"> did not voluntarily opt-in to this project</w:t>
      </w:r>
      <w:r w:rsidR="00A711DF" w:rsidRPr="00117237">
        <w:t xml:space="preserve">, nor did DSS or any system </w:t>
      </w:r>
      <w:r w:rsidR="00A711DF" w:rsidRPr="00117237">
        <w:lastRenderedPageBreak/>
        <w:t xml:space="preserve">level actors have input in the selection of TAFEs or </w:t>
      </w:r>
      <w:r w:rsidR="00A13B9E" w:rsidRPr="00117237">
        <w:t>add imperative to participate in the work</w:t>
      </w:r>
      <w:r w:rsidR="69BEC25A" w:rsidRPr="00117237">
        <w:t xml:space="preserve">. </w:t>
      </w:r>
      <w:r w:rsidR="00A13B9E" w:rsidRPr="00117237">
        <w:t>As a result, we</w:t>
      </w:r>
      <w:r w:rsidR="00555ADD" w:rsidRPr="00117237">
        <w:t xml:space="preserve"> repeatedly heard from TAFEs that this work was slow to start as it was not a priority for them. </w:t>
      </w:r>
    </w:p>
    <w:p w14:paraId="7996400B" w14:textId="704CD116" w:rsidR="007B7759" w:rsidRPr="00117237" w:rsidRDefault="0023406D" w:rsidP="00912D56">
      <w:pPr>
        <w:jc w:val="right"/>
        <w:rPr>
          <w:i/>
          <w:color w:val="931B2F" w:themeColor="background2"/>
        </w:rPr>
      </w:pPr>
      <w:r w:rsidRPr="00117237">
        <w:rPr>
          <w:i/>
          <w:color w:val="931B2F" w:themeColor="background2"/>
        </w:rPr>
        <w:t>‘[This work] is not our prio</w:t>
      </w:r>
      <w:r w:rsidR="004B668A" w:rsidRPr="00117237">
        <w:rPr>
          <w:i/>
          <w:color w:val="931B2F" w:themeColor="background2"/>
        </w:rPr>
        <w:t xml:space="preserve">rity. </w:t>
      </w:r>
      <w:r w:rsidR="009F40FC" w:rsidRPr="00117237">
        <w:rPr>
          <w:i/>
          <w:color w:val="931B2F" w:themeColor="background2"/>
        </w:rPr>
        <w:t>It’s</w:t>
      </w:r>
      <w:r w:rsidR="004B668A" w:rsidRPr="00117237">
        <w:rPr>
          <w:i/>
          <w:color w:val="931B2F" w:themeColor="background2"/>
        </w:rPr>
        <w:t xml:space="preserve"> important, but day to day you tend to focus on the fires. Sitting down and taking the time to do something meaningful like this is not something a lot of us can do.’ – TAFE Stakeholder</w:t>
      </w:r>
    </w:p>
    <w:p w14:paraId="5E132943" w14:textId="4D2708D7" w:rsidR="00961B45" w:rsidRPr="00117237" w:rsidRDefault="00E7267E" w:rsidP="00D13B8B">
      <w:r w:rsidRPr="00117237">
        <w:t>In RET1, a</w:t>
      </w:r>
      <w:r w:rsidR="00E077CA" w:rsidRPr="00117237">
        <w:t xml:space="preserve"> clear remit for </w:t>
      </w:r>
      <w:r w:rsidRPr="00117237">
        <w:t xml:space="preserve">Victorian </w:t>
      </w:r>
      <w:r w:rsidR="00E077CA" w:rsidRPr="00117237">
        <w:t>TAFEs to do this work</w:t>
      </w:r>
      <w:r w:rsidR="009337B4" w:rsidRPr="00117237">
        <w:t xml:space="preserve"> </w:t>
      </w:r>
      <w:r w:rsidR="00E077CA" w:rsidRPr="00117237">
        <w:t>c</w:t>
      </w:r>
      <w:r w:rsidRPr="00117237">
        <w:t xml:space="preserve">ame from the Minister </w:t>
      </w:r>
      <w:r w:rsidR="00EC223E" w:rsidRPr="00117237">
        <w:t>who placed</w:t>
      </w:r>
      <w:r w:rsidR="00E077CA" w:rsidRPr="00117237">
        <w:t xml:space="preserve"> this </w:t>
      </w:r>
      <w:r w:rsidR="00EC223E" w:rsidRPr="00117237">
        <w:t>work</w:t>
      </w:r>
      <w:r w:rsidR="0009729C" w:rsidRPr="00117237">
        <w:t xml:space="preserve"> on the </w:t>
      </w:r>
      <w:r w:rsidR="00EC223E" w:rsidRPr="00117237">
        <w:t>TAFE</w:t>
      </w:r>
      <w:r w:rsidR="0009729C" w:rsidRPr="00117237">
        <w:t xml:space="preserve"> </w:t>
      </w:r>
      <w:r w:rsidR="004E4CD0" w:rsidRPr="00117237">
        <w:t>statement of priorities</w:t>
      </w:r>
      <w:r w:rsidR="00EC223E" w:rsidRPr="00117237">
        <w:t xml:space="preserve">, which outlines the </w:t>
      </w:r>
      <w:r w:rsidR="00F16D00" w:rsidRPr="00117237">
        <w:t>strategic objectives, priorities and outcomes expected of the Victorian TAFE network.</w:t>
      </w:r>
      <w:r w:rsidR="004E4CD0" w:rsidRPr="00117237">
        <w:t xml:space="preserve"> </w:t>
      </w:r>
      <w:r w:rsidR="00961B45" w:rsidRPr="00117237">
        <w:t xml:space="preserve">This was not possible in RET2 due to: </w:t>
      </w:r>
    </w:p>
    <w:p w14:paraId="658E48CF" w14:textId="021EF2C2" w:rsidR="00EC223E" w:rsidRPr="00117237" w:rsidRDefault="00EC223E" w:rsidP="00462C12">
      <w:pPr>
        <w:pStyle w:val="ListBullet"/>
      </w:pPr>
      <w:r w:rsidRPr="00117237">
        <w:rPr>
          <w:b/>
        </w:rPr>
        <w:t>Operating across numerous different jurisdictions</w:t>
      </w:r>
      <w:r w:rsidRPr="00117237">
        <w:t xml:space="preserve">, not just one where there could </w:t>
      </w:r>
      <w:r w:rsidR="00D074C7" w:rsidRPr="00117237">
        <w:t>be</w:t>
      </w:r>
      <w:r w:rsidRPr="00117237">
        <w:t xml:space="preserve"> a coordinated approach</w:t>
      </w:r>
      <w:r w:rsidR="003359EB" w:rsidRPr="00117237">
        <w:t xml:space="preserve"> as in RET1</w:t>
      </w:r>
      <w:r w:rsidRPr="00117237">
        <w:t xml:space="preserve">. </w:t>
      </w:r>
    </w:p>
    <w:p w14:paraId="7F7DCE4E" w14:textId="71387306" w:rsidR="000F0023" w:rsidRPr="00117237" w:rsidRDefault="00961B45" w:rsidP="00462C12">
      <w:pPr>
        <w:pStyle w:val="ListBullet"/>
      </w:pPr>
      <w:r w:rsidRPr="00117237">
        <w:rPr>
          <w:b/>
          <w:bCs/>
        </w:rPr>
        <w:t xml:space="preserve">Jurisdictions having </w:t>
      </w:r>
      <w:r w:rsidR="00EB0E96" w:rsidRPr="00117237">
        <w:rPr>
          <w:b/>
          <w:bCs/>
        </w:rPr>
        <w:t>M</w:t>
      </w:r>
      <w:r w:rsidRPr="00117237">
        <w:rPr>
          <w:b/>
          <w:bCs/>
        </w:rPr>
        <w:t>inister</w:t>
      </w:r>
      <w:r w:rsidR="00174308" w:rsidRPr="00117237">
        <w:rPr>
          <w:b/>
          <w:bCs/>
        </w:rPr>
        <w:t>’s with different levels of engagement</w:t>
      </w:r>
      <w:r w:rsidR="006669C8" w:rsidRPr="00117237">
        <w:rPr>
          <w:b/>
          <w:bCs/>
        </w:rPr>
        <w:t xml:space="preserve"> and investment</w:t>
      </w:r>
      <w:r w:rsidR="00C62550" w:rsidRPr="00117237">
        <w:t xml:space="preserve"> and</w:t>
      </w:r>
      <w:r w:rsidR="00475F4F" w:rsidRPr="00117237">
        <w:t xml:space="preserve"> having a different level of input into TAFE operations</w:t>
      </w:r>
      <w:r w:rsidR="00C62550" w:rsidRPr="00117237">
        <w:t>, or a different relationship with TAFEs.</w:t>
      </w:r>
      <w:r w:rsidR="000E256C" w:rsidRPr="00117237">
        <w:rPr>
          <w:rStyle w:val="FootnoteReference"/>
        </w:rPr>
        <w:footnoteReference w:id="64"/>
      </w:r>
      <w:r w:rsidR="00C62550" w:rsidRPr="00117237">
        <w:t xml:space="preserve"> </w:t>
      </w:r>
      <w:r w:rsidR="005436C3" w:rsidRPr="00117237">
        <w:t xml:space="preserve">Our Watch sent letters to Ministers responsible for TAFEs in the four jurisdictions. </w:t>
      </w:r>
      <w:r w:rsidR="000F0023" w:rsidRPr="00117237">
        <w:t>Of those four</w:t>
      </w:r>
      <w:r w:rsidR="00FB3A04" w:rsidRPr="00117237">
        <w:t>:</w:t>
      </w:r>
      <w:r w:rsidR="000F0023" w:rsidRPr="00117237">
        <w:t xml:space="preserve"> </w:t>
      </w:r>
    </w:p>
    <w:p w14:paraId="6C3A7323" w14:textId="7E3EAC54" w:rsidR="008F5FC5" w:rsidRPr="00117237" w:rsidRDefault="005436C3" w:rsidP="00756D65">
      <w:pPr>
        <w:pStyle w:val="ListBullet"/>
        <w:numPr>
          <w:ilvl w:val="0"/>
          <w:numId w:val="40"/>
        </w:numPr>
      </w:pPr>
      <w:r w:rsidRPr="00117237">
        <w:t xml:space="preserve">In </w:t>
      </w:r>
      <w:r w:rsidR="008F5FC5" w:rsidRPr="00117237">
        <w:t xml:space="preserve">South Australia, </w:t>
      </w:r>
      <w:r w:rsidRPr="00117237">
        <w:t xml:space="preserve">the letter was internally passed onto TAFE SA who contacted the RET2 project team. </w:t>
      </w:r>
    </w:p>
    <w:p w14:paraId="71C9F36F" w14:textId="77777777" w:rsidR="008F5FC5" w:rsidRPr="00117237" w:rsidRDefault="008F5FC5" w:rsidP="00756D65">
      <w:pPr>
        <w:pStyle w:val="ListBullet"/>
        <w:numPr>
          <w:ilvl w:val="0"/>
          <w:numId w:val="40"/>
        </w:numPr>
      </w:pPr>
      <w:r w:rsidRPr="00117237">
        <w:t>In</w:t>
      </w:r>
      <w:r w:rsidR="005436C3" w:rsidRPr="00117237">
        <w:t xml:space="preserve"> the ACT</w:t>
      </w:r>
      <w:r w:rsidRPr="00117237">
        <w:t>, the</w:t>
      </w:r>
      <w:r w:rsidR="005436C3" w:rsidRPr="00117237">
        <w:t xml:space="preserve"> Minister responded and connected the team with an executive at CIT. </w:t>
      </w:r>
    </w:p>
    <w:p w14:paraId="748C38DA" w14:textId="2A1B3B98" w:rsidR="00961B45" w:rsidRPr="00117237" w:rsidRDefault="005436C3" w:rsidP="00756D65">
      <w:pPr>
        <w:pStyle w:val="ListBullet"/>
        <w:numPr>
          <w:ilvl w:val="0"/>
          <w:numId w:val="40"/>
        </w:numPr>
      </w:pPr>
      <w:r w:rsidRPr="00117237">
        <w:t xml:space="preserve">In Tasmania, Our Watch’s engagement was delayed as TAFE had moved to a different portfolio than where the letter was originally sent, but they were able to meet with the Minister who set up a meeting with TasTAFE. </w:t>
      </w:r>
      <w:r w:rsidR="00F13EE0" w:rsidRPr="00117237">
        <w:t xml:space="preserve">For </w:t>
      </w:r>
      <w:r w:rsidRPr="00117237">
        <w:t>TasTAFE</w:t>
      </w:r>
      <w:r w:rsidR="00F13EE0" w:rsidRPr="00117237">
        <w:t>’s operating context, it did not make sense for</w:t>
      </w:r>
      <w:r w:rsidRPr="00117237">
        <w:t xml:space="preserve"> Our Watch </w:t>
      </w:r>
      <w:r w:rsidR="00F13EE0" w:rsidRPr="00117237">
        <w:t xml:space="preserve">to </w:t>
      </w:r>
      <w:r w:rsidRPr="00117237">
        <w:t>approac</w:t>
      </w:r>
      <w:r w:rsidR="00F13EE0" w:rsidRPr="00117237">
        <w:t>h</w:t>
      </w:r>
      <w:r w:rsidRPr="00117237">
        <w:t xml:space="preserve"> their minister first</w:t>
      </w:r>
      <w:r w:rsidR="00F13EE0" w:rsidRPr="00117237">
        <w:t xml:space="preserve"> and they did not respond well to this </w:t>
      </w:r>
      <w:r w:rsidR="002F3758" w:rsidRPr="00117237">
        <w:t>tactic to engage them.</w:t>
      </w:r>
    </w:p>
    <w:p w14:paraId="1475396C" w14:textId="1F963C00" w:rsidR="008F5FC5" w:rsidRPr="00117237" w:rsidRDefault="008F5FC5" w:rsidP="00756D65">
      <w:pPr>
        <w:pStyle w:val="ListBullet"/>
        <w:numPr>
          <w:ilvl w:val="0"/>
          <w:numId w:val="40"/>
        </w:numPr>
      </w:pPr>
      <w:r w:rsidRPr="00117237">
        <w:t>In NT, no response was received</w:t>
      </w:r>
      <w:r w:rsidR="00C30607" w:rsidRPr="00117237">
        <w:t xml:space="preserve">, </w:t>
      </w:r>
      <w:r w:rsidR="008D3E1C" w:rsidRPr="00117237">
        <w:t xml:space="preserve">so connection was made directly </w:t>
      </w:r>
      <w:r w:rsidR="00C956F1" w:rsidRPr="00117237">
        <w:t>with</w:t>
      </w:r>
      <w:r w:rsidR="008D3E1C" w:rsidRPr="00117237">
        <w:t xml:space="preserve"> TAFEs.</w:t>
      </w:r>
      <w:r w:rsidRPr="00117237">
        <w:t xml:space="preserve"> </w:t>
      </w:r>
    </w:p>
    <w:p w14:paraId="6B4DC663" w14:textId="15ABE2C8" w:rsidR="0056163A" w:rsidRPr="00117237" w:rsidRDefault="0056163A" w:rsidP="00462C12">
      <w:pPr>
        <w:pStyle w:val="ListBullet"/>
      </w:pPr>
      <w:r w:rsidRPr="00117237">
        <w:rPr>
          <w:b/>
        </w:rPr>
        <w:t>Jurisdictions not funding TAFEs to undertake this work</w:t>
      </w:r>
      <w:r w:rsidR="001F279A" w:rsidRPr="00117237">
        <w:rPr>
          <w:b/>
          <w:bCs/>
        </w:rPr>
        <w:t>, which also could have acted as an authorising mechanism</w:t>
      </w:r>
      <w:r w:rsidRPr="00117237">
        <w:rPr>
          <w:b/>
          <w:bCs/>
        </w:rPr>
        <w:t>.</w:t>
      </w:r>
      <w:r w:rsidRPr="00117237">
        <w:t xml:space="preserve"> </w:t>
      </w:r>
      <w:r w:rsidR="006324D1" w:rsidRPr="00117237">
        <w:t xml:space="preserve">TAFEs </w:t>
      </w:r>
      <w:r w:rsidR="001F279A" w:rsidRPr="00117237">
        <w:t>also</w:t>
      </w:r>
      <w:r w:rsidR="006324D1" w:rsidRPr="00117237">
        <w:t xml:space="preserve"> </w:t>
      </w:r>
      <w:r w:rsidR="00356DB2" w:rsidRPr="00117237">
        <w:t xml:space="preserve">cited </w:t>
      </w:r>
      <w:r w:rsidR="00C416D7" w:rsidRPr="00117237">
        <w:t xml:space="preserve">a tight resourcing environment as a reason this work was challenging to undertake. </w:t>
      </w:r>
    </w:p>
    <w:p w14:paraId="59D41A4B" w14:textId="28DAB7F7" w:rsidR="00961B45" w:rsidRPr="00117237" w:rsidRDefault="00961B45" w:rsidP="00462C12">
      <w:pPr>
        <w:pStyle w:val="ListBullet"/>
      </w:pPr>
      <w:r w:rsidRPr="00117237">
        <w:rPr>
          <w:b/>
          <w:bCs/>
        </w:rPr>
        <w:t>DSS</w:t>
      </w:r>
      <w:r w:rsidRPr="00117237">
        <w:rPr>
          <w:b/>
        </w:rPr>
        <w:t xml:space="preserve"> staff turnover between RET1 and RET2,</w:t>
      </w:r>
      <w:r w:rsidRPr="00117237">
        <w:t xml:space="preserve"> resulting in loss of knowledge of this project.</w:t>
      </w:r>
    </w:p>
    <w:p w14:paraId="17D9AA83" w14:textId="5071BC0F" w:rsidR="006A1604" w:rsidRPr="00117237" w:rsidRDefault="009B22E1" w:rsidP="003D183D">
      <w:pPr>
        <w:pStyle w:val="BodyTextAfterBullets"/>
        <w:rPr>
          <w:rFonts w:eastAsia="Century Gothic"/>
          <w:spacing w:val="0"/>
          <w:sz w:val="22"/>
          <w:szCs w:val="20"/>
        </w:rPr>
      </w:pPr>
      <w:r w:rsidRPr="00117237">
        <w:rPr>
          <w:rFonts w:eastAsia="Century Gothic"/>
          <w:spacing w:val="0"/>
          <w:sz w:val="22"/>
          <w:szCs w:val="20"/>
        </w:rPr>
        <w:t>Without a clear</w:t>
      </w:r>
      <w:r w:rsidR="00C05B65" w:rsidRPr="00117237">
        <w:rPr>
          <w:rFonts w:eastAsia="Century Gothic"/>
          <w:spacing w:val="0"/>
          <w:sz w:val="22"/>
          <w:szCs w:val="20"/>
        </w:rPr>
        <w:t xml:space="preserve"> system-level</w:t>
      </w:r>
      <w:r w:rsidRPr="00117237">
        <w:rPr>
          <w:rFonts w:eastAsia="Century Gothic"/>
          <w:spacing w:val="0"/>
          <w:sz w:val="22"/>
          <w:szCs w:val="20"/>
        </w:rPr>
        <w:t xml:space="preserve"> remit</w:t>
      </w:r>
      <w:r w:rsidR="007909FB" w:rsidRPr="00117237">
        <w:rPr>
          <w:rFonts w:eastAsia="Century Gothic"/>
          <w:spacing w:val="0"/>
          <w:sz w:val="22"/>
          <w:szCs w:val="20"/>
        </w:rPr>
        <w:t xml:space="preserve"> to support prioritisation</w:t>
      </w:r>
      <w:r w:rsidRPr="00117237">
        <w:rPr>
          <w:rFonts w:eastAsia="Century Gothic"/>
          <w:spacing w:val="0"/>
          <w:sz w:val="22"/>
          <w:szCs w:val="20"/>
        </w:rPr>
        <w:t>,</w:t>
      </w:r>
      <w:r w:rsidR="00DB1891" w:rsidRPr="00117237">
        <w:rPr>
          <w:rFonts w:eastAsia="Century Gothic"/>
          <w:spacing w:val="0"/>
          <w:sz w:val="22"/>
          <w:szCs w:val="20"/>
        </w:rPr>
        <w:t xml:space="preserve"> </w:t>
      </w:r>
      <w:r w:rsidR="00CB0E6C" w:rsidRPr="00117237">
        <w:rPr>
          <w:rFonts w:eastAsia="Century Gothic"/>
          <w:spacing w:val="0"/>
          <w:sz w:val="22"/>
          <w:szCs w:val="20"/>
        </w:rPr>
        <w:t xml:space="preserve">attempts to </w:t>
      </w:r>
      <w:r w:rsidR="00F76831" w:rsidRPr="00117237">
        <w:rPr>
          <w:rFonts w:eastAsia="Century Gothic"/>
          <w:spacing w:val="0"/>
          <w:sz w:val="22"/>
          <w:szCs w:val="20"/>
        </w:rPr>
        <w:t>engage with TAFEs were challenging</w:t>
      </w:r>
      <w:r w:rsidR="008009F9" w:rsidRPr="00117237">
        <w:rPr>
          <w:rFonts w:eastAsia="Century Gothic"/>
          <w:spacing w:val="0"/>
          <w:sz w:val="22"/>
          <w:szCs w:val="20"/>
        </w:rPr>
        <w:t xml:space="preserve">. </w:t>
      </w:r>
      <w:r w:rsidR="006A1604" w:rsidRPr="00117237">
        <w:rPr>
          <w:rFonts w:eastAsia="Century Gothic"/>
          <w:spacing w:val="0"/>
          <w:sz w:val="22"/>
          <w:szCs w:val="20"/>
        </w:rPr>
        <w:t>Despite having an experienced team, Our Watch encountered difficulties in gaining traction with TAFE executives. In some cases, TAFE</w:t>
      </w:r>
      <w:r w:rsidR="00A94E12" w:rsidRPr="00117237">
        <w:rPr>
          <w:rFonts w:eastAsia="Century Gothic"/>
          <w:spacing w:val="0"/>
          <w:sz w:val="22"/>
          <w:szCs w:val="20"/>
        </w:rPr>
        <w:t>s</w:t>
      </w:r>
      <w:r w:rsidR="006A1604" w:rsidRPr="00117237">
        <w:rPr>
          <w:rFonts w:eastAsia="Century Gothic"/>
          <w:spacing w:val="0"/>
          <w:sz w:val="22"/>
          <w:szCs w:val="20"/>
        </w:rPr>
        <w:t xml:space="preserve"> would filter Our Watch's communications or fail to attend scheduled meetings. These issues varied across different jurisdictions.</w:t>
      </w:r>
    </w:p>
    <w:p w14:paraId="79850EE7" w14:textId="519C7B2A" w:rsidR="003E188E" w:rsidRPr="00117237" w:rsidRDefault="003E188E" w:rsidP="00AE5CF8">
      <w:pPr>
        <w:pStyle w:val="ListBullet"/>
        <w:numPr>
          <w:ilvl w:val="0"/>
          <w:numId w:val="0"/>
        </w:numPr>
        <w:jc w:val="right"/>
        <w:rPr>
          <w:rFonts w:ascii="Arial Narrow" w:hAnsi="Arial Narrow" w:cs="Times New Roman"/>
          <w:i/>
          <w:color w:val="931B2F" w:themeColor="background2"/>
        </w:rPr>
      </w:pPr>
      <w:r w:rsidRPr="00117237">
        <w:rPr>
          <w:rFonts w:ascii="Arial Narrow" w:hAnsi="Arial Narrow" w:cs="Times New Roman"/>
          <w:i/>
          <w:color w:val="931B2F" w:themeColor="background2"/>
        </w:rPr>
        <w:t>‘Trying to find time to fit into people's already very stretched schedules, particularly when it may not be seen as a priority, was difficult.</w:t>
      </w:r>
      <w:r w:rsidR="00AE5CF8" w:rsidRPr="00117237">
        <w:rPr>
          <w:rFonts w:ascii="Arial Narrow" w:hAnsi="Arial Narrow" w:cs="Times New Roman"/>
          <w:i/>
          <w:color w:val="931B2F" w:themeColor="background2"/>
        </w:rPr>
        <w:t>’ Our Watch stakeholder</w:t>
      </w:r>
    </w:p>
    <w:p w14:paraId="38D9B90C" w14:textId="43DCA54C" w:rsidR="0016558B" w:rsidRPr="00117237" w:rsidRDefault="00E753D8" w:rsidP="00E753D8">
      <w:pPr>
        <w:pStyle w:val="BodyTextAfterBullets"/>
        <w:rPr>
          <w:rFonts w:eastAsia="Century Gothic"/>
          <w:spacing w:val="0"/>
          <w:sz w:val="22"/>
          <w:szCs w:val="20"/>
        </w:rPr>
      </w:pPr>
      <w:r w:rsidRPr="00117237">
        <w:rPr>
          <w:rFonts w:eastAsia="Century Gothic"/>
          <w:spacing w:val="0"/>
          <w:sz w:val="22"/>
          <w:szCs w:val="20"/>
        </w:rPr>
        <w:t xml:space="preserve">Our Watch's CEO and TAFE executives actively collaborated on strategic initiatives with government departments and TAFE CEOs. This participation was strong for high-profile elements like MoU signings and project launches, and there was also executive-level involvement in some of the initial meetings with TAFEs. However, executive-level involvement was less consistent for day-to-day </w:t>
      </w:r>
      <w:r w:rsidR="00575D8C" w:rsidRPr="00117237">
        <w:rPr>
          <w:rFonts w:eastAsia="Century Gothic"/>
          <w:spacing w:val="0"/>
          <w:sz w:val="22"/>
          <w:szCs w:val="20"/>
        </w:rPr>
        <w:t>operations</w:t>
      </w:r>
      <w:r w:rsidRPr="00117237">
        <w:rPr>
          <w:rFonts w:eastAsia="Century Gothic"/>
          <w:spacing w:val="0"/>
          <w:sz w:val="22"/>
          <w:szCs w:val="20"/>
        </w:rPr>
        <w:t xml:space="preserve"> and relationship building, nor was it intended for routine aspects. </w:t>
      </w:r>
      <w:r w:rsidR="00843597" w:rsidRPr="00117237">
        <w:rPr>
          <w:rFonts w:eastAsia="Century Gothic"/>
          <w:spacing w:val="0"/>
          <w:sz w:val="22"/>
          <w:szCs w:val="20"/>
        </w:rPr>
        <w:t>While this may have been appropriate f</w:t>
      </w:r>
      <w:r w:rsidR="00DB1DA6" w:rsidRPr="00117237">
        <w:rPr>
          <w:rFonts w:eastAsia="Century Gothic"/>
          <w:spacing w:val="0"/>
          <w:sz w:val="22"/>
          <w:szCs w:val="20"/>
        </w:rPr>
        <w:t>ro</w:t>
      </w:r>
      <w:r w:rsidR="00843597" w:rsidRPr="00117237">
        <w:rPr>
          <w:rFonts w:eastAsia="Century Gothic"/>
          <w:spacing w:val="0"/>
          <w:sz w:val="22"/>
          <w:szCs w:val="20"/>
        </w:rPr>
        <w:t xml:space="preserve">m a scope perspective, some </w:t>
      </w:r>
      <w:r w:rsidR="00037F96" w:rsidRPr="00117237">
        <w:rPr>
          <w:rFonts w:eastAsia="Century Gothic"/>
          <w:spacing w:val="0"/>
          <w:sz w:val="22"/>
          <w:szCs w:val="20"/>
        </w:rPr>
        <w:t>felt it may also be a result of TAFEs being a lower priority in Our Watch</w:t>
      </w:r>
      <w:r w:rsidR="00802864" w:rsidRPr="00117237">
        <w:rPr>
          <w:rFonts w:eastAsia="Century Gothic"/>
          <w:spacing w:val="0"/>
          <w:sz w:val="22"/>
          <w:szCs w:val="20"/>
        </w:rPr>
        <w:t xml:space="preserve"> more broadly</w:t>
      </w:r>
      <w:r w:rsidR="00037F96" w:rsidRPr="00117237">
        <w:rPr>
          <w:rFonts w:eastAsia="Century Gothic"/>
          <w:spacing w:val="0"/>
          <w:sz w:val="22"/>
          <w:szCs w:val="20"/>
        </w:rPr>
        <w:t>.</w:t>
      </w:r>
      <w:r w:rsidR="004D61E1" w:rsidRPr="00117237">
        <w:rPr>
          <w:rStyle w:val="FootnoteReference"/>
          <w:rFonts w:eastAsia="Century Gothic"/>
          <w:spacing w:val="0"/>
          <w:sz w:val="22"/>
          <w:szCs w:val="20"/>
        </w:rPr>
        <w:footnoteReference w:id="65"/>
      </w:r>
      <w:r w:rsidR="00037F96" w:rsidRPr="00117237">
        <w:rPr>
          <w:rFonts w:eastAsia="Century Gothic"/>
          <w:spacing w:val="0"/>
          <w:sz w:val="22"/>
          <w:szCs w:val="20"/>
        </w:rPr>
        <w:t xml:space="preserve"> </w:t>
      </w:r>
    </w:p>
    <w:p w14:paraId="592CDBE1" w14:textId="55084206" w:rsidR="00D40152" w:rsidRPr="00117237" w:rsidRDefault="00B769CB" w:rsidP="00B769CB">
      <w:pPr>
        <w:spacing w:before="100" w:after="100"/>
        <w:jc w:val="right"/>
        <w:rPr>
          <w:rFonts w:ascii="Arial Narrow" w:hAnsi="Arial Narrow" w:cs="Times New Roman"/>
          <w:i/>
        </w:rPr>
      </w:pPr>
      <w:r w:rsidRPr="00117237">
        <w:rPr>
          <w:rFonts w:ascii="Arial Narrow" w:hAnsi="Arial Narrow" w:cs="Times New Roman"/>
          <w:i/>
          <w:color w:val="931B2F" w:themeColor="background2"/>
        </w:rPr>
        <w:t>‘</w:t>
      </w:r>
      <w:r w:rsidR="00DF7BA9" w:rsidRPr="00117237">
        <w:rPr>
          <w:rFonts w:ascii="Arial Narrow" w:hAnsi="Arial Narrow" w:cs="Times New Roman"/>
          <w:i/>
          <w:color w:val="931B2F" w:themeColor="background2"/>
        </w:rPr>
        <w:t xml:space="preserve">I think [TAFEs] </w:t>
      </w:r>
      <w:r w:rsidR="00F46AC9" w:rsidRPr="00117237">
        <w:rPr>
          <w:rFonts w:ascii="Arial Narrow" w:hAnsi="Arial Narrow" w:cs="Times New Roman"/>
          <w:i/>
          <w:color w:val="931B2F" w:themeColor="background2"/>
        </w:rPr>
        <w:t>are considered a relatively new space in terms of set</w:t>
      </w:r>
      <w:r w:rsidR="00205413" w:rsidRPr="00117237">
        <w:rPr>
          <w:rFonts w:ascii="Arial Narrow" w:hAnsi="Arial Narrow" w:cs="Times New Roman"/>
          <w:i/>
          <w:color w:val="931B2F" w:themeColor="background2"/>
        </w:rPr>
        <w:t>tings… [and there is] a perception in Our Watch that it’s the least evolved of the settings we work in, and therefore a lower level of engagement and understanding of where the TAFE work sits across the organisation</w:t>
      </w:r>
      <w:r w:rsidRPr="00117237">
        <w:rPr>
          <w:rFonts w:ascii="Arial Narrow" w:hAnsi="Arial Narrow" w:cs="Times New Roman"/>
          <w:i/>
          <w:color w:val="931B2F" w:themeColor="background2"/>
        </w:rPr>
        <w:t>.’ Our Watch stakeholder</w:t>
      </w:r>
    </w:p>
    <w:p w14:paraId="2193F197" w14:textId="3CBAF0CE" w:rsidR="00555ADD" w:rsidRPr="00117237" w:rsidRDefault="00147C11" w:rsidP="00D13B8B">
      <w:r w:rsidRPr="00117237">
        <w:t xml:space="preserve">To mitigate the effects of </w:t>
      </w:r>
      <w:r w:rsidR="00443F9E" w:rsidRPr="00117237">
        <w:t xml:space="preserve">the lack of authorising environment, </w:t>
      </w:r>
      <w:r w:rsidR="0077752D" w:rsidRPr="00117237">
        <w:t>Our Watch used</w:t>
      </w:r>
      <w:r w:rsidR="00EF48CC" w:rsidRPr="00117237">
        <w:t xml:space="preserve"> replacement mechanism</w:t>
      </w:r>
      <w:r w:rsidR="0068524C" w:rsidRPr="00117237">
        <w:t>s</w:t>
      </w:r>
      <w:r w:rsidR="00EF48CC" w:rsidRPr="00117237">
        <w:t xml:space="preserve"> to </w:t>
      </w:r>
      <w:r w:rsidR="00AD46DE" w:rsidRPr="00117237">
        <w:t>encourage</w:t>
      </w:r>
      <w:r w:rsidR="00EF48CC" w:rsidRPr="00117237">
        <w:t xml:space="preserve"> engagement</w:t>
      </w:r>
      <w:r w:rsidR="0077752D" w:rsidRPr="00117237">
        <w:t>. This included building trusting relationships</w:t>
      </w:r>
      <w:r w:rsidR="00A73479" w:rsidRPr="00117237">
        <w:t xml:space="preserve"> with internal champions to get work started</w:t>
      </w:r>
      <w:r w:rsidR="0068524C" w:rsidRPr="00117237">
        <w:t xml:space="preserve"> and </w:t>
      </w:r>
      <w:r w:rsidR="008E0318" w:rsidRPr="00117237">
        <w:t xml:space="preserve">signing MoUs with the TAFEs. The MoUs acted as an internal authorising environment within each institution to motivate </w:t>
      </w:r>
      <w:r w:rsidR="00DA1DA0" w:rsidRPr="00117237">
        <w:t xml:space="preserve">this work and hold the institution accountable. </w:t>
      </w:r>
      <w:r w:rsidR="00317B2D" w:rsidRPr="00117237">
        <w:t>T</w:t>
      </w:r>
      <w:r w:rsidR="00891A38" w:rsidRPr="00117237">
        <w:t>hese were effective</w:t>
      </w:r>
      <w:r w:rsidR="00317B2D" w:rsidRPr="00117237">
        <w:t>, if resource intensive,</w:t>
      </w:r>
      <w:r w:rsidR="00891A38" w:rsidRPr="00117237">
        <w:t xml:space="preserve"> mechanisms</w:t>
      </w:r>
      <w:r w:rsidR="00AE1C2D" w:rsidRPr="00117237">
        <w:t>.</w:t>
      </w:r>
    </w:p>
    <w:p w14:paraId="002F35F2" w14:textId="545E2188" w:rsidR="00927966" w:rsidRPr="00117237" w:rsidRDefault="005D5ECC" w:rsidP="556ACCD7">
      <w:pPr>
        <w:spacing w:before="240" w:after="190"/>
        <w:outlineLvl w:val="2"/>
        <w:rPr>
          <w:rFonts w:ascii="Arial Narrow" w:hAnsi="Arial Narrow" w:cs="Times New Roman"/>
          <w:b/>
          <w:bCs/>
          <w:color w:val="931B2F" w:themeColor="accent1"/>
        </w:rPr>
      </w:pPr>
      <w:r w:rsidRPr="00117237">
        <w:rPr>
          <w:rFonts w:ascii="Arial Narrow" w:hAnsi="Arial Narrow" w:cs="Times New Roman"/>
          <w:b/>
          <w:bCs/>
          <w:color w:val="931B2F" w:themeColor="accent1"/>
        </w:rPr>
        <w:t>D</w:t>
      </w:r>
      <w:r w:rsidR="07FA4AD3" w:rsidRPr="00117237">
        <w:rPr>
          <w:rFonts w:ascii="Arial Narrow" w:hAnsi="Arial Narrow" w:cs="Times New Roman"/>
          <w:b/>
          <w:bCs/>
          <w:color w:val="931B2F" w:themeColor="accent1"/>
        </w:rPr>
        <w:t xml:space="preserve">elays </w:t>
      </w:r>
      <w:r w:rsidR="4F376E4F" w:rsidRPr="00117237">
        <w:rPr>
          <w:rFonts w:ascii="Arial Narrow" w:hAnsi="Arial Narrow" w:cs="Times New Roman"/>
          <w:b/>
          <w:bCs/>
          <w:color w:val="931B2F" w:themeColor="accent1"/>
        </w:rPr>
        <w:t xml:space="preserve">influenced </w:t>
      </w:r>
      <w:r w:rsidR="5008EC75" w:rsidRPr="00117237">
        <w:rPr>
          <w:rFonts w:ascii="Arial Narrow" w:hAnsi="Arial Narrow" w:cs="Times New Roman"/>
          <w:b/>
          <w:bCs/>
          <w:color w:val="931B2F" w:themeColor="accent1"/>
        </w:rPr>
        <w:t>the</w:t>
      </w:r>
      <w:r w:rsidR="07FA4AD3" w:rsidRPr="00117237">
        <w:rPr>
          <w:rFonts w:ascii="Arial Narrow" w:hAnsi="Arial Narrow" w:cs="Times New Roman"/>
          <w:b/>
          <w:bCs/>
          <w:color w:val="931B2F" w:themeColor="accent1"/>
        </w:rPr>
        <w:t xml:space="preserve"> strategic decision </w:t>
      </w:r>
      <w:r w:rsidR="4F376E4F" w:rsidRPr="00117237">
        <w:rPr>
          <w:rFonts w:ascii="Arial Narrow" w:hAnsi="Arial Narrow" w:cs="Times New Roman"/>
          <w:b/>
          <w:bCs/>
          <w:color w:val="931B2F" w:themeColor="accent1"/>
        </w:rPr>
        <w:t>to forgo engaging</w:t>
      </w:r>
      <w:r w:rsidR="4A0EB9BE" w:rsidRPr="00117237">
        <w:rPr>
          <w:rFonts w:ascii="Arial Narrow" w:hAnsi="Arial Narrow" w:cs="Times New Roman"/>
          <w:b/>
          <w:bCs/>
          <w:color w:val="931B2F" w:themeColor="accent1"/>
        </w:rPr>
        <w:t xml:space="preserve"> sy</w:t>
      </w:r>
      <w:r w:rsidR="07FA4AD3" w:rsidRPr="00117237">
        <w:rPr>
          <w:rFonts w:ascii="Arial Narrow" w:hAnsi="Arial Narrow" w:cs="Times New Roman"/>
          <w:b/>
          <w:bCs/>
          <w:color w:val="931B2F" w:themeColor="accent1"/>
        </w:rPr>
        <w:t>s</w:t>
      </w:r>
      <w:r w:rsidR="4A0EB9BE" w:rsidRPr="00117237">
        <w:rPr>
          <w:rFonts w:ascii="Arial Narrow" w:hAnsi="Arial Narrow" w:cs="Times New Roman"/>
          <w:b/>
          <w:bCs/>
          <w:color w:val="931B2F" w:themeColor="accent1"/>
        </w:rPr>
        <w:t>tem actors</w:t>
      </w:r>
      <w:r w:rsidR="283CBBCA" w:rsidRPr="00117237">
        <w:rPr>
          <w:rFonts w:ascii="Arial Narrow" w:hAnsi="Arial Narrow" w:cs="Times New Roman"/>
          <w:b/>
          <w:bCs/>
          <w:color w:val="931B2F" w:themeColor="accent1"/>
        </w:rPr>
        <w:t xml:space="preserve"> as </w:t>
      </w:r>
      <w:r w:rsidR="4F376E4F" w:rsidRPr="00117237">
        <w:rPr>
          <w:rFonts w:ascii="Arial Narrow" w:hAnsi="Arial Narrow" w:cs="Times New Roman"/>
          <w:b/>
          <w:bCs/>
          <w:color w:val="931B2F" w:themeColor="accent1"/>
        </w:rPr>
        <w:t>initially planned</w:t>
      </w:r>
      <w:r w:rsidR="283CBBCA" w:rsidRPr="00117237">
        <w:rPr>
          <w:rFonts w:ascii="Arial Narrow" w:hAnsi="Arial Narrow" w:cs="Times New Roman"/>
          <w:b/>
          <w:bCs/>
          <w:color w:val="931B2F" w:themeColor="accent1"/>
        </w:rPr>
        <w:t xml:space="preserve">. </w:t>
      </w:r>
    </w:p>
    <w:p w14:paraId="0D7094DD" w14:textId="49D5A7F8" w:rsidR="07FA4AD3" w:rsidRPr="00117237" w:rsidRDefault="07FA4AD3" w:rsidP="556ACCD7">
      <w:pPr>
        <w:spacing w:before="100" w:after="100"/>
        <w:rPr>
          <w:rFonts w:ascii="Arial Narrow" w:hAnsi="Arial Narrow" w:cs="Times New Roman"/>
        </w:rPr>
      </w:pPr>
      <w:r w:rsidRPr="00117237">
        <w:rPr>
          <w:rFonts w:ascii="Arial Narrow" w:hAnsi="Arial Narrow" w:cs="Times New Roman"/>
        </w:rPr>
        <w:lastRenderedPageBreak/>
        <w:t xml:space="preserve">The project’s </w:t>
      </w:r>
      <w:r w:rsidR="00D12B23" w:rsidRPr="00117237">
        <w:rPr>
          <w:rFonts w:ascii="Arial Narrow" w:hAnsi="Arial Narrow" w:cs="Times New Roman"/>
        </w:rPr>
        <w:t>ToC</w:t>
      </w:r>
      <w:r w:rsidRPr="00117237">
        <w:rPr>
          <w:rFonts w:ascii="Arial Narrow" w:hAnsi="Arial Narrow" w:cs="Times New Roman"/>
        </w:rPr>
        <w:t xml:space="preserve"> included engagement of system actors to support changes occurring in TAFEs and begin to bring about more widespread awareness of Our Watch, the RET framework and encourage organic expansion of this project to other TAFEs. The team made the strategic decision </w:t>
      </w:r>
      <w:r w:rsidR="008F1961" w:rsidRPr="00117237">
        <w:rPr>
          <w:rFonts w:ascii="Arial Narrow" w:hAnsi="Arial Narrow" w:cs="Times New Roman"/>
        </w:rPr>
        <w:t xml:space="preserve">at the beginning of 2023 </w:t>
      </w:r>
      <w:r w:rsidRPr="00117237">
        <w:rPr>
          <w:rFonts w:ascii="Arial Narrow" w:hAnsi="Arial Narrow" w:cs="Times New Roman"/>
        </w:rPr>
        <w:t xml:space="preserve">not to pursue system level actors due to: </w:t>
      </w:r>
    </w:p>
    <w:p w14:paraId="73BB4F51" w14:textId="33CE7555" w:rsidR="07FA4AD3" w:rsidRPr="00117237" w:rsidRDefault="07FA4AD3" w:rsidP="00462C12">
      <w:pPr>
        <w:pStyle w:val="ListBullet"/>
      </w:pPr>
      <w:r w:rsidRPr="00117237">
        <w:rPr>
          <w:b/>
          <w:bCs/>
        </w:rPr>
        <w:t xml:space="preserve">Delays with engaging TAFEs </w:t>
      </w:r>
      <w:r w:rsidR="00495DD3" w:rsidRPr="00117237">
        <w:rPr>
          <w:b/>
          <w:bCs/>
        </w:rPr>
        <w:t xml:space="preserve">had already </w:t>
      </w:r>
      <w:r w:rsidRPr="00117237">
        <w:rPr>
          <w:b/>
          <w:bCs/>
        </w:rPr>
        <w:t>push</w:t>
      </w:r>
      <w:r w:rsidR="00495DD3" w:rsidRPr="00117237">
        <w:rPr>
          <w:b/>
          <w:bCs/>
        </w:rPr>
        <w:t>ed</w:t>
      </w:r>
      <w:r w:rsidRPr="00117237">
        <w:rPr>
          <w:b/>
          <w:bCs/>
        </w:rPr>
        <w:t xml:space="preserve"> out the timelines of the project</w:t>
      </w:r>
      <w:r w:rsidR="000B3E33" w:rsidRPr="00117237">
        <w:t xml:space="preserve"> requiring increased resources from the team, and therefore less resources available to </w:t>
      </w:r>
      <w:r w:rsidR="00C84C81" w:rsidRPr="00117237">
        <w:t xml:space="preserve">engage with system level stakeholders. </w:t>
      </w:r>
    </w:p>
    <w:p w14:paraId="3F84F646" w14:textId="6654C2A7" w:rsidR="07FA4AD3" w:rsidRPr="00117237" w:rsidRDefault="07FA4AD3" w:rsidP="00462C12">
      <w:pPr>
        <w:pStyle w:val="ListBullet"/>
      </w:pPr>
      <w:r w:rsidRPr="00117237">
        <w:rPr>
          <w:b/>
          <w:bCs/>
        </w:rPr>
        <w:t xml:space="preserve">Challenges </w:t>
      </w:r>
      <w:r w:rsidR="0059691C" w:rsidRPr="00117237">
        <w:rPr>
          <w:b/>
          <w:bCs/>
        </w:rPr>
        <w:t>getting traction with</w:t>
      </w:r>
      <w:r w:rsidRPr="00117237">
        <w:rPr>
          <w:b/>
          <w:bCs/>
        </w:rPr>
        <w:t xml:space="preserve"> system levels actors Our Watch did try to engage</w:t>
      </w:r>
      <w:r w:rsidR="00802438" w:rsidRPr="00117237">
        <w:rPr>
          <w:b/>
          <w:bCs/>
        </w:rPr>
        <w:t>,</w:t>
      </w:r>
      <w:r w:rsidRPr="00117237">
        <w:t xml:space="preserve"> </w:t>
      </w:r>
      <w:r w:rsidR="00802438" w:rsidRPr="00117237">
        <w:t>as described above</w:t>
      </w:r>
      <w:r w:rsidR="000E256C" w:rsidRPr="00117237">
        <w:t xml:space="preserve"> in Our Watch’s attempt to engage Ministers. </w:t>
      </w:r>
    </w:p>
    <w:p w14:paraId="1C88D775" w14:textId="77777777" w:rsidR="00383E16" w:rsidRPr="00117237" w:rsidRDefault="00383E16" w:rsidP="00383E16">
      <w:pPr>
        <w:pStyle w:val="ListBullet"/>
        <w:numPr>
          <w:ilvl w:val="0"/>
          <w:numId w:val="0"/>
        </w:numPr>
        <w:jc w:val="right"/>
        <w:rPr>
          <w:i/>
          <w:iCs/>
          <w:color w:val="931B2F" w:themeColor="background2"/>
        </w:rPr>
      </w:pPr>
      <w:r w:rsidRPr="00117237">
        <w:rPr>
          <w:i/>
          <w:iCs/>
          <w:color w:val="931B2F" w:themeColor="background2"/>
        </w:rPr>
        <w:t>‘We realised there are two projects here, [working with] TAFEs, and [working with] system level actors. Being a small team we could not give [system actors] the time and space to be fully engaged.’ – Our Watch stakeholder</w:t>
      </w:r>
    </w:p>
    <w:p w14:paraId="572AED8C" w14:textId="5072617B" w:rsidR="07FA4AD3" w:rsidRPr="00117237" w:rsidRDefault="07FA4AD3" w:rsidP="00D40152">
      <w:pPr>
        <w:pStyle w:val="ListBullet"/>
        <w:numPr>
          <w:ilvl w:val="0"/>
          <w:numId w:val="0"/>
        </w:numPr>
        <w:rPr>
          <w:rFonts w:ascii="Arial Narrow" w:hAnsi="Arial Narrow" w:cs="Times New Roman"/>
        </w:rPr>
      </w:pPr>
      <w:r w:rsidRPr="00117237">
        <w:rPr>
          <w:rFonts w:ascii="Arial Narrow" w:hAnsi="Arial Narrow" w:cs="Times New Roman"/>
        </w:rPr>
        <w:t>However, through connections with the TAFEs in the RET2 project, Our Watch did engage with TAFE Directors Australia (TDA) who disseminated information about the project through newsletters and on their website, and HumanAbility Jobs and Skills Council (JSC) who sent a representative to the second summit.</w:t>
      </w:r>
    </w:p>
    <w:p w14:paraId="6B2016A7" w14:textId="10698D19" w:rsidR="005B44B7" w:rsidRPr="00117237" w:rsidRDefault="005B44B7" w:rsidP="005B44B7">
      <w:pPr>
        <w:pStyle w:val="Heading3Normal"/>
      </w:pPr>
      <w:r w:rsidRPr="00117237">
        <w:t>Our Watch</w:t>
      </w:r>
      <w:r w:rsidR="008D0C34" w:rsidRPr="00117237">
        <w:t xml:space="preserve"> recruited a capable team to deliver this work. They</w:t>
      </w:r>
      <w:r w:rsidR="008270C7" w:rsidRPr="00117237">
        <w:t xml:space="preserve"> developed and</w:t>
      </w:r>
      <w:r w:rsidR="008D0C34" w:rsidRPr="00117237">
        <w:t xml:space="preserve"> </w:t>
      </w:r>
      <w:r w:rsidR="004827AB" w:rsidRPr="00117237">
        <w:t>practiced approaches that built productive relationships with the TAFEs</w:t>
      </w:r>
      <w:r w:rsidR="008270C7" w:rsidRPr="00117237">
        <w:t>.</w:t>
      </w:r>
    </w:p>
    <w:p w14:paraId="2D94265F" w14:textId="208AA09A" w:rsidR="00FE1FDC" w:rsidRPr="00A618E0" w:rsidRDefault="00FE1FDC" w:rsidP="00A618E0">
      <w:pPr>
        <w:pStyle w:val="BodyTextAfterBullets"/>
      </w:pPr>
      <w:r w:rsidRPr="00A618E0">
        <w:rPr>
          <w:rFonts w:eastAsia="Century Gothic"/>
          <w:spacing w:val="0"/>
          <w:sz w:val="22"/>
          <w:szCs w:val="20"/>
        </w:rPr>
        <w:t xml:space="preserve">Our Watch recruited </w:t>
      </w:r>
      <w:r w:rsidR="00175CC5" w:rsidRPr="00A618E0">
        <w:rPr>
          <w:rFonts w:eastAsia="Century Gothic"/>
          <w:spacing w:val="0"/>
          <w:sz w:val="22"/>
          <w:szCs w:val="20"/>
        </w:rPr>
        <w:t>a team with the</w:t>
      </w:r>
      <w:r w:rsidR="0099441B" w:rsidRPr="00A618E0">
        <w:rPr>
          <w:rFonts w:eastAsia="Century Gothic"/>
          <w:spacing w:val="0"/>
          <w:sz w:val="22"/>
          <w:szCs w:val="20"/>
        </w:rPr>
        <w:t xml:space="preserve"> experience and attributes to deliver this work. </w:t>
      </w:r>
      <w:r w:rsidRPr="00A618E0">
        <w:rPr>
          <w:rFonts w:eastAsia="Century Gothic"/>
          <w:spacing w:val="0"/>
          <w:sz w:val="22"/>
          <w:szCs w:val="20"/>
        </w:rPr>
        <w:t xml:space="preserve">The team were heavily praised in interviews with TAFE participants. This included their approach, manner and ways of working and their primary prevention knowledge. </w:t>
      </w:r>
    </w:p>
    <w:p w14:paraId="4D786770" w14:textId="73997301" w:rsidR="00653DD3" w:rsidRPr="00117237" w:rsidRDefault="00FE1FDC" w:rsidP="008D615E">
      <w:pPr>
        <w:spacing w:before="240" w:after="240" w:line="276" w:lineRule="auto"/>
        <w:ind w:left="357"/>
        <w:contextualSpacing/>
        <w:jc w:val="right"/>
        <w:rPr>
          <w:rFonts w:ascii="Arial Narrow" w:hAnsi="Arial Narrow" w:cs="Times New Roman"/>
          <w:b/>
          <w:bCs/>
          <w:color w:val="931B2F" w:themeColor="accent1"/>
        </w:rPr>
      </w:pPr>
      <w:r w:rsidRPr="00A618E0">
        <w:rPr>
          <w:rFonts w:ascii="Arial Narrow" w:hAnsi="Arial Narrow" w:cs="Times New Roman"/>
          <w:i/>
          <w:color w:val="931B2F" w:themeColor="background2"/>
        </w:rPr>
        <w:t xml:space="preserve">‘The project team were friendly, kind and caring and were really knowledgeable about the project and the issue and were very evidence-based and backed up their statements. That really brought in the trust factor and made everyone feel comfortable.’ – TAFE </w:t>
      </w:r>
      <w:r w:rsidR="00D45A07" w:rsidRPr="00A618E0">
        <w:rPr>
          <w:rFonts w:ascii="Arial Narrow" w:hAnsi="Arial Narrow" w:cs="Times New Roman"/>
          <w:i/>
          <w:color w:val="931B2F" w:themeColor="background2"/>
        </w:rPr>
        <w:t>s</w:t>
      </w:r>
      <w:r w:rsidRPr="00A618E0">
        <w:rPr>
          <w:rFonts w:ascii="Arial Narrow" w:hAnsi="Arial Narrow" w:cs="Times New Roman"/>
          <w:i/>
          <w:color w:val="931B2F" w:themeColor="background2"/>
        </w:rPr>
        <w:t>takeholder</w:t>
      </w:r>
      <w:r w:rsidRPr="00117237">
        <w:rPr>
          <w:rFonts w:ascii="Arial Narrow" w:hAnsi="Arial Narrow" w:cs="Times New Roman"/>
          <w:b/>
          <w:bCs/>
          <w:color w:val="931B2F" w:themeColor="accent1"/>
        </w:rPr>
        <w:t xml:space="preserve"> </w:t>
      </w:r>
    </w:p>
    <w:p w14:paraId="375FF13A" w14:textId="77777777" w:rsidR="00653DD3" w:rsidRPr="00117237" w:rsidRDefault="00653DD3" w:rsidP="00901BAF">
      <w:r w:rsidRPr="00117237">
        <w:t xml:space="preserve">The team engaged positively and productively with TAFEs by: </w:t>
      </w:r>
    </w:p>
    <w:p w14:paraId="76B6027A" w14:textId="2697F70B" w:rsidR="00653DD3" w:rsidRPr="00117237" w:rsidRDefault="00653DD3" w:rsidP="00462C12">
      <w:pPr>
        <w:pStyle w:val="ListBullet"/>
      </w:pPr>
      <w:r w:rsidRPr="00117237">
        <w:rPr>
          <w:b/>
        </w:rPr>
        <w:t>Adapting their approach and modes of engagement depending on TAFEs preferences and build</w:t>
      </w:r>
      <w:r w:rsidR="00C07DE4" w:rsidRPr="00117237">
        <w:rPr>
          <w:b/>
        </w:rPr>
        <w:t>ing</w:t>
      </w:r>
      <w:r w:rsidRPr="00117237">
        <w:rPr>
          <w:b/>
        </w:rPr>
        <w:t xml:space="preserve"> strong relationships.</w:t>
      </w:r>
      <w:r w:rsidRPr="00117237">
        <w:t xml:space="preserve"> An Our Watch stakeholder emphasised that TAFEs do not have the same online culture that other organisations do, and that the team had exponential success with in-person engagement. The Our Watch team also noted that in-person engagement made a deeper impact on the relationship with </w:t>
      </w:r>
      <w:r w:rsidR="00576718" w:rsidRPr="00117237">
        <w:t>BIITE</w:t>
      </w:r>
      <w:r w:rsidRPr="00117237">
        <w:t xml:space="preserve"> and CDU.</w:t>
      </w:r>
    </w:p>
    <w:p w14:paraId="3F89FC4E" w14:textId="77777777" w:rsidR="00653DD3" w:rsidRPr="00117237" w:rsidRDefault="00653DD3" w:rsidP="00653DD3">
      <w:pPr>
        <w:spacing w:line="276" w:lineRule="auto"/>
        <w:ind w:left="360"/>
        <w:jc w:val="right"/>
        <w:rPr>
          <w:rFonts w:ascii="Arial Narrow" w:hAnsi="Arial Narrow" w:cs="Times New Roman"/>
          <w:i/>
          <w:iCs/>
          <w:color w:val="931B2F" w:themeColor="accent1"/>
        </w:rPr>
      </w:pPr>
      <w:r w:rsidRPr="00117237">
        <w:rPr>
          <w:rFonts w:ascii="Arial Narrow" w:hAnsi="Arial Narrow" w:cs="Times New Roman"/>
          <w:i/>
          <w:iCs/>
          <w:color w:val="931B2F" w:themeColor="accent1"/>
        </w:rPr>
        <w:t xml:space="preserve">‘We understood that the context was so different and was going to be different from place to place.’ – Our Watch stakeholder </w:t>
      </w:r>
    </w:p>
    <w:p w14:paraId="2BA10B16" w14:textId="364C0201" w:rsidR="00653DD3" w:rsidRPr="00117237" w:rsidRDefault="00653DD3" w:rsidP="00653DD3">
      <w:pPr>
        <w:spacing w:line="276" w:lineRule="auto"/>
        <w:ind w:left="360"/>
        <w:jc w:val="right"/>
        <w:rPr>
          <w:rFonts w:ascii="Arial Narrow" w:hAnsi="Arial Narrow" w:cs="Times New Roman"/>
          <w:i/>
          <w:iCs/>
          <w:color w:val="931B2F" w:themeColor="accent1"/>
        </w:rPr>
      </w:pPr>
      <w:r w:rsidRPr="00117237">
        <w:rPr>
          <w:rFonts w:ascii="Arial Narrow" w:hAnsi="Arial Narrow" w:cs="Times New Roman"/>
          <w:i/>
          <w:iCs/>
          <w:color w:val="931B2F" w:themeColor="accent1"/>
        </w:rPr>
        <w:t xml:space="preserve">‘[TAFEs] told us that was valuable because it showed we were committed. The fact we made that journey to spend time with, </w:t>
      </w:r>
      <w:r w:rsidR="00C07DE4" w:rsidRPr="00117237">
        <w:rPr>
          <w:rFonts w:ascii="Arial Narrow" w:hAnsi="Arial Narrow" w:cs="Times New Roman"/>
          <w:i/>
          <w:iCs/>
          <w:color w:val="931B2F" w:themeColor="accent1"/>
        </w:rPr>
        <w:t xml:space="preserve">them, </w:t>
      </w:r>
      <w:r w:rsidRPr="00117237">
        <w:rPr>
          <w:rFonts w:ascii="Arial Narrow" w:hAnsi="Arial Narrow" w:cs="Times New Roman"/>
          <w:i/>
          <w:iCs/>
          <w:color w:val="931B2F" w:themeColor="accent1"/>
        </w:rPr>
        <w:t xml:space="preserve">they appreciated it a lot.’ – Our Watch stakeholder </w:t>
      </w:r>
    </w:p>
    <w:p w14:paraId="5C332129" w14:textId="77777777" w:rsidR="00653DD3" w:rsidRPr="00117237" w:rsidRDefault="00653DD3" w:rsidP="00462C12">
      <w:pPr>
        <w:pStyle w:val="ListBullet"/>
      </w:pPr>
      <w:r w:rsidRPr="00117237">
        <w:rPr>
          <w:b/>
        </w:rPr>
        <w:t>Being responsive to the pace at which TAFEs could meaningfully engage.</w:t>
      </w:r>
      <w:r w:rsidRPr="00117237">
        <w:t xml:space="preserve"> TasTAFE was unable to engage in the work until 2024, and Our Watch provided informal support in the lead up to full engagement. </w:t>
      </w:r>
    </w:p>
    <w:p w14:paraId="308BF764" w14:textId="77777777" w:rsidR="00653DD3" w:rsidRPr="00117237" w:rsidRDefault="00653DD3" w:rsidP="00462C12">
      <w:pPr>
        <w:pStyle w:val="ListBullet"/>
      </w:pPr>
      <w:r w:rsidRPr="00117237">
        <w:rPr>
          <w:b/>
        </w:rPr>
        <w:t>Being careful, thoughtful and strategic about how they pitched the work to TAFEs.</w:t>
      </w:r>
      <w:r w:rsidRPr="00117237">
        <w:t xml:space="preserve"> The Our Watch team thought creatively about how they could link the RET2 project with TAFE priorities and ‘sell’ the project to TAFEs.</w:t>
      </w:r>
    </w:p>
    <w:p w14:paraId="049E7479" w14:textId="2EB6BC80" w:rsidR="00653DD3" w:rsidRPr="00117237" w:rsidRDefault="00653DD3" w:rsidP="00462C12">
      <w:pPr>
        <w:pStyle w:val="ListBullet"/>
      </w:pPr>
      <w:r w:rsidRPr="00117237">
        <w:rPr>
          <w:b/>
        </w:rPr>
        <w:t>Scaling up or down the level of support provided and mak</w:t>
      </w:r>
      <w:r w:rsidR="00E91F03" w:rsidRPr="00117237">
        <w:rPr>
          <w:b/>
        </w:rPr>
        <w:t>i</w:t>
      </w:r>
      <w:r w:rsidR="00E334DA" w:rsidRPr="00117237">
        <w:rPr>
          <w:b/>
        </w:rPr>
        <w:t xml:space="preserve">ng </w:t>
      </w:r>
      <w:r w:rsidRPr="00117237">
        <w:rPr>
          <w:b/>
        </w:rPr>
        <w:t>it easy for TAFEs to engage with this work.</w:t>
      </w:r>
      <w:r w:rsidRPr="00117237">
        <w:t xml:space="preserve"> This included doing ‘whatever TAFEs needed’ (Our Watch stakeholder), such as filling out paperwork and developing and delivering presentations.</w:t>
      </w:r>
    </w:p>
    <w:p w14:paraId="4DE701D3" w14:textId="00093117" w:rsidR="00653DD3" w:rsidRPr="00117237" w:rsidRDefault="00653DD3" w:rsidP="00462C12">
      <w:pPr>
        <w:pStyle w:val="ListBullet"/>
      </w:pPr>
      <w:r w:rsidRPr="00117237">
        <w:rPr>
          <w:b/>
        </w:rPr>
        <w:t>Responding to and implement</w:t>
      </w:r>
      <w:r w:rsidR="00E334DA" w:rsidRPr="00117237">
        <w:rPr>
          <w:b/>
        </w:rPr>
        <w:t>ing</w:t>
      </w:r>
      <w:r w:rsidRPr="00117237">
        <w:rPr>
          <w:b/>
        </w:rPr>
        <w:t xml:space="preserve"> feedback on content and trainings delivered. </w:t>
      </w:r>
      <w:r w:rsidRPr="00117237">
        <w:t xml:space="preserve">TAFEs reported that they gave feedback on the content of training and how they would like it to be adapted and the Our Watch team were able to do this. This built trust with the TAFEs. </w:t>
      </w:r>
    </w:p>
    <w:p w14:paraId="323DDA83" w14:textId="279AEAB2" w:rsidR="00653DD3" w:rsidRPr="00117237" w:rsidRDefault="00653DD3" w:rsidP="00653DD3">
      <w:pPr>
        <w:spacing w:line="276" w:lineRule="auto"/>
        <w:ind w:left="360"/>
        <w:jc w:val="right"/>
        <w:rPr>
          <w:rFonts w:ascii="Arial Narrow" w:hAnsi="Arial Narrow" w:cs="Times New Roman"/>
          <w:i/>
          <w:iCs/>
          <w:color w:val="931B2F" w:themeColor="accent1"/>
        </w:rPr>
      </w:pPr>
      <w:r w:rsidRPr="00117237">
        <w:rPr>
          <w:rFonts w:ascii="Arial Narrow" w:hAnsi="Arial Narrow" w:cs="Times New Roman"/>
          <w:i/>
          <w:iCs/>
          <w:color w:val="931B2F" w:themeColor="accent1"/>
        </w:rPr>
        <w:t xml:space="preserve">‘We gave feedback and they adapted the next workshop perfectly and that was really impressive. </w:t>
      </w:r>
      <w:r w:rsidR="006B5B67" w:rsidRPr="00117237">
        <w:rPr>
          <w:rFonts w:ascii="Arial Narrow" w:hAnsi="Arial Narrow" w:cs="Times New Roman"/>
          <w:i/>
          <w:iCs/>
          <w:color w:val="931B2F" w:themeColor="accent1"/>
        </w:rPr>
        <w:t>It’s</w:t>
      </w:r>
      <w:r w:rsidRPr="00117237">
        <w:rPr>
          <w:rFonts w:ascii="Arial Narrow" w:hAnsi="Arial Narrow" w:cs="Times New Roman"/>
          <w:i/>
          <w:iCs/>
          <w:color w:val="931B2F" w:themeColor="accent1"/>
        </w:rPr>
        <w:t xml:space="preserve"> been a really equal partnership.’ – TAFE stakeholder </w:t>
      </w:r>
    </w:p>
    <w:p w14:paraId="09F4ABC9" w14:textId="039F229A" w:rsidR="00653DD3" w:rsidRPr="00117237" w:rsidRDefault="00653DD3" w:rsidP="00653DD3">
      <w:pPr>
        <w:spacing w:line="276" w:lineRule="auto"/>
        <w:ind w:left="360"/>
        <w:jc w:val="right"/>
        <w:rPr>
          <w:rFonts w:ascii="Arial Narrow" w:hAnsi="Arial Narrow" w:cs="Times New Roman"/>
          <w:i/>
          <w:iCs/>
          <w:color w:val="931B2F" w:themeColor="accent1"/>
        </w:rPr>
      </w:pPr>
      <w:r w:rsidRPr="00117237">
        <w:rPr>
          <w:rFonts w:ascii="Arial Narrow" w:hAnsi="Arial Narrow" w:cs="Times New Roman"/>
          <w:i/>
          <w:iCs/>
          <w:color w:val="931B2F" w:themeColor="accent1"/>
        </w:rPr>
        <w:t>‘Listening, responding and actioning [feedback] in a timely way, I have not seen this follow through in mo</w:t>
      </w:r>
      <w:r w:rsidR="00D962B3" w:rsidRPr="00117237">
        <w:rPr>
          <w:rFonts w:ascii="Arial Narrow" w:hAnsi="Arial Narrow" w:cs="Times New Roman"/>
          <w:i/>
          <w:iCs/>
          <w:color w:val="931B2F" w:themeColor="accent1"/>
        </w:rPr>
        <w:t>st</w:t>
      </w:r>
      <w:r w:rsidRPr="00117237">
        <w:rPr>
          <w:rFonts w:ascii="Arial Narrow" w:hAnsi="Arial Narrow" w:cs="Times New Roman"/>
          <w:i/>
          <w:iCs/>
          <w:color w:val="931B2F" w:themeColor="accent1"/>
        </w:rPr>
        <w:t xml:space="preserve"> organisations.’ – TAFE stakeholder </w:t>
      </w:r>
    </w:p>
    <w:p w14:paraId="0A6EE97B" w14:textId="491F269E" w:rsidR="00653DD3" w:rsidRPr="00117237" w:rsidRDefault="00653DD3" w:rsidP="00462C12">
      <w:pPr>
        <w:pStyle w:val="ListBullet"/>
      </w:pPr>
      <w:r w:rsidRPr="00117237">
        <w:rPr>
          <w:b/>
          <w:bCs/>
        </w:rPr>
        <w:lastRenderedPageBreak/>
        <w:t>Spending time upfront researching and gaining understanding on the TAFEs</w:t>
      </w:r>
      <w:r w:rsidRPr="00117237">
        <w:t>, but not presum</w:t>
      </w:r>
      <w:r w:rsidR="000363B6">
        <w:t>ing</w:t>
      </w:r>
      <w:r w:rsidRPr="00117237">
        <w:t xml:space="preserve"> to know everything. </w:t>
      </w:r>
      <w:r w:rsidR="001A0C80" w:rsidRPr="00117237">
        <w:t xml:space="preserve">In the NT, Our Watch tailored their approach using the </w:t>
      </w:r>
      <w:r w:rsidR="001A0C80" w:rsidRPr="00117237">
        <w:rPr>
          <w:i/>
          <w:iCs/>
        </w:rPr>
        <w:t>Changing the picture</w:t>
      </w:r>
      <w:r w:rsidR="00454090" w:rsidRPr="00117237">
        <w:rPr>
          <w:i/>
          <w:iCs/>
        </w:rPr>
        <w:t>: A national resource to support the prevention of violence against Aboriginal and Torres Strait Islander women and their children (Changing the picture)</w:t>
      </w:r>
      <w:r w:rsidR="001A0C80" w:rsidRPr="00117237">
        <w:t xml:space="preserve"> </w:t>
      </w:r>
      <w:r w:rsidR="00400838" w:rsidRPr="00117237">
        <w:t>resource</w:t>
      </w:r>
      <w:r w:rsidR="001A0C80" w:rsidRPr="00117237">
        <w:t xml:space="preserve"> to better situate and land primary prevention content with a First Nations context.</w:t>
      </w:r>
      <w:r w:rsidR="00454090" w:rsidRPr="00117237">
        <w:rPr>
          <w:rStyle w:val="FootnoteReference"/>
        </w:rPr>
        <w:footnoteReference w:id="66"/>
      </w:r>
      <w:r w:rsidR="001A0C80" w:rsidRPr="00117237">
        <w:t xml:space="preserve"> During delivery, they framed their presentations with the caveat that this is what they currently understand, but they are open to being corrected by participants. </w:t>
      </w:r>
    </w:p>
    <w:p w14:paraId="799D5EA8" w14:textId="1B02DF19" w:rsidR="00653DD3" w:rsidRPr="00117237" w:rsidRDefault="00653DD3" w:rsidP="008D615E">
      <w:pPr>
        <w:spacing w:before="240" w:line="276" w:lineRule="auto"/>
        <w:ind w:left="357" w:firstLine="3"/>
        <w:contextualSpacing/>
        <w:jc w:val="right"/>
      </w:pPr>
      <w:r w:rsidRPr="00117237">
        <w:rPr>
          <w:rFonts w:ascii="Arial Narrow" w:hAnsi="Arial Narrow" w:cs="Times New Roman"/>
          <w:i/>
          <w:iCs/>
          <w:color w:val="931B2F" w:themeColor="accent1"/>
        </w:rPr>
        <w:t xml:space="preserve">‘They came in with confidence about the subject, but not the confidence that they know about TAFE or our TAFE in particular. They did not come assuming they knew us.’ – TAFE </w:t>
      </w:r>
      <w:r w:rsidR="00D45A07" w:rsidRPr="00117237">
        <w:rPr>
          <w:rFonts w:ascii="Arial Narrow" w:hAnsi="Arial Narrow" w:cs="Times New Roman"/>
          <w:i/>
          <w:iCs/>
          <w:color w:val="931B2F" w:themeColor="accent1"/>
        </w:rPr>
        <w:t>s</w:t>
      </w:r>
      <w:r w:rsidRPr="00117237">
        <w:rPr>
          <w:rFonts w:ascii="Arial Narrow" w:hAnsi="Arial Narrow" w:cs="Times New Roman"/>
          <w:i/>
          <w:iCs/>
          <w:color w:val="931B2F" w:themeColor="accent1"/>
        </w:rPr>
        <w:t>takeholder</w:t>
      </w:r>
    </w:p>
    <w:p w14:paraId="4DF0CD1C" w14:textId="2AD3B582" w:rsidR="0099441B" w:rsidRPr="00117237" w:rsidRDefault="00653DD3" w:rsidP="00462C12">
      <w:pPr>
        <w:pStyle w:val="ListBullet"/>
      </w:pPr>
      <w:r w:rsidRPr="00117237">
        <w:rPr>
          <w:b/>
        </w:rPr>
        <w:t>Supporting TAFEs to manage backlash.</w:t>
      </w:r>
      <w:r w:rsidRPr="00117237">
        <w:t xml:space="preserve"> One TAFE experienced backlash to the </w:t>
      </w:r>
      <w:r w:rsidRPr="00117237">
        <w:rPr>
          <w:i/>
        </w:rPr>
        <w:t xml:space="preserve">Change the </w:t>
      </w:r>
      <w:r w:rsidR="007612E4" w:rsidRPr="00117237">
        <w:rPr>
          <w:i/>
          <w:iCs/>
        </w:rPr>
        <w:t>s</w:t>
      </w:r>
      <w:r w:rsidRPr="00117237">
        <w:rPr>
          <w:i/>
          <w:iCs/>
        </w:rPr>
        <w:t>tory</w:t>
      </w:r>
      <w:r w:rsidRPr="00117237">
        <w:t xml:space="preserve"> training. Our Watch were able to provide resources and support them to manage backlash and make adjustments to the training environment to accommodate further engagement.</w:t>
      </w:r>
    </w:p>
    <w:p w14:paraId="73253546" w14:textId="498E83A4" w:rsidR="00452416" w:rsidRPr="00117237" w:rsidRDefault="00452416" w:rsidP="00452416">
      <w:pPr>
        <w:pStyle w:val="Heading3Normal"/>
      </w:pPr>
      <w:r w:rsidRPr="00117237">
        <w:t>RET2</w:t>
      </w:r>
      <w:r w:rsidR="005D14EA" w:rsidRPr="00117237">
        <w:t xml:space="preserve"> </w:t>
      </w:r>
      <w:r w:rsidR="002070B8" w:rsidRPr="00117237">
        <w:t>applied</w:t>
      </w:r>
      <w:r w:rsidR="001E7C06" w:rsidRPr="00117237">
        <w:t xml:space="preserve"> </w:t>
      </w:r>
      <w:r w:rsidR="005D14EA" w:rsidRPr="00117237">
        <w:t xml:space="preserve">the RET Framework to </w:t>
      </w:r>
      <w:r w:rsidR="00625375" w:rsidRPr="00117237">
        <w:t>different</w:t>
      </w:r>
      <w:r w:rsidR="005D14EA" w:rsidRPr="00117237">
        <w:t xml:space="preserve"> TAFE context</w:t>
      </w:r>
      <w:r w:rsidR="00625375" w:rsidRPr="00117237">
        <w:t>s</w:t>
      </w:r>
      <w:r w:rsidR="00F60D5B" w:rsidRPr="00117237">
        <w:t xml:space="preserve">. </w:t>
      </w:r>
    </w:p>
    <w:p w14:paraId="4B0282EE" w14:textId="69633AEC" w:rsidR="005D14EA" w:rsidRPr="00117237" w:rsidRDefault="009A1CF8" w:rsidP="005D14EA">
      <w:r w:rsidRPr="00117237">
        <w:t xml:space="preserve">The RET1 project </w:t>
      </w:r>
      <w:r w:rsidR="006D64B6" w:rsidRPr="00117237">
        <w:t xml:space="preserve">worked with Victorian TAFEs to create the RET framework. </w:t>
      </w:r>
      <w:r w:rsidR="00F60D5B" w:rsidRPr="00117237">
        <w:t xml:space="preserve">To make the framework more approachable </w:t>
      </w:r>
      <w:r w:rsidR="00A12597" w:rsidRPr="00117237">
        <w:t xml:space="preserve">for TAFEs, the team </w:t>
      </w:r>
      <w:r w:rsidR="00367C48" w:rsidRPr="00117237">
        <w:t>condensed</w:t>
      </w:r>
      <w:r w:rsidR="00A12597" w:rsidRPr="00117237">
        <w:t xml:space="preserve"> the framework to four steps rather than eight</w:t>
      </w:r>
      <w:r w:rsidR="00201178" w:rsidRPr="00117237">
        <w:t xml:space="preserve"> (see the full framework at Appendix </w:t>
      </w:r>
      <w:r w:rsidR="00CE25A4" w:rsidRPr="00117237">
        <w:t>B</w:t>
      </w:r>
      <w:r w:rsidR="00201178" w:rsidRPr="00117237">
        <w:t>)</w:t>
      </w:r>
      <w:r w:rsidR="00204F57" w:rsidRPr="00117237">
        <w:t xml:space="preserve"> so that approaching the framework </w:t>
      </w:r>
      <w:r w:rsidR="00E07FCB">
        <w:t>was</w:t>
      </w:r>
      <w:r w:rsidR="00E07FCB" w:rsidRPr="00117237">
        <w:t xml:space="preserve"> </w:t>
      </w:r>
      <w:r w:rsidR="00204F57" w:rsidRPr="00117237">
        <w:t>less overwhelming</w:t>
      </w:r>
      <w:r w:rsidR="00201178" w:rsidRPr="00117237">
        <w:t>.</w:t>
      </w:r>
      <w:r w:rsidR="004805F6" w:rsidRPr="00117237">
        <w:t xml:space="preserve"> </w:t>
      </w:r>
      <w:r w:rsidR="00C6615D" w:rsidRPr="00117237">
        <w:t>T</w:t>
      </w:r>
      <w:r w:rsidR="004805F6" w:rsidRPr="00117237">
        <w:t>he framework show</w:t>
      </w:r>
      <w:r w:rsidR="00C6615D" w:rsidRPr="00117237">
        <w:t>s</w:t>
      </w:r>
      <w:r w:rsidR="004805F6" w:rsidRPr="00117237">
        <w:t xml:space="preserve"> a clear prioritisation of connecting with staff to champion and drive the work from the ground-up, and gaining leadership buy in to authorise the work from the top-down. </w:t>
      </w:r>
    </w:p>
    <w:p w14:paraId="4EB530EF" w14:textId="7D41FECC" w:rsidR="005D14EA" w:rsidRPr="00117237" w:rsidRDefault="003456E0" w:rsidP="00BC6C1D">
      <w:pPr>
        <w:pStyle w:val="Caption"/>
        <w:keepNext/>
      </w:pPr>
      <w:bookmarkStart w:id="26" w:name="_Toc204167674"/>
      <w:bookmarkStart w:id="27" w:name="_Toc204168060"/>
      <w:r w:rsidRPr="00117237">
        <w:t>Figure</w:t>
      </w:r>
      <w:r w:rsidR="00543C6D">
        <w:t xml:space="preserve"> </w:t>
      </w:r>
      <w:fldSimple w:instr=" SEQ Figure \* ARABIC ">
        <w:r w:rsidR="00E3688B">
          <w:rPr>
            <w:noProof/>
          </w:rPr>
          <w:t>6</w:t>
        </w:r>
      </w:fldSimple>
      <w:r w:rsidRPr="00117237">
        <w:t>: RET Framework operationalised for the RET2 project</w:t>
      </w:r>
      <w:bookmarkEnd w:id="26"/>
      <w:bookmarkEnd w:id="27"/>
    </w:p>
    <w:p w14:paraId="4936F69B" w14:textId="723933ED" w:rsidR="00FE757E" w:rsidRPr="00117237" w:rsidRDefault="00BC6C1D" w:rsidP="00FE757E">
      <w:pPr>
        <w:jc w:val="right"/>
        <w:rPr>
          <w:i/>
          <w:iCs/>
          <w:color w:val="931B2F" w:themeColor="accent1"/>
        </w:rPr>
        <w:sectPr w:rsidR="00FE757E" w:rsidRPr="00117237" w:rsidSect="003368C4">
          <w:pgSz w:w="11906" w:h="16838" w:code="9"/>
          <w:pgMar w:top="720" w:right="1134" w:bottom="720" w:left="1134" w:header="567" w:footer="567" w:gutter="0"/>
          <w:cols w:space="708"/>
          <w:docGrid w:linePitch="360"/>
        </w:sectPr>
      </w:pPr>
      <w:r w:rsidRPr="00117237">
        <w:rPr>
          <w:i/>
          <w:iCs/>
          <w:noProof/>
          <w:color w:val="931B2F" w:themeColor="accent1"/>
        </w:rPr>
        <w:drawing>
          <wp:inline distT="0" distB="0" distL="0" distR="0" wp14:anchorId="3711E19B" wp14:editId="0927737A">
            <wp:extent cx="6191499" cy="1224932"/>
            <wp:effectExtent l="0" t="0" r="0" b="0"/>
            <wp:docPr id="1147393050" name="Picture 11" descr="The image displays a four-step process diagram for developing and implementing a gender equality action plan within an organisation, specifically in the context of TAFE institutions.&#10;&#10;    The first box, titled Step 1: Connect and Align, lists tasks such as gaining leadership buy-in, appointing a project sponsor and lead, creating a Respect and Equality Working Group, and aligning the initiative with existing organisational strategies.&#10;&#10;    The second box, Step 2: Self-Assessment, highlights gathering data on gender equality and completing a self-assessment tool.&#10;&#10;    The third box, Step 3: Gender Equality Action Plan, focuses on creating an action plan, developing a monitoring plan, and building internal and external partnerships to support implementation.&#10;&#10;    The final box, Step 4: Implement the action plan, summarises monitoring and reviewing the plan based on collected data.&#10;&#10;Each step is clearly delineated with bullet points, providing a concise visual guide to the process of advancing gender equality in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93050" name="Picture 11" descr="The image displays a four-step process diagram for developing and implementing a gender equality action plan within an organisation, specifically in the context of TAFE institutions.&#10;&#10;    The first box, titled Step 1: Connect and Align, lists tasks such as gaining leadership buy-in, appointing a project sponsor and lead, creating a Respect and Equality Working Group, and aligning the initiative with existing organisational strategies.&#10;&#10;    The second box, Step 2: Self-Assessment, highlights gathering data on gender equality and completing a self-assessment tool.&#10;&#10;    The third box, Step 3: Gender Equality Action Plan, focuses on creating an action plan, developing a monitoring plan, and building internal and external partnerships to support implementation.&#10;&#10;    The final box, Step 4: Implement the action plan, summarises monitoring and reviewing the plan based on collected data.&#10;&#10;Each step is clearly delineated with bullet points, providing a concise visual guide to the process of advancing gender equality in the organis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1841" cy="1232913"/>
                    </a:xfrm>
                    <a:prstGeom prst="rect">
                      <a:avLst/>
                    </a:prstGeom>
                    <a:noFill/>
                  </pic:spPr>
                </pic:pic>
              </a:graphicData>
            </a:graphic>
          </wp:inline>
        </w:drawing>
      </w:r>
    </w:p>
    <w:p w14:paraId="28358F1E" w14:textId="46C3906D" w:rsidR="00EC6485" w:rsidRPr="00117237" w:rsidRDefault="00EC6485" w:rsidP="00EC6485">
      <w:pPr>
        <w:tabs>
          <w:tab w:val="num" w:pos="717"/>
        </w:tabs>
        <w:spacing w:before="240" w:after="190"/>
        <w:contextualSpacing/>
        <w:outlineLvl w:val="2"/>
        <w:rPr>
          <w:rFonts w:ascii="Arial Narrow" w:hAnsi="Arial Narrow" w:cs="Times New Roman"/>
          <w:b/>
          <w:bCs/>
          <w:color w:val="931B2F" w:themeColor="accent1"/>
        </w:rPr>
      </w:pPr>
      <w:r w:rsidRPr="00117237">
        <w:rPr>
          <w:rFonts w:ascii="Arial Narrow" w:hAnsi="Arial Narrow" w:cs="Times New Roman"/>
          <w:b/>
          <w:bCs/>
          <w:color w:val="931B2F" w:themeColor="accent1"/>
        </w:rPr>
        <w:lastRenderedPageBreak/>
        <w:t xml:space="preserve">Despite early delays and challenges, there has been strong engagement from </w:t>
      </w:r>
      <w:r w:rsidR="00FA5253" w:rsidRPr="00117237">
        <w:rPr>
          <w:rFonts w:ascii="Arial Narrow" w:hAnsi="Arial Narrow" w:cs="Times New Roman"/>
          <w:b/>
          <w:bCs/>
          <w:color w:val="931B2F" w:themeColor="accent1"/>
        </w:rPr>
        <w:t>TAFEs,</w:t>
      </w:r>
      <w:r w:rsidRPr="00117237">
        <w:rPr>
          <w:rFonts w:ascii="Arial Narrow" w:hAnsi="Arial Narrow" w:cs="Times New Roman"/>
          <w:b/>
          <w:bCs/>
          <w:color w:val="931B2F" w:themeColor="accent1"/>
        </w:rPr>
        <w:t xml:space="preserve"> and the work has progressed effectively.</w:t>
      </w:r>
    </w:p>
    <w:p w14:paraId="29C039E8" w14:textId="6F9CDC93" w:rsidR="00EC6485" w:rsidRPr="00117237" w:rsidRDefault="00EC6485" w:rsidP="00EB221E">
      <w:r w:rsidRPr="00117237">
        <w:t>Our Watch was eventually able to gain buy in from all TAFEs, which is an achievement given the challenges of the TAFE context</w:t>
      </w:r>
      <w:r w:rsidR="001273E2" w:rsidRPr="00117237">
        <w:t xml:space="preserve"> (see Figure </w:t>
      </w:r>
      <w:r w:rsidR="00372579">
        <w:t>7</w:t>
      </w:r>
      <w:r w:rsidR="001273E2" w:rsidRPr="00117237">
        <w:t xml:space="preserve"> for more information).</w:t>
      </w:r>
    </w:p>
    <w:p w14:paraId="03955498" w14:textId="08A9263C" w:rsidR="000E228D" w:rsidRPr="00117237" w:rsidRDefault="00372579" w:rsidP="00372579">
      <w:pPr>
        <w:pStyle w:val="Caption"/>
        <w:rPr>
          <w:b w:val="0"/>
        </w:rPr>
      </w:pPr>
      <w:bookmarkStart w:id="28" w:name="_Toc204168061"/>
      <w:r>
        <w:t xml:space="preserve">Figure </w:t>
      </w:r>
      <w:fldSimple w:instr=" SEQ Figure \* ARABIC ">
        <w:r w:rsidR="00E3688B">
          <w:rPr>
            <w:noProof/>
          </w:rPr>
          <w:t>7</w:t>
        </w:r>
      </w:fldSimple>
      <w:r w:rsidR="000E228D" w:rsidRPr="00117237">
        <w:rPr>
          <w:bCs/>
        </w:rPr>
        <w:t xml:space="preserve">: </w:t>
      </w:r>
      <w:r w:rsidR="001273E2" w:rsidRPr="00117237">
        <w:rPr>
          <w:bCs/>
        </w:rPr>
        <w:t>Summary of outputs of the RET2 project</w:t>
      </w:r>
      <w:bookmarkEnd w:id="28"/>
      <w:r w:rsidR="001273E2" w:rsidRPr="00117237">
        <w:rPr>
          <w:bCs/>
        </w:rPr>
        <w:t xml:space="preserve"> </w:t>
      </w:r>
    </w:p>
    <w:tbl>
      <w:tblPr>
        <w:tblStyle w:val="ColouredTable"/>
        <w:tblW w:w="0" w:type="auto"/>
        <w:tblInd w:w="10" w:type="dxa"/>
        <w:tblLook w:val="04A0" w:firstRow="1" w:lastRow="0" w:firstColumn="1" w:lastColumn="0" w:noHBand="0" w:noVBand="1"/>
      </w:tblPr>
      <w:tblGrid>
        <w:gridCol w:w="7220"/>
        <w:gridCol w:w="1417"/>
        <w:gridCol w:w="1559"/>
        <w:gridCol w:w="1701"/>
        <w:gridCol w:w="1634"/>
        <w:gridCol w:w="1842"/>
      </w:tblGrid>
      <w:tr w:rsidR="00C34137" w:rsidRPr="00117237" w14:paraId="0DD2B82A" w14:textId="77777777" w:rsidTr="00AD0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vAlign w:val="center"/>
          </w:tcPr>
          <w:p w14:paraId="39A478D9" w14:textId="3783D9CE" w:rsidR="00C92C5E" w:rsidRPr="00117237" w:rsidRDefault="00AD002D" w:rsidP="00AD002D">
            <w:pPr>
              <w:spacing w:after="0"/>
              <w:contextualSpacing/>
              <w:jc w:val="center"/>
              <w:outlineLvl w:val="2"/>
              <w:rPr>
                <w:rFonts w:ascii="Arial Narrow" w:hAnsi="Arial Narrow" w:cs="Times New Roman"/>
                <w:b/>
                <w:color w:val="FFFFFF" w:themeColor="background1"/>
                <w:sz w:val="20"/>
              </w:rPr>
            </w:pPr>
            <w:r w:rsidRPr="00117237">
              <w:rPr>
                <w:rFonts w:ascii="Arial Narrow" w:hAnsi="Arial Narrow" w:cs="Times New Roman"/>
                <w:b/>
                <w:color w:val="FFFFFF" w:themeColor="background1"/>
                <w:sz w:val="20"/>
              </w:rPr>
              <w:t>Activity</w:t>
            </w:r>
          </w:p>
        </w:tc>
        <w:tc>
          <w:tcPr>
            <w:tcW w:w="1417" w:type="dxa"/>
            <w:vAlign w:val="center"/>
          </w:tcPr>
          <w:p w14:paraId="75BCF6F8" w14:textId="43020957" w:rsidR="00C92C5E" w:rsidRPr="00117237" w:rsidRDefault="000E3FFD" w:rsidP="00AD002D">
            <w:pPr>
              <w:spacing w:after="0"/>
              <w:contextualSpacing/>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color w:val="FFFFFF" w:themeColor="background1"/>
                <w:sz w:val="20"/>
              </w:rPr>
            </w:pPr>
            <w:r w:rsidRPr="00117237">
              <w:rPr>
                <w:rFonts w:ascii="Arial Narrow" w:hAnsi="Arial Narrow" w:cs="Times New Roman"/>
                <w:b/>
                <w:color w:val="FFFFFF" w:themeColor="background1"/>
                <w:sz w:val="20"/>
              </w:rPr>
              <w:t>BIITE</w:t>
            </w:r>
          </w:p>
        </w:tc>
        <w:tc>
          <w:tcPr>
            <w:tcW w:w="1559" w:type="dxa"/>
            <w:vAlign w:val="center"/>
          </w:tcPr>
          <w:p w14:paraId="6D5B75A3" w14:textId="63F11801" w:rsidR="00C92C5E" w:rsidRPr="00117237" w:rsidRDefault="00C92C5E" w:rsidP="00AD002D">
            <w:pPr>
              <w:spacing w:after="0"/>
              <w:contextualSpacing/>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color w:val="FFFFFF" w:themeColor="background1"/>
                <w:sz w:val="20"/>
              </w:rPr>
            </w:pPr>
            <w:r w:rsidRPr="00117237">
              <w:rPr>
                <w:rFonts w:ascii="Arial Narrow" w:hAnsi="Arial Narrow" w:cs="Times New Roman"/>
                <w:b/>
                <w:color w:val="FFFFFF" w:themeColor="background1"/>
                <w:sz w:val="20"/>
              </w:rPr>
              <w:t>CDU</w:t>
            </w:r>
          </w:p>
        </w:tc>
        <w:tc>
          <w:tcPr>
            <w:tcW w:w="1701" w:type="dxa"/>
            <w:vAlign w:val="center"/>
          </w:tcPr>
          <w:p w14:paraId="68BCDDA2" w14:textId="062D8595" w:rsidR="00C92C5E" w:rsidRPr="00117237" w:rsidRDefault="00C92C5E" w:rsidP="00AD002D">
            <w:pPr>
              <w:spacing w:after="0"/>
              <w:contextualSpacing/>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color w:val="FFFFFF" w:themeColor="background1"/>
                <w:sz w:val="20"/>
              </w:rPr>
            </w:pPr>
            <w:r w:rsidRPr="00117237">
              <w:rPr>
                <w:rFonts w:ascii="Arial Narrow" w:hAnsi="Arial Narrow" w:cs="Times New Roman"/>
                <w:b/>
                <w:color w:val="FFFFFF" w:themeColor="background1"/>
                <w:sz w:val="20"/>
              </w:rPr>
              <w:t>CIT</w:t>
            </w:r>
          </w:p>
        </w:tc>
        <w:tc>
          <w:tcPr>
            <w:tcW w:w="1634" w:type="dxa"/>
            <w:vAlign w:val="center"/>
          </w:tcPr>
          <w:p w14:paraId="308F6D97" w14:textId="0D91595D" w:rsidR="00C92C5E" w:rsidRPr="00117237" w:rsidRDefault="00C92C5E" w:rsidP="00AD002D">
            <w:pPr>
              <w:spacing w:after="0"/>
              <w:contextualSpacing/>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color w:val="FFFFFF" w:themeColor="background1"/>
                <w:sz w:val="20"/>
              </w:rPr>
            </w:pPr>
            <w:r w:rsidRPr="00117237">
              <w:rPr>
                <w:rFonts w:ascii="Arial Narrow" w:hAnsi="Arial Narrow" w:cs="Times New Roman"/>
                <w:b/>
                <w:color w:val="FFFFFF" w:themeColor="background1"/>
                <w:sz w:val="20"/>
              </w:rPr>
              <w:t>TAFE SA</w:t>
            </w:r>
          </w:p>
        </w:tc>
        <w:tc>
          <w:tcPr>
            <w:tcW w:w="1842" w:type="dxa"/>
            <w:vAlign w:val="center"/>
          </w:tcPr>
          <w:p w14:paraId="096BF640" w14:textId="77CAF7E4" w:rsidR="00C92C5E" w:rsidRPr="00117237" w:rsidRDefault="00C92C5E" w:rsidP="00AD002D">
            <w:pPr>
              <w:spacing w:after="0"/>
              <w:contextualSpacing/>
              <w:jc w:val="center"/>
              <w:outlineLvl w:val="2"/>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color w:val="FFFFFF" w:themeColor="background1"/>
                <w:sz w:val="20"/>
              </w:rPr>
            </w:pPr>
            <w:r w:rsidRPr="00117237">
              <w:rPr>
                <w:rFonts w:ascii="Arial Narrow" w:hAnsi="Arial Narrow" w:cs="Times New Roman"/>
                <w:b/>
                <w:color w:val="FFFFFF" w:themeColor="background1"/>
                <w:sz w:val="20"/>
              </w:rPr>
              <w:t>TasTAFE</w:t>
            </w:r>
          </w:p>
        </w:tc>
      </w:tr>
      <w:tr w:rsidR="00D141AE" w:rsidRPr="00117237" w14:paraId="331D9E96" w14:textId="77777777" w:rsidTr="000A21A3">
        <w:trPr>
          <w:trHeight w:val="1083"/>
        </w:trPr>
        <w:tc>
          <w:tcPr>
            <w:cnfStyle w:val="001000000000" w:firstRow="0" w:lastRow="0" w:firstColumn="1" w:lastColumn="0" w:oddVBand="0" w:evenVBand="0" w:oddHBand="0" w:evenHBand="0" w:firstRowFirstColumn="0" w:firstRowLastColumn="0" w:lastRowFirstColumn="0" w:lastRowLastColumn="0"/>
            <w:tcW w:w="7220" w:type="dxa"/>
            <w:shd w:val="clear" w:color="auto" w:fill="F4C6CD" w:themeFill="background2" w:themeFillTint="33"/>
            <w:vAlign w:val="center"/>
          </w:tcPr>
          <w:p w14:paraId="123C372B" w14:textId="71A15A1A" w:rsidR="00D141AE" w:rsidRPr="00117237" w:rsidRDefault="00D141AE" w:rsidP="000A21A3">
            <w:pPr>
              <w:pStyle w:val="ListBullet"/>
              <w:numPr>
                <w:ilvl w:val="0"/>
                <w:numId w:val="0"/>
              </w:numPr>
              <w:spacing w:after="0"/>
              <w:contextualSpacing/>
              <w:rPr>
                <w:b/>
                <w:sz w:val="20"/>
                <w:szCs w:val="18"/>
              </w:rPr>
            </w:pPr>
            <w:r w:rsidRPr="00117237">
              <w:rPr>
                <w:b/>
                <w:sz w:val="20"/>
                <w:szCs w:val="18"/>
              </w:rPr>
              <w:t xml:space="preserve">Signed an </w:t>
            </w:r>
            <w:r w:rsidR="00AA7933" w:rsidRPr="00117237">
              <w:rPr>
                <w:b/>
                <w:sz w:val="20"/>
                <w:szCs w:val="18"/>
              </w:rPr>
              <w:t>MoU</w:t>
            </w:r>
            <w:r w:rsidRPr="00117237">
              <w:rPr>
                <w:b/>
                <w:sz w:val="20"/>
                <w:szCs w:val="18"/>
              </w:rPr>
              <w:t xml:space="preserve"> with Our Watch</w:t>
            </w:r>
            <w:r w:rsidRPr="00117237">
              <w:rPr>
                <w:sz w:val="20"/>
                <w:szCs w:val="18"/>
              </w:rPr>
              <w:t xml:space="preserve">, which is both an enabler for this work and also represents a broader and significant commitment to continue work in this space after the project has ended. The </w:t>
            </w:r>
            <w:r w:rsidR="00AA7933" w:rsidRPr="00117237">
              <w:rPr>
                <w:sz w:val="20"/>
                <w:szCs w:val="18"/>
              </w:rPr>
              <w:t>MoUs</w:t>
            </w:r>
            <w:r w:rsidRPr="00117237">
              <w:rPr>
                <w:sz w:val="20"/>
                <w:szCs w:val="18"/>
              </w:rPr>
              <w:t xml:space="preserve"> also represent buy in from executive and leadership, and can be used to hold TAFEs to account. The presence of the </w:t>
            </w:r>
            <w:r w:rsidR="00377CC0" w:rsidRPr="00117237">
              <w:rPr>
                <w:sz w:val="20"/>
                <w:szCs w:val="18"/>
              </w:rPr>
              <w:t>M</w:t>
            </w:r>
            <w:r w:rsidR="00AA7933" w:rsidRPr="00117237">
              <w:rPr>
                <w:sz w:val="20"/>
                <w:szCs w:val="18"/>
              </w:rPr>
              <w:t>o</w:t>
            </w:r>
            <w:r w:rsidR="00377CC0" w:rsidRPr="00117237">
              <w:rPr>
                <w:sz w:val="20"/>
                <w:szCs w:val="18"/>
              </w:rPr>
              <w:t>U</w:t>
            </w:r>
            <w:r w:rsidRPr="00117237">
              <w:rPr>
                <w:sz w:val="20"/>
                <w:szCs w:val="18"/>
              </w:rPr>
              <w:t xml:space="preserve">s and the traditional and social media generated around them may have acted as a motivating factor between the TAFEs involved in this project to push forward and keep up with their TAFE colleagues. </w:t>
            </w:r>
          </w:p>
        </w:tc>
        <w:tc>
          <w:tcPr>
            <w:tcW w:w="1417" w:type="dxa"/>
            <w:vAlign w:val="center"/>
          </w:tcPr>
          <w:p w14:paraId="2B1D37C7" w14:textId="3617ABF8" w:rsidR="00D141AE" w:rsidRPr="00117237" w:rsidRDefault="00D141AE" w:rsidP="00D141AE">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rPr>
            </w:pPr>
            <w:r w:rsidRPr="00117237">
              <w:rPr>
                <w:rFonts w:ascii="Segoe UI Symbol" w:hAnsi="Segoe UI Symbol" w:cs="Segoe UI Symbol"/>
                <w:sz w:val="20"/>
              </w:rPr>
              <w:t>✓</w:t>
            </w:r>
          </w:p>
        </w:tc>
        <w:tc>
          <w:tcPr>
            <w:tcW w:w="1559" w:type="dxa"/>
            <w:vAlign w:val="center"/>
          </w:tcPr>
          <w:p w14:paraId="1AF187E4" w14:textId="452D099B" w:rsidR="00D141AE" w:rsidRPr="00117237" w:rsidRDefault="00D141AE" w:rsidP="00D141AE">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rPr>
            </w:pPr>
            <w:r w:rsidRPr="00117237">
              <w:rPr>
                <w:rFonts w:ascii="Segoe UI Symbol" w:hAnsi="Segoe UI Symbol" w:cs="Segoe UI Symbol"/>
                <w:sz w:val="20"/>
              </w:rPr>
              <w:t>✓</w:t>
            </w:r>
          </w:p>
        </w:tc>
        <w:tc>
          <w:tcPr>
            <w:tcW w:w="1701" w:type="dxa"/>
            <w:vAlign w:val="center"/>
          </w:tcPr>
          <w:p w14:paraId="3EF6EAF4" w14:textId="6BD66835" w:rsidR="00D141AE" w:rsidRPr="00117237" w:rsidRDefault="00D141AE" w:rsidP="00D141AE">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rPr>
            </w:pPr>
            <w:r w:rsidRPr="00117237">
              <w:rPr>
                <w:rFonts w:ascii="Segoe UI Symbol" w:hAnsi="Segoe UI Symbol" w:cs="Segoe UI Symbol"/>
                <w:sz w:val="20"/>
              </w:rPr>
              <w:t>✓</w:t>
            </w:r>
          </w:p>
        </w:tc>
        <w:tc>
          <w:tcPr>
            <w:tcW w:w="1634" w:type="dxa"/>
            <w:vAlign w:val="center"/>
          </w:tcPr>
          <w:p w14:paraId="21A0642A" w14:textId="1B689E7C" w:rsidR="00D141AE" w:rsidRPr="00117237" w:rsidRDefault="00D141AE" w:rsidP="00D141AE">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rPr>
            </w:pPr>
            <w:r w:rsidRPr="00117237">
              <w:rPr>
                <w:rFonts w:ascii="Segoe UI Symbol" w:hAnsi="Segoe UI Symbol" w:cs="Segoe UI Symbol"/>
                <w:sz w:val="20"/>
              </w:rPr>
              <w:t>✓</w:t>
            </w:r>
          </w:p>
        </w:tc>
        <w:tc>
          <w:tcPr>
            <w:tcW w:w="1842" w:type="dxa"/>
            <w:vAlign w:val="center"/>
          </w:tcPr>
          <w:p w14:paraId="212F6AB6" w14:textId="404281F8" w:rsidR="00D141AE" w:rsidRPr="00117237" w:rsidRDefault="00D141AE" w:rsidP="00D141AE">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rPr>
            </w:pPr>
            <w:r w:rsidRPr="00117237">
              <w:rPr>
                <w:rFonts w:ascii="Segoe UI Symbol" w:hAnsi="Segoe UI Symbol" w:cs="Segoe UI Symbol"/>
                <w:sz w:val="20"/>
              </w:rPr>
              <w:t>✓</w:t>
            </w:r>
          </w:p>
        </w:tc>
      </w:tr>
      <w:tr w:rsidR="00C34137" w:rsidRPr="00117237" w14:paraId="127F313B" w14:textId="77777777" w:rsidTr="000A21A3">
        <w:trPr>
          <w:cnfStyle w:val="000000010000" w:firstRow="0" w:lastRow="0" w:firstColumn="0" w:lastColumn="0" w:oddVBand="0" w:evenVBand="0" w:oddHBand="0" w:evenHBand="1"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7220" w:type="dxa"/>
            <w:shd w:val="clear" w:color="auto" w:fill="F4C6CD" w:themeFill="background2" w:themeFillTint="33"/>
            <w:vAlign w:val="center"/>
          </w:tcPr>
          <w:p w14:paraId="67EFDE99" w14:textId="4C741C7B" w:rsidR="00C92C5E" w:rsidRPr="00117237" w:rsidRDefault="00C92C5E" w:rsidP="000A21A3">
            <w:pPr>
              <w:pStyle w:val="ListBullet"/>
              <w:numPr>
                <w:ilvl w:val="0"/>
                <w:numId w:val="0"/>
              </w:numPr>
              <w:spacing w:after="0"/>
              <w:contextualSpacing/>
              <w:rPr>
                <w:sz w:val="20"/>
                <w:szCs w:val="18"/>
              </w:rPr>
            </w:pPr>
            <w:r w:rsidRPr="00117237">
              <w:rPr>
                <w:b/>
                <w:sz w:val="20"/>
                <w:szCs w:val="18"/>
              </w:rPr>
              <w:t>Organised an internal Working Group</w:t>
            </w:r>
            <w:r w:rsidRPr="00117237">
              <w:rPr>
                <w:sz w:val="20"/>
                <w:szCs w:val="18"/>
              </w:rPr>
              <w:t xml:space="preserve"> and participated in meetings arranged by and supported by Our Watch. This involved receiving tasks to be completed in between meetings, holding space for meetings and participating in respectful and collaborative discussion. </w:t>
            </w:r>
          </w:p>
        </w:tc>
        <w:tc>
          <w:tcPr>
            <w:tcW w:w="1417" w:type="dxa"/>
            <w:vAlign w:val="center"/>
          </w:tcPr>
          <w:p w14:paraId="783B8E63" w14:textId="6EF97C85" w:rsidR="00C92C5E" w:rsidRPr="00117237" w:rsidRDefault="00B47388" w:rsidP="00AD002D">
            <w:pPr>
              <w:spacing w:after="0"/>
              <w:ind w:left="357" w:hanging="357"/>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559" w:type="dxa"/>
            <w:vAlign w:val="center"/>
          </w:tcPr>
          <w:p w14:paraId="1FD26101" w14:textId="7A7D5C67" w:rsidR="00C92C5E" w:rsidRPr="00117237" w:rsidRDefault="00B47388" w:rsidP="00AD002D">
            <w:pPr>
              <w:spacing w:after="0"/>
              <w:ind w:left="357" w:hanging="357"/>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701" w:type="dxa"/>
            <w:vAlign w:val="center"/>
          </w:tcPr>
          <w:p w14:paraId="64E032B6" w14:textId="364EDA7F" w:rsidR="00C92C5E" w:rsidRPr="00117237" w:rsidRDefault="00B47388" w:rsidP="00AD002D">
            <w:pPr>
              <w:spacing w:after="0"/>
              <w:ind w:left="357" w:hanging="357"/>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634" w:type="dxa"/>
            <w:vAlign w:val="center"/>
          </w:tcPr>
          <w:p w14:paraId="080657AC" w14:textId="0A211661" w:rsidR="00C92C5E" w:rsidRPr="00117237" w:rsidRDefault="00B47388" w:rsidP="00AD002D">
            <w:pPr>
              <w:spacing w:after="0"/>
              <w:ind w:left="357" w:hanging="357"/>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842" w:type="dxa"/>
            <w:vAlign w:val="center"/>
          </w:tcPr>
          <w:p w14:paraId="765E1602" w14:textId="32642B5B" w:rsidR="00C92C5E" w:rsidRPr="00117237" w:rsidRDefault="00B47388" w:rsidP="00AD002D">
            <w:pPr>
              <w:spacing w:after="0"/>
              <w:ind w:left="357" w:hanging="357"/>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r>
      <w:tr w:rsidR="00210EED" w:rsidRPr="00117237" w14:paraId="2980144E" w14:textId="77777777" w:rsidTr="000A21A3">
        <w:trPr>
          <w:trHeight w:val="818"/>
        </w:trPr>
        <w:tc>
          <w:tcPr>
            <w:cnfStyle w:val="001000000000" w:firstRow="0" w:lastRow="0" w:firstColumn="1" w:lastColumn="0" w:oddVBand="0" w:evenVBand="0" w:oddHBand="0" w:evenHBand="0" w:firstRowFirstColumn="0" w:firstRowLastColumn="0" w:lastRowFirstColumn="0" w:lastRowLastColumn="0"/>
            <w:tcW w:w="7220" w:type="dxa"/>
            <w:shd w:val="clear" w:color="auto" w:fill="F4C6CD" w:themeFill="background2" w:themeFillTint="33"/>
            <w:vAlign w:val="center"/>
          </w:tcPr>
          <w:p w14:paraId="34906A7E" w14:textId="4EBA521E" w:rsidR="00C92C5E" w:rsidRPr="00117237" w:rsidRDefault="00C92C5E" w:rsidP="000A21A3">
            <w:pPr>
              <w:pStyle w:val="ListBullet"/>
              <w:numPr>
                <w:ilvl w:val="0"/>
                <w:numId w:val="0"/>
              </w:numPr>
              <w:spacing w:after="0"/>
              <w:contextualSpacing/>
              <w:rPr>
                <w:sz w:val="20"/>
                <w:szCs w:val="18"/>
              </w:rPr>
            </w:pPr>
            <w:r w:rsidRPr="00117237">
              <w:rPr>
                <w:b/>
                <w:sz w:val="20"/>
                <w:szCs w:val="18"/>
              </w:rPr>
              <w:t>Participated in Communities of Practice</w:t>
            </w:r>
            <w:r w:rsidRPr="00117237">
              <w:rPr>
                <w:sz w:val="20"/>
                <w:szCs w:val="18"/>
              </w:rPr>
              <w:t xml:space="preserve"> meetings with colleagues from other TAFEs. These were praised by TAFE stakeholders as valuable opportunities to share stories, ideas, wins and discuss common problems they were having. </w:t>
            </w:r>
          </w:p>
        </w:tc>
        <w:tc>
          <w:tcPr>
            <w:tcW w:w="1417" w:type="dxa"/>
            <w:vAlign w:val="center"/>
          </w:tcPr>
          <w:p w14:paraId="2352373F" w14:textId="47E00AAA" w:rsidR="00C92C5E" w:rsidRPr="00117237" w:rsidRDefault="00B47388" w:rsidP="00AD002D">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559" w:type="dxa"/>
            <w:vAlign w:val="center"/>
          </w:tcPr>
          <w:p w14:paraId="241E2CB4" w14:textId="7905F5F8" w:rsidR="00C92C5E" w:rsidRPr="00117237" w:rsidRDefault="00B47388" w:rsidP="00AD002D">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701" w:type="dxa"/>
            <w:vAlign w:val="center"/>
          </w:tcPr>
          <w:p w14:paraId="34A5AD70" w14:textId="74BA1F9B" w:rsidR="00C92C5E" w:rsidRPr="00117237" w:rsidRDefault="00B47388" w:rsidP="00AD002D">
            <w:pPr>
              <w:spacing w:after="0"/>
              <w:ind w:left="357" w:hanging="357"/>
              <w:contextualSpacing/>
              <w:jc w:val="center"/>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634" w:type="dxa"/>
            <w:vAlign w:val="center"/>
          </w:tcPr>
          <w:p w14:paraId="52FB766E" w14:textId="235B6888" w:rsidR="00C92C5E" w:rsidRPr="00117237" w:rsidRDefault="00B47388" w:rsidP="00AD002D">
            <w:pPr>
              <w:spacing w:after="0"/>
              <w:contextualSpacing/>
              <w:jc w:val="center"/>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842" w:type="dxa"/>
            <w:vAlign w:val="center"/>
          </w:tcPr>
          <w:p w14:paraId="13FB4483" w14:textId="04C6008D" w:rsidR="00C92C5E" w:rsidRPr="00117237" w:rsidRDefault="00B47388" w:rsidP="00AD002D">
            <w:pPr>
              <w:spacing w:after="0"/>
              <w:contextualSpacing/>
              <w:jc w:val="center"/>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r>
      <w:tr w:rsidR="00C34137" w:rsidRPr="00117237" w14:paraId="6EEFAAA8" w14:textId="77777777" w:rsidTr="00A70E9E">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7220" w:type="dxa"/>
            <w:shd w:val="clear" w:color="auto" w:fill="F4C6CD" w:themeFill="background2" w:themeFillTint="33"/>
            <w:vAlign w:val="center"/>
          </w:tcPr>
          <w:p w14:paraId="0B8E75CB" w14:textId="19016ABE" w:rsidR="00C92C5E" w:rsidRPr="00117237" w:rsidRDefault="00C92C5E" w:rsidP="000A21A3">
            <w:pPr>
              <w:spacing w:after="0"/>
              <w:contextualSpacing/>
              <w:outlineLvl w:val="2"/>
              <w:rPr>
                <w:rFonts w:ascii="Arial Narrow" w:hAnsi="Arial Narrow" w:cs="Times New Roman"/>
                <w:b/>
                <w:color w:val="FFFFFF" w:themeColor="background1"/>
                <w:sz w:val="20"/>
                <w:szCs w:val="18"/>
              </w:rPr>
            </w:pPr>
            <w:r w:rsidRPr="00117237">
              <w:rPr>
                <w:b/>
                <w:sz w:val="20"/>
                <w:szCs w:val="18"/>
              </w:rPr>
              <w:t>Attended in-person Summits organised by Our Watch</w:t>
            </w:r>
            <w:r w:rsidRPr="00117237">
              <w:rPr>
                <w:sz w:val="20"/>
                <w:szCs w:val="18"/>
              </w:rPr>
              <w:t>. Summit 1 included TAFE colleagues only in the RET 2 project, and Summit 2 included TAFEs from other jurisdictions, Our Watch stakeholders from other departments and one JSC stakeholder</w:t>
            </w:r>
            <w:r w:rsidR="00443E83" w:rsidRPr="00117237">
              <w:rPr>
                <w:sz w:val="20"/>
                <w:szCs w:val="18"/>
              </w:rPr>
              <w:t>.</w:t>
            </w:r>
          </w:p>
        </w:tc>
        <w:tc>
          <w:tcPr>
            <w:tcW w:w="1417" w:type="dxa"/>
            <w:vAlign w:val="center"/>
          </w:tcPr>
          <w:p w14:paraId="7349A949" w14:textId="1A9C83D7" w:rsidR="00C92C5E" w:rsidRPr="00117237" w:rsidRDefault="00B47388" w:rsidP="00AD002D">
            <w:pPr>
              <w:spacing w:after="0"/>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559" w:type="dxa"/>
            <w:vAlign w:val="center"/>
          </w:tcPr>
          <w:p w14:paraId="6BF0583B" w14:textId="747B83E4" w:rsidR="00C92C5E" w:rsidRPr="00117237" w:rsidRDefault="00F9665F" w:rsidP="00AD002D">
            <w:pPr>
              <w:spacing w:after="0"/>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701" w:type="dxa"/>
            <w:vAlign w:val="center"/>
          </w:tcPr>
          <w:p w14:paraId="7E75B7A8" w14:textId="78FAFCFA" w:rsidR="00C92C5E" w:rsidRPr="00A70E9E" w:rsidRDefault="00A70E9E" w:rsidP="00A70E9E">
            <w:pPr>
              <w:spacing w:after="0"/>
              <w:ind w:left="360" w:hanging="360"/>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r>
              <w:rPr>
                <w:rStyle w:val="FootnoteReference"/>
                <w:rFonts w:ascii="Arial Narrow" w:hAnsi="Arial Narrow" w:cs="Times New Roman"/>
                <w:sz w:val="20"/>
              </w:rPr>
              <w:footnoteReference w:id="67"/>
            </w:r>
          </w:p>
        </w:tc>
        <w:tc>
          <w:tcPr>
            <w:tcW w:w="1634" w:type="dxa"/>
            <w:vAlign w:val="center"/>
          </w:tcPr>
          <w:p w14:paraId="05139B5A" w14:textId="3A1EF3EC" w:rsidR="00C92C5E" w:rsidRPr="00117237" w:rsidRDefault="00B47388" w:rsidP="00AD002D">
            <w:pPr>
              <w:spacing w:after="0"/>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c>
          <w:tcPr>
            <w:tcW w:w="1842" w:type="dxa"/>
            <w:vAlign w:val="center"/>
          </w:tcPr>
          <w:p w14:paraId="5C3B6DC9" w14:textId="5080653F" w:rsidR="00C92C5E" w:rsidRPr="00117237" w:rsidRDefault="00B47388" w:rsidP="00AD002D">
            <w:pPr>
              <w:spacing w:after="0"/>
              <w:contextualSpacing/>
              <w:jc w:val="center"/>
              <w:outlineLvl w:val="2"/>
              <w:cnfStyle w:val="000000010000" w:firstRow="0" w:lastRow="0" w:firstColumn="0" w:lastColumn="0" w:oddVBand="0" w:evenVBand="0" w:oddHBand="0" w:evenHBand="1" w:firstRowFirstColumn="0" w:firstRowLastColumn="0" w:lastRowFirstColumn="0" w:lastRowLastColumn="0"/>
              <w:rPr>
                <w:rFonts w:ascii="Arial Narrow" w:hAnsi="Arial Narrow" w:cs="Times New Roman"/>
                <w:sz w:val="20"/>
              </w:rPr>
            </w:pPr>
            <w:r w:rsidRPr="00117237">
              <w:rPr>
                <w:rFonts w:ascii="Segoe UI Symbol" w:hAnsi="Segoe UI Symbol" w:cs="Segoe UI Symbol"/>
                <w:sz w:val="20"/>
              </w:rPr>
              <w:t>✓</w:t>
            </w:r>
          </w:p>
        </w:tc>
      </w:tr>
      <w:tr w:rsidR="00FE757E" w:rsidRPr="00117237" w14:paraId="149D1E9A" w14:textId="77777777" w:rsidTr="000A21A3">
        <w:trPr>
          <w:trHeight w:val="557"/>
        </w:trPr>
        <w:tc>
          <w:tcPr>
            <w:cnfStyle w:val="001000000000" w:firstRow="0" w:lastRow="0" w:firstColumn="1" w:lastColumn="0" w:oddVBand="0" w:evenVBand="0" w:oddHBand="0" w:evenHBand="0" w:firstRowFirstColumn="0" w:firstRowLastColumn="0" w:lastRowFirstColumn="0" w:lastRowLastColumn="0"/>
            <w:tcW w:w="7220" w:type="dxa"/>
            <w:shd w:val="clear" w:color="auto" w:fill="F4C6CD" w:themeFill="background2" w:themeFillTint="33"/>
            <w:vAlign w:val="center"/>
          </w:tcPr>
          <w:p w14:paraId="7B72EBC9" w14:textId="05A7B97E" w:rsidR="00C92C5E" w:rsidRPr="00117237" w:rsidRDefault="00C92C5E" w:rsidP="000A21A3">
            <w:pPr>
              <w:pStyle w:val="ListBullet"/>
              <w:numPr>
                <w:ilvl w:val="0"/>
                <w:numId w:val="0"/>
              </w:numPr>
              <w:spacing w:after="0"/>
              <w:contextualSpacing/>
              <w:rPr>
                <w:sz w:val="20"/>
                <w:szCs w:val="18"/>
              </w:rPr>
            </w:pPr>
            <w:r w:rsidRPr="00117237">
              <w:rPr>
                <w:b/>
                <w:sz w:val="20"/>
                <w:szCs w:val="18"/>
              </w:rPr>
              <w:t>Are developing or have completed their Gender Equality Action Plan</w:t>
            </w:r>
            <w:r w:rsidRPr="00117237">
              <w:rPr>
                <w:sz w:val="20"/>
                <w:szCs w:val="18"/>
              </w:rPr>
              <w:t xml:space="preserve">. </w:t>
            </w:r>
            <w:r w:rsidR="00A70E9E">
              <w:rPr>
                <w:sz w:val="20"/>
                <w:szCs w:val="18"/>
              </w:rPr>
              <w:t xml:space="preserve">At the time of writing, </w:t>
            </w:r>
            <w:r w:rsidRPr="00117237">
              <w:rPr>
                <w:sz w:val="20"/>
                <w:szCs w:val="18"/>
              </w:rPr>
              <w:t xml:space="preserve">CIT is the only TAFE to have completed their action plan and have it currently being implemented. The four remaining TAFEs are in various stages of developing their plan: TAFE SA have completed the plan and are awaiting executive endorsement, and CDU, </w:t>
            </w:r>
            <w:r w:rsidR="000E3FFD" w:rsidRPr="00117237">
              <w:rPr>
                <w:sz w:val="20"/>
                <w:szCs w:val="18"/>
              </w:rPr>
              <w:t>BIITE</w:t>
            </w:r>
            <w:r w:rsidRPr="00117237">
              <w:rPr>
                <w:sz w:val="20"/>
                <w:szCs w:val="18"/>
              </w:rPr>
              <w:t xml:space="preserve"> and TasTAFE are continuing to develop their action plans.</w:t>
            </w:r>
          </w:p>
        </w:tc>
        <w:tc>
          <w:tcPr>
            <w:tcW w:w="1417" w:type="dxa"/>
            <w:vAlign w:val="center"/>
          </w:tcPr>
          <w:p w14:paraId="02CC687F" w14:textId="268D4768" w:rsidR="00C92C5E" w:rsidRPr="00117237" w:rsidRDefault="00861254" w:rsidP="00756D65">
            <w:pPr>
              <w:pStyle w:val="ListParagraph"/>
              <w:numPr>
                <w:ilvl w:val="0"/>
                <w:numId w:val="15"/>
              </w:numPr>
              <w:spacing w:after="0"/>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Arial Narrow" w:hAnsi="Arial Narrow" w:cs="Times New Roman"/>
                <w:sz w:val="20"/>
              </w:rPr>
              <w:t>Is currently developing their action plan.</w:t>
            </w:r>
          </w:p>
        </w:tc>
        <w:tc>
          <w:tcPr>
            <w:tcW w:w="1559" w:type="dxa"/>
            <w:vAlign w:val="center"/>
          </w:tcPr>
          <w:p w14:paraId="76D187F5" w14:textId="56CAF0EA" w:rsidR="00C92C5E" w:rsidRPr="00117237" w:rsidRDefault="00861254" w:rsidP="00756D65">
            <w:pPr>
              <w:pStyle w:val="ListParagraph"/>
              <w:numPr>
                <w:ilvl w:val="0"/>
                <w:numId w:val="15"/>
              </w:numPr>
              <w:spacing w:after="0"/>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Arial Narrow" w:hAnsi="Arial Narrow" w:cs="Times New Roman"/>
                <w:sz w:val="20"/>
              </w:rPr>
              <w:t>Is currently developing their action plan.</w:t>
            </w:r>
          </w:p>
        </w:tc>
        <w:tc>
          <w:tcPr>
            <w:tcW w:w="1701" w:type="dxa"/>
            <w:vAlign w:val="center"/>
          </w:tcPr>
          <w:p w14:paraId="5F59A835" w14:textId="5B222152" w:rsidR="00C92C5E" w:rsidRPr="00117237" w:rsidRDefault="00861254" w:rsidP="00756D65">
            <w:pPr>
              <w:pStyle w:val="ListParagraph"/>
              <w:numPr>
                <w:ilvl w:val="0"/>
                <w:numId w:val="15"/>
              </w:numPr>
              <w:spacing w:after="0"/>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Arial Narrow" w:hAnsi="Arial Narrow" w:cs="Times New Roman"/>
                <w:sz w:val="20"/>
              </w:rPr>
              <w:t>Has completed and is currently implementing their action plan.</w:t>
            </w:r>
          </w:p>
        </w:tc>
        <w:tc>
          <w:tcPr>
            <w:tcW w:w="1634" w:type="dxa"/>
            <w:vAlign w:val="center"/>
          </w:tcPr>
          <w:p w14:paraId="0D96E0E2" w14:textId="4CF6B1F7" w:rsidR="00C92C5E" w:rsidRPr="00117237" w:rsidRDefault="00E55611" w:rsidP="00756D65">
            <w:pPr>
              <w:pStyle w:val="ListParagraph"/>
              <w:numPr>
                <w:ilvl w:val="0"/>
                <w:numId w:val="15"/>
              </w:numPr>
              <w:spacing w:after="0"/>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Arial Narrow" w:hAnsi="Arial Narrow" w:cs="Times New Roman"/>
                <w:sz w:val="20"/>
              </w:rPr>
              <w:t xml:space="preserve">Has completed their </w:t>
            </w:r>
            <w:r w:rsidR="00212779" w:rsidRPr="00117237">
              <w:rPr>
                <w:rFonts w:ascii="Arial Narrow" w:hAnsi="Arial Narrow" w:cs="Times New Roman"/>
                <w:sz w:val="20"/>
              </w:rPr>
              <w:t xml:space="preserve">action plan and is awaiting </w:t>
            </w:r>
            <w:r w:rsidR="00F0561B" w:rsidRPr="00117237">
              <w:rPr>
                <w:rFonts w:ascii="Arial Narrow" w:hAnsi="Arial Narrow" w:cs="Times New Roman"/>
                <w:sz w:val="20"/>
              </w:rPr>
              <w:t>executive endorsement</w:t>
            </w:r>
            <w:r w:rsidR="007F2F5D" w:rsidRPr="00117237">
              <w:rPr>
                <w:rFonts w:ascii="Arial Narrow" w:hAnsi="Arial Narrow" w:cs="Times New Roman"/>
                <w:sz w:val="20"/>
              </w:rPr>
              <w:t>.</w:t>
            </w:r>
          </w:p>
        </w:tc>
        <w:tc>
          <w:tcPr>
            <w:tcW w:w="1842" w:type="dxa"/>
            <w:vAlign w:val="center"/>
          </w:tcPr>
          <w:p w14:paraId="703DF998" w14:textId="531731A5" w:rsidR="00C92C5E" w:rsidRPr="00117237" w:rsidRDefault="007F2F5D" w:rsidP="00756D65">
            <w:pPr>
              <w:pStyle w:val="ListParagraph"/>
              <w:numPr>
                <w:ilvl w:val="0"/>
                <w:numId w:val="15"/>
              </w:numPr>
              <w:spacing w:after="0"/>
              <w:outlineLvl w:val="2"/>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17237">
              <w:rPr>
                <w:rFonts w:ascii="Arial Narrow" w:hAnsi="Arial Narrow" w:cs="Times New Roman"/>
                <w:sz w:val="20"/>
              </w:rPr>
              <w:t xml:space="preserve">Is currently developing their action plan couched within a broader </w:t>
            </w:r>
            <w:r w:rsidR="008B6926" w:rsidRPr="00117237">
              <w:rPr>
                <w:rFonts w:ascii="Arial Narrow" w:hAnsi="Arial Narrow" w:cs="Times New Roman"/>
                <w:sz w:val="20"/>
              </w:rPr>
              <w:t xml:space="preserve">diversity, equity and inclusion (DEI) </w:t>
            </w:r>
            <w:r w:rsidRPr="00117237">
              <w:rPr>
                <w:rFonts w:ascii="Arial Narrow" w:hAnsi="Arial Narrow" w:cs="Times New Roman"/>
                <w:sz w:val="20"/>
              </w:rPr>
              <w:t>strategy.</w:t>
            </w:r>
          </w:p>
        </w:tc>
      </w:tr>
    </w:tbl>
    <w:p w14:paraId="7EB0C6A8" w14:textId="2CDDE971" w:rsidR="006954A9" w:rsidRPr="00117237" w:rsidRDefault="00007D85" w:rsidP="00007D85">
      <w:pPr>
        <w:pStyle w:val="Heading3Normal"/>
      </w:pPr>
      <w:r w:rsidRPr="00117237">
        <w:lastRenderedPageBreak/>
        <w:t>P</w:t>
      </w:r>
      <w:r w:rsidR="006954A9" w:rsidRPr="00117237">
        <w:t xml:space="preserve">roject principles have </w:t>
      </w:r>
      <w:r w:rsidR="004B0047" w:rsidRPr="00117237">
        <w:t xml:space="preserve">contributed to an effective </w:t>
      </w:r>
      <w:r w:rsidRPr="00117237">
        <w:t>implementation</w:t>
      </w:r>
      <w:r w:rsidR="004B0047" w:rsidRPr="00117237">
        <w:t>,</w:t>
      </w:r>
      <w:r w:rsidRPr="00117237">
        <w:t xml:space="preserve"> and </w:t>
      </w:r>
      <w:r w:rsidR="006954A9" w:rsidRPr="00117237">
        <w:t>influenced</w:t>
      </w:r>
      <w:r w:rsidRPr="00117237">
        <w:t xml:space="preserve"> outcomes</w:t>
      </w:r>
      <w:r w:rsidR="004B0047" w:rsidRPr="00117237">
        <w:t xml:space="preserve">. </w:t>
      </w:r>
    </w:p>
    <w:p w14:paraId="0BE01251" w14:textId="3B4ED795" w:rsidR="00CF7AAD" w:rsidRPr="00117237" w:rsidRDefault="00CF7AAD" w:rsidP="00D22F89">
      <w:r w:rsidRPr="00117237">
        <w:t xml:space="preserve">In Figure </w:t>
      </w:r>
      <w:r w:rsidR="00372579">
        <w:t>8</w:t>
      </w:r>
      <w:r w:rsidR="00013BFB" w:rsidRPr="00117237">
        <w:t xml:space="preserve"> below we have </w:t>
      </w:r>
      <w:r w:rsidR="00C82752" w:rsidRPr="00117237">
        <w:t>assess</w:t>
      </w:r>
      <w:r w:rsidR="00DC5816" w:rsidRPr="00117237">
        <w:t>ed</w:t>
      </w:r>
      <w:r w:rsidR="00C82752" w:rsidRPr="00117237">
        <w:t xml:space="preserve"> what each project principle looked like in practice</w:t>
      </w:r>
      <w:r w:rsidR="00D96BB3" w:rsidRPr="00117237">
        <w:t xml:space="preserve"> and </w:t>
      </w:r>
      <w:r w:rsidR="00DC5816" w:rsidRPr="00117237">
        <w:t>the</w:t>
      </w:r>
      <w:r w:rsidR="00D96BB3" w:rsidRPr="00117237">
        <w:t xml:space="preserve"> influence </w:t>
      </w:r>
      <w:r w:rsidR="00DC5816" w:rsidRPr="00117237">
        <w:t xml:space="preserve">we believe </w:t>
      </w:r>
      <w:r w:rsidR="009F1D84" w:rsidRPr="00117237">
        <w:t xml:space="preserve">it had </w:t>
      </w:r>
      <w:r w:rsidR="00D96BB3" w:rsidRPr="00117237">
        <w:t>on project outcomes</w:t>
      </w:r>
      <w:r w:rsidR="008F39CE" w:rsidRPr="00117237">
        <w:t xml:space="preserve">. </w:t>
      </w:r>
      <w:r w:rsidR="002B6F55" w:rsidRPr="00117237">
        <w:t>We fo</w:t>
      </w:r>
      <w:r w:rsidR="0070686E" w:rsidRPr="00117237">
        <w:t>und that the majority of project principles had a strong influence</w:t>
      </w:r>
      <w:r w:rsidR="00AE156E" w:rsidRPr="00117237">
        <w:t>,</w:t>
      </w:r>
      <w:r w:rsidR="0070686E" w:rsidRPr="00117237">
        <w:t xml:space="preserve"> meaning there is evidence </w:t>
      </w:r>
      <w:r w:rsidR="004353EF" w:rsidRPr="00117237">
        <w:t xml:space="preserve">that the ways of working these principles stipulated </w:t>
      </w:r>
      <w:r w:rsidR="00395B89" w:rsidRPr="00117237">
        <w:t xml:space="preserve">had a significant impact on the outcomes achieved. </w:t>
      </w:r>
      <w:r w:rsidR="000E4DE8" w:rsidRPr="00117237">
        <w:t xml:space="preserve">We found that </w:t>
      </w:r>
      <w:r w:rsidR="004D2359" w:rsidRPr="00117237">
        <w:t>the principle regarding use of ‘</w:t>
      </w:r>
      <w:r w:rsidR="00772A17" w:rsidRPr="00117237">
        <w:t>comprehensive thinking and action to redress the inter-related causes of violence against women</w:t>
      </w:r>
      <w:r w:rsidR="00D86326" w:rsidRPr="00117237">
        <w:t>’</w:t>
      </w:r>
      <w:r w:rsidR="00772A17" w:rsidRPr="00117237">
        <w:t xml:space="preserve"> had some influence on project outcomes </w:t>
      </w:r>
      <w:r w:rsidR="00205394" w:rsidRPr="00117237">
        <w:t xml:space="preserve">due to </w:t>
      </w:r>
      <w:r w:rsidR="00946467" w:rsidRPr="00117237">
        <w:t>there</w:t>
      </w:r>
      <w:r w:rsidR="00205394" w:rsidRPr="00117237">
        <w:t xml:space="preserve"> being some evidence that this principle influenced project outcomes, but limited influence across the whole </w:t>
      </w:r>
      <w:r w:rsidR="00027FEE" w:rsidRPr="00117237">
        <w:t xml:space="preserve">of </w:t>
      </w:r>
      <w:r w:rsidR="00205394" w:rsidRPr="00117237">
        <w:t>TAFE</w:t>
      </w:r>
      <w:r w:rsidR="00027FEE" w:rsidRPr="00117237">
        <w:t>s</w:t>
      </w:r>
      <w:r w:rsidR="00205394" w:rsidRPr="00117237">
        <w:t>, due to not all being directly involved in working groups or training.</w:t>
      </w:r>
      <w:r w:rsidR="00027FEE" w:rsidRPr="00117237">
        <w:t xml:space="preserve"> </w:t>
      </w:r>
      <w:r w:rsidR="00E9404B" w:rsidRPr="00117237">
        <w:t>T</w:t>
      </w:r>
      <w:r w:rsidR="00027FEE" w:rsidRPr="00117237">
        <w:t>he influence of the principles regarding ‘centring intersectionality’</w:t>
      </w:r>
      <w:r w:rsidR="00E9404B" w:rsidRPr="00117237">
        <w:t xml:space="preserve"> remains unclear</w:t>
      </w:r>
      <w:r w:rsidR="00E718D4" w:rsidRPr="00117237">
        <w:t xml:space="preserve"> - </w:t>
      </w:r>
      <w:r w:rsidR="00E9404B" w:rsidRPr="00117237">
        <w:t>while i</w:t>
      </w:r>
      <w:r w:rsidR="00027FEE" w:rsidRPr="00117237">
        <w:t>ntersectionality was a key focus of the project team’s approach</w:t>
      </w:r>
      <w:r w:rsidR="00066537" w:rsidRPr="00117237">
        <w:t>,</w:t>
      </w:r>
      <w:r w:rsidR="00EA0200" w:rsidRPr="00117237">
        <w:t xml:space="preserve"> the link between this and the impact on outcomes remains </w:t>
      </w:r>
      <w:r w:rsidR="00D24B2C" w:rsidRPr="00117237">
        <w:t>uncertain</w:t>
      </w:r>
      <w:r w:rsidR="006975F1" w:rsidRPr="00117237">
        <w:t xml:space="preserve"> (see table below for further explanation)</w:t>
      </w:r>
      <w:r w:rsidR="00EA0200" w:rsidRPr="00117237">
        <w:t>.</w:t>
      </w:r>
      <w:r w:rsidR="00F612F1" w:rsidRPr="00117237">
        <w:t xml:space="preserve"> These principles may also have wider applicability for broader prevention work and other prevention initiatives. </w:t>
      </w:r>
    </w:p>
    <w:p w14:paraId="7DAF6FAF" w14:textId="7FAE7E03" w:rsidR="00013BFB" w:rsidRPr="00117237" w:rsidRDefault="00372579" w:rsidP="00372579">
      <w:pPr>
        <w:pStyle w:val="Caption"/>
      </w:pPr>
      <w:bookmarkStart w:id="29" w:name="_Toc204168062"/>
      <w:r>
        <w:t xml:space="preserve">Figure </w:t>
      </w:r>
      <w:fldSimple w:instr=" SEQ Figure \* ARABIC ">
        <w:r w:rsidR="00E3688B">
          <w:rPr>
            <w:noProof/>
          </w:rPr>
          <w:t>8</w:t>
        </w:r>
      </w:fldSimple>
      <w:r w:rsidR="00013BFB" w:rsidRPr="00117237">
        <w:t>: Assessment of influence of project principles on outcomes</w:t>
      </w:r>
      <w:bookmarkEnd w:id="29"/>
    </w:p>
    <w:tbl>
      <w:tblPr>
        <w:tblStyle w:val="TableGrid"/>
        <w:tblpPr w:leftFromText="180" w:rightFromText="180" w:vertAnchor="text" w:tblpY="1"/>
        <w:tblOverlap w:val="neve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024"/>
        <w:gridCol w:w="4961"/>
        <w:gridCol w:w="4201"/>
        <w:gridCol w:w="4192"/>
      </w:tblGrid>
      <w:tr w:rsidR="007A191D" w:rsidRPr="00117237" w14:paraId="471DBFF8" w14:textId="77777777" w:rsidTr="00D24B2C">
        <w:tc>
          <w:tcPr>
            <w:tcW w:w="658" w:type="pct"/>
            <w:shd w:val="clear" w:color="auto" w:fill="FFFFFF" w:themeFill="background1"/>
          </w:tcPr>
          <w:p w14:paraId="186472DE" w14:textId="77777777" w:rsidR="007A191D" w:rsidRPr="00117237" w:rsidRDefault="007A191D" w:rsidP="00D24B2C">
            <w:pPr>
              <w:contextualSpacing/>
              <w:rPr>
                <w:rFonts w:asciiTheme="majorHAnsi" w:hAnsiTheme="majorHAnsi"/>
                <w:b/>
                <w:bCs/>
                <w:color w:val="931B2F" w:themeColor="background2"/>
                <w:sz w:val="20"/>
              </w:rPr>
            </w:pPr>
            <w:r w:rsidRPr="00117237">
              <w:rPr>
                <w:rFonts w:asciiTheme="majorHAnsi" w:hAnsiTheme="majorHAnsi"/>
                <w:b/>
                <w:bCs/>
                <w:color w:val="931B2F" w:themeColor="background2"/>
                <w:sz w:val="20"/>
              </w:rPr>
              <w:t>Principle</w:t>
            </w:r>
          </w:p>
        </w:tc>
        <w:tc>
          <w:tcPr>
            <w:tcW w:w="1613" w:type="pct"/>
            <w:shd w:val="clear" w:color="auto" w:fill="931B2F" w:themeFill="accent1"/>
          </w:tcPr>
          <w:p w14:paraId="609772E8" w14:textId="77777777" w:rsidR="007A191D" w:rsidRPr="00117237" w:rsidRDefault="007A191D" w:rsidP="00D24B2C">
            <w:pPr>
              <w:contextualSpacing/>
              <w:rPr>
                <w:rFonts w:asciiTheme="majorHAnsi" w:hAnsiTheme="majorHAnsi"/>
                <w:b/>
                <w:bCs/>
                <w:color w:val="FFFFFF" w:themeColor="background1"/>
                <w:sz w:val="20"/>
              </w:rPr>
            </w:pPr>
            <w:r w:rsidRPr="00117237">
              <w:rPr>
                <w:rFonts w:asciiTheme="majorHAnsi" w:hAnsiTheme="majorHAnsi"/>
                <w:b/>
                <w:bCs/>
                <w:color w:val="FFFFFF" w:themeColor="background1"/>
                <w:sz w:val="20"/>
              </w:rPr>
              <w:t xml:space="preserve">Adaptable approach to meet TAFEs </w:t>
            </w:r>
          </w:p>
        </w:tc>
        <w:tc>
          <w:tcPr>
            <w:tcW w:w="1366" w:type="pct"/>
            <w:shd w:val="clear" w:color="auto" w:fill="931B2F" w:themeFill="accent1"/>
          </w:tcPr>
          <w:p w14:paraId="2D201A54" w14:textId="77777777" w:rsidR="007A191D" w:rsidRPr="00117237" w:rsidRDefault="007A191D" w:rsidP="00D24B2C">
            <w:pPr>
              <w:contextualSpacing/>
              <w:rPr>
                <w:rFonts w:asciiTheme="majorHAnsi" w:hAnsiTheme="majorHAnsi"/>
                <w:b/>
                <w:bCs/>
                <w:color w:val="FFFFFF" w:themeColor="background1"/>
                <w:sz w:val="20"/>
              </w:rPr>
            </w:pPr>
            <w:r w:rsidRPr="00117237">
              <w:rPr>
                <w:rFonts w:asciiTheme="majorHAnsi" w:hAnsiTheme="majorHAnsi"/>
                <w:b/>
                <w:bCs/>
                <w:color w:val="FFFFFF" w:themeColor="background1"/>
                <w:sz w:val="20"/>
              </w:rPr>
              <w:t>Strong mutual engagement and understanding</w:t>
            </w:r>
          </w:p>
        </w:tc>
        <w:tc>
          <w:tcPr>
            <w:tcW w:w="1363" w:type="pct"/>
            <w:shd w:val="clear" w:color="auto" w:fill="931B2F" w:themeFill="accent1"/>
          </w:tcPr>
          <w:p w14:paraId="439EDF82" w14:textId="77777777" w:rsidR="007A191D" w:rsidRPr="00117237" w:rsidRDefault="007A191D" w:rsidP="00D24B2C">
            <w:pPr>
              <w:contextualSpacing/>
              <w:rPr>
                <w:rFonts w:asciiTheme="majorHAnsi" w:hAnsiTheme="majorHAnsi"/>
                <w:b/>
                <w:bCs/>
                <w:color w:val="FFFFFF" w:themeColor="background1"/>
                <w:sz w:val="20"/>
              </w:rPr>
            </w:pPr>
            <w:r w:rsidRPr="00117237">
              <w:rPr>
                <w:rFonts w:asciiTheme="majorHAnsi" w:hAnsiTheme="majorHAnsi"/>
                <w:b/>
                <w:bCs/>
                <w:color w:val="FFFFFF" w:themeColor="background1"/>
                <w:sz w:val="20"/>
              </w:rPr>
              <w:t xml:space="preserve">Continuous learning and evidence generation </w:t>
            </w:r>
          </w:p>
        </w:tc>
      </w:tr>
      <w:tr w:rsidR="007A191D" w:rsidRPr="00117237" w14:paraId="512922F5" w14:textId="77777777" w:rsidTr="00D24B2C">
        <w:trPr>
          <w:trHeight w:val="57"/>
        </w:trPr>
        <w:tc>
          <w:tcPr>
            <w:tcW w:w="658" w:type="pct"/>
            <w:shd w:val="clear" w:color="auto" w:fill="FFFFFF" w:themeFill="background1"/>
          </w:tcPr>
          <w:p w14:paraId="5B5A68CE" w14:textId="77777777" w:rsidR="007A191D" w:rsidRPr="00117237" w:rsidRDefault="007A191D" w:rsidP="00D24B2C">
            <w:pPr>
              <w:contextualSpacing/>
              <w:rPr>
                <w:rFonts w:asciiTheme="majorHAnsi" w:hAnsiTheme="majorHAnsi"/>
                <w:b/>
                <w:bCs/>
                <w:color w:val="931B2F" w:themeColor="background2"/>
                <w:sz w:val="20"/>
              </w:rPr>
            </w:pPr>
            <w:r w:rsidRPr="00117237">
              <w:rPr>
                <w:rFonts w:asciiTheme="majorHAnsi" w:hAnsiTheme="majorHAnsi"/>
                <w:b/>
                <w:bCs/>
                <w:color w:val="931B2F" w:themeColor="background2"/>
                <w:sz w:val="20"/>
              </w:rPr>
              <w:t>Influence</w:t>
            </w:r>
            <w:r w:rsidRPr="00117237">
              <w:rPr>
                <w:rStyle w:val="FootnoteReference"/>
                <w:rFonts w:asciiTheme="majorHAnsi" w:hAnsiTheme="majorHAnsi"/>
                <w:b w:val="0"/>
                <w:bCs/>
                <w:color w:val="931B2F" w:themeColor="background2"/>
                <w:sz w:val="20"/>
              </w:rPr>
              <w:t xml:space="preserve"> </w:t>
            </w:r>
            <w:r w:rsidRPr="00117237">
              <w:rPr>
                <w:rStyle w:val="FootnoteReference"/>
                <w:rFonts w:asciiTheme="majorHAnsi" w:hAnsiTheme="majorHAnsi"/>
                <w:b w:val="0"/>
                <w:bCs/>
                <w:color w:val="931B2F" w:themeColor="background2"/>
                <w:sz w:val="20"/>
              </w:rPr>
              <w:footnoteReference w:id="68"/>
            </w:r>
            <w:r w:rsidRPr="00117237">
              <w:rPr>
                <w:rFonts w:asciiTheme="majorHAnsi" w:hAnsiTheme="majorHAnsi"/>
                <w:b/>
                <w:bCs/>
                <w:color w:val="931B2F" w:themeColor="background2"/>
                <w:sz w:val="20"/>
              </w:rPr>
              <w:t xml:space="preserve"> </w:t>
            </w:r>
          </w:p>
        </w:tc>
        <w:tc>
          <w:tcPr>
            <w:tcW w:w="1613" w:type="pct"/>
            <w:shd w:val="clear" w:color="auto" w:fill="00B050"/>
          </w:tcPr>
          <w:p w14:paraId="36738D44" w14:textId="77777777" w:rsidR="007A191D" w:rsidRPr="00117237" w:rsidRDefault="007A191D" w:rsidP="00D24B2C">
            <w:pPr>
              <w:contextualSpacing/>
              <w:rPr>
                <w:rFonts w:asciiTheme="majorHAnsi" w:hAnsiTheme="majorHAnsi"/>
                <w:b/>
                <w:bCs/>
                <w:sz w:val="20"/>
              </w:rPr>
            </w:pPr>
            <w:r w:rsidRPr="00117237">
              <w:rPr>
                <w:rFonts w:asciiTheme="majorHAnsi" w:hAnsiTheme="majorHAnsi"/>
                <w:b/>
                <w:sz w:val="20"/>
              </w:rPr>
              <w:t>Strong influence</w:t>
            </w:r>
          </w:p>
        </w:tc>
        <w:tc>
          <w:tcPr>
            <w:tcW w:w="1366" w:type="pct"/>
            <w:shd w:val="clear" w:color="auto" w:fill="00B050"/>
          </w:tcPr>
          <w:p w14:paraId="09FF28CC" w14:textId="77777777" w:rsidR="007A191D" w:rsidRPr="00117237" w:rsidRDefault="007A191D" w:rsidP="00D24B2C">
            <w:pPr>
              <w:contextualSpacing/>
              <w:rPr>
                <w:rFonts w:asciiTheme="majorHAnsi" w:hAnsiTheme="majorHAnsi"/>
                <w:b/>
                <w:bCs/>
                <w:sz w:val="20"/>
              </w:rPr>
            </w:pPr>
            <w:r w:rsidRPr="00117237">
              <w:rPr>
                <w:rFonts w:asciiTheme="majorHAnsi" w:hAnsiTheme="majorHAnsi"/>
                <w:b/>
                <w:bCs/>
                <w:sz w:val="20"/>
              </w:rPr>
              <w:t>Strong influence</w:t>
            </w:r>
          </w:p>
        </w:tc>
        <w:tc>
          <w:tcPr>
            <w:tcW w:w="1363" w:type="pct"/>
            <w:shd w:val="clear" w:color="auto" w:fill="00B050"/>
          </w:tcPr>
          <w:p w14:paraId="1CCCCB57" w14:textId="77777777" w:rsidR="007A191D" w:rsidRPr="00117237" w:rsidRDefault="007A191D" w:rsidP="00D24B2C">
            <w:pPr>
              <w:contextualSpacing/>
              <w:rPr>
                <w:rFonts w:asciiTheme="majorHAnsi" w:hAnsiTheme="majorHAnsi"/>
                <w:b/>
                <w:bCs/>
                <w:sz w:val="20"/>
              </w:rPr>
            </w:pPr>
            <w:r w:rsidRPr="00117237">
              <w:rPr>
                <w:rFonts w:asciiTheme="majorHAnsi" w:hAnsiTheme="majorHAnsi"/>
                <w:b/>
                <w:sz w:val="20"/>
              </w:rPr>
              <w:t>Strong influence</w:t>
            </w:r>
          </w:p>
        </w:tc>
      </w:tr>
      <w:tr w:rsidR="007A191D" w:rsidRPr="00117237" w14:paraId="4C982ECC" w14:textId="77777777" w:rsidTr="00D24B2C">
        <w:trPr>
          <w:trHeight w:val="2542"/>
        </w:trPr>
        <w:tc>
          <w:tcPr>
            <w:tcW w:w="658" w:type="pct"/>
            <w:shd w:val="clear" w:color="auto" w:fill="FFFFFF" w:themeFill="background1"/>
          </w:tcPr>
          <w:p w14:paraId="322F03B8" w14:textId="77777777" w:rsidR="007A191D" w:rsidRPr="00117237" w:rsidRDefault="007A191D" w:rsidP="00D24B2C">
            <w:pPr>
              <w:contextualSpacing/>
              <w:rPr>
                <w:rFonts w:asciiTheme="majorHAnsi" w:hAnsiTheme="majorHAnsi"/>
                <w:b/>
                <w:bCs/>
                <w:color w:val="931B2F" w:themeColor="background2"/>
                <w:sz w:val="20"/>
              </w:rPr>
            </w:pPr>
            <w:r w:rsidRPr="00117237">
              <w:rPr>
                <w:rFonts w:asciiTheme="majorHAnsi" w:hAnsiTheme="majorHAnsi"/>
                <w:b/>
                <w:bCs/>
                <w:color w:val="931B2F" w:themeColor="background2"/>
                <w:sz w:val="20"/>
              </w:rPr>
              <w:t>What it looked like in practice</w:t>
            </w:r>
          </w:p>
        </w:tc>
        <w:tc>
          <w:tcPr>
            <w:tcW w:w="1613" w:type="pct"/>
            <w:shd w:val="clear" w:color="auto" w:fill="FFFFFF" w:themeFill="background1"/>
          </w:tcPr>
          <w:p w14:paraId="50AE8734" w14:textId="77777777" w:rsidR="007A191D" w:rsidRPr="00117237" w:rsidRDefault="007A191D" w:rsidP="00D24B2C">
            <w:pPr>
              <w:contextualSpacing/>
              <w:rPr>
                <w:rFonts w:asciiTheme="majorHAnsi" w:hAnsiTheme="majorHAnsi"/>
                <w:sz w:val="20"/>
              </w:rPr>
            </w:pPr>
            <w:r w:rsidRPr="00117237">
              <w:rPr>
                <w:rFonts w:asciiTheme="majorHAnsi" w:hAnsiTheme="majorHAnsi"/>
                <w:sz w:val="20"/>
              </w:rPr>
              <w:t>The project team:</w:t>
            </w:r>
          </w:p>
          <w:p w14:paraId="5285BC2B" w14:textId="77777777" w:rsidR="007A191D" w:rsidRPr="00117237" w:rsidRDefault="007A191D" w:rsidP="00756D65">
            <w:pPr>
              <w:pStyle w:val="ListParagraph"/>
              <w:numPr>
                <w:ilvl w:val="0"/>
                <w:numId w:val="16"/>
              </w:numPr>
              <w:rPr>
                <w:rFonts w:asciiTheme="majorHAnsi" w:hAnsiTheme="majorHAnsi"/>
                <w:sz w:val="20"/>
              </w:rPr>
            </w:pPr>
            <w:r w:rsidRPr="00117237">
              <w:rPr>
                <w:rFonts w:asciiTheme="majorHAnsi" w:hAnsiTheme="majorHAnsi"/>
                <w:sz w:val="20"/>
              </w:rPr>
              <w:t>Adapted engagement approach to be fit-for-purpose for each TAFE</w:t>
            </w:r>
          </w:p>
          <w:p w14:paraId="6F909522" w14:textId="77777777" w:rsidR="007A191D" w:rsidRPr="00117237" w:rsidRDefault="007A191D" w:rsidP="00756D65">
            <w:pPr>
              <w:pStyle w:val="ListParagraph"/>
              <w:numPr>
                <w:ilvl w:val="0"/>
                <w:numId w:val="16"/>
              </w:numPr>
              <w:rPr>
                <w:rFonts w:asciiTheme="majorHAnsi" w:hAnsiTheme="majorHAnsi"/>
                <w:sz w:val="20"/>
              </w:rPr>
            </w:pPr>
            <w:r w:rsidRPr="00117237">
              <w:rPr>
                <w:rFonts w:asciiTheme="majorHAnsi" w:hAnsiTheme="majorHAnsi"/>
                <w:sz w:val="20"/>
              </w:rPr>
              <w:t xml:space="preserve">Tailored their approach in the NT to use </w:t>
            </w:r>
            <w:r w:rsidRPr="00117237">
              <w:rPr>
                <w:rFonts w:asciiTheme="majorHAnsi" w:hAnsiTheme="majorHAnsi"/>
                <w:i/>
                <w:iCs/>
                <w:sz w:val="20"/>
              </w:rPr>
              <w:t xml:space="preserve">Changing the picture </w:t>
            </w:r>
            <w:r w:rsidRPr="00117237">
              <w:rPr>
                <w:rFonts w:asciiTheme="majorHAnsi" w:hAnsiTheme="majorHAnsi"/>
                <w:sz w:val="20"/>
              </w:rPr>
              <w:t>to ground the approach in the evidence in preventing violence against Aboriginal and Torres Strait Islander women</w:t>
            </w:r>
          </w:p>
          <w:p w14:paraId="18B63F8D" w14:textId="77777777" w:rsidR="007A191D" w:rsidRPr="00117237" w:rsidRDefault="007A191D" w:rsidP="00756D65">
            <w:pPr>
              <w:pStyle w:val="ListParagraph"/>
              <w:numPr>
                <w:ilvl w:val="0"/>
                <w:numId w:val="16"/>
              </w:numPr>
              <w:rPr>
                <w:rFonts w:asciiTheme="majorHAnsi" w:hAnsiTheme="majorHAnsi"/>
                <w:sz w:val="20"/>
              </w:rPr>
            </w:pPr>
            <w:r w:rsidRPr="00117237">
              <w:rPr>
                <w:rFonts w:asciiTheme="majorHAnsi" w:hAnsiTheme="majorHAnsi"/>
                <w:sz w:val="20"/>
              </w:rPr>
              <w:t>Adapted resources and materials, including adding a sixth domain to the RET framework for dual-sector institutions</w:t>
            </w:r>
          </w:p>
        </w:tc>
        <w:tc>
          <w:tcPr>
            <w:tcW w:w="1366" w:type="pct"/>
            <w:shd w:val="clear" w:color="auto" w:fill="FFFFFF" w:themeFill="background1"/>
          </w:tcPr>
          <w:p w14:paraId="22B0C3FD" w14:textId="77777777" w:rsidR="007A191D" w:rsidRPr="00117237" w:rsidRDefault="007A191D" w:rsidP="00D24B2C">
            <w:pPr>
              <w:contextualSpacing/>
              <w:rPr>
                <w:rFonts w:asciiTheme="majorHAnsi" w:hAnsiTheme="majorHAnsi"/>
                <w:sz w:val="20"/>
              </w:rPr>
            </w:pPr>
            <w:r w:rsidRPr="00117237">
              <w:rPr>
                <w:rFonts w:asciiTheme="majorHAnsi" w:hAnsiTheme="majorHAnsi"/>
                <w:sz w:val="20"/>
              </w:rPr>
              <w:t>The project team:</w:t>
            </w:r>
          </w:p>
          <w:p w14:paraId="725B8A7D" w14:textId="77777777" w:rsidR="007A191D" w:rsidRPr="00117237" w:rsidRDefault="007A191D" w:rsidP="00756D65">
            <w:pPr>
              <w:pStyle w:val="ListParagraph"/>
              <w:numPr>
                <w:ilvl w:val="0"/>
                <w:numId w:val="13"/>
              </w:numPr>
              <w:rPr>
                <w:rFonts w:asciiTheme="majorHAnsi" w:hAnsiTheme="majorHAnsi"/>
                <w:sz w:val="20"/>
              </w:rPr>
            </w:pPr>
            <w:r w:rsidRPr="00117237">
              <w:rPr>
                <w:rFonts w:asciiTheme="majorHAnsi" w:hAnsiTheme="majorHAnsi"/>
                <w:sz w:val="20"/>
              </w:rPr>
              <w:t>Engaged in two-way learning with the TAFEs</w:t>
            </w:r>
          </w:p>
          <w:p w14:paraId="3CDCC57C" w14:textId="77777777" w:rsidR="007A191D" w:rsidRPr="00117237" w:rsidRDefault="007A191D" w:rsidP="00756D65">
            <w:pPr>
              <w:pStyle w:val="ListParagraph"/>
              <w:numPr>
                <w:ilvl w:val="0"/>
                <w:numId w:val="13"/>
              </w:numPr>
              <w:rPr>
                <w:rFonts w:asciiTheme="majorHAnsi" w:hAnsiTheme="majorHAnsi"/>
                <w:sz w:val="20"/>
              </w:rPr>
            </w:pPr>
            <w:r w:rsidRPr="00117237">
              <w:rPr>
                <w:rFonts w:asciiTheme="majorHAnsi" w:hAnsiTheme="majorHAnsi"/>
                <w:sz w:val="20"/>
              </w:rPr>
              <w:t>Brought subject matter expertise to encourage TAFEs to recognise their role in primary prevention</w:t>
            </w:r>
          </w:p>
          <w:p w14:paraId="7C910B6C" w14:textId="77777777" w:rsidR="007A191D" w:rsidRPr="00117237" w:rsidRDefault="007A191D" w:rsidP="00756D65">
            <w:pPr>
              <w:pStyle w:val="ListParagraph"/>
              <w:numPr>
                <w:ilvl w:val="0"/>
                <w:numId w:val="13"/>
              </w:numPr>
              <w:rPr>
                <w:rFonts w:asciiTheme="majorHAnsi" w:hAnsiTheme="majorHAnsi"/>
                <w:sz w:val="20"/>
              </w:rPr>
            </w:pPr>
            <w:r w:rsidRPr="00117237">
              <w:rPr>
                <w:rFonts w:asciiTheme="majorHAnsi" w:hAnsiTheme="majorHAnsi"/>
                <w:sz w:val="20"/>
              </w:rPr>
              <w:t>Understood of the variation in TAFE context and listened and learnt from each TAFE</w:t>
            </w:r>
          </w:p>
          <w:p w14:paraId="63702538" w14:textId="77777777" w:rsidR="007A191D" w:rsidRPr="00117237" w:rsidRDefault="007A191D" w:rsidP="00756D65">
            <w:pPr>
              <w:pStyle w:val="ListParagraph"/>
              <w:numPr>
                <w:ilvl w:val="0"/>
                <w:numId w:val="13"/>
              </w:numPr>
              <w:rPr>
                <w:rFonts w:asciiTheme="majorHAnsi" w:hAnsiTheme="majorHAnsi"/>
                <w:sz w:val="20"/>
              </w:rPr>
            </w:pPr>
            <w:r w:rsidRPr="00117237">
              <w:rPr>
                <w:rFonts w:asciiTheme="majorHAnsi" w:hAnsiTheme="majorHAnsi"/>
                <w:sz w:val="20"/>
              </w:rPr>
              <w:t>Fostered mutual respect and trust</w:t>
            </w:r>
          </w:p>
          <w:p w14:paraId="6050C044" w14:textId="77777777" w:rsidR="007A191D" w:rsidRPr="00117237" w:rsidRDefault="007A191D" w:rsidP="00756D65">
            <w:pPr>
              <w:pStyle w:val="ListParagraph"/>
              <w:numPr>
                <w:ilvl w:val="0"/>
                <w:numId w:val="13"/>
              </w:numPr>
              <w:rPr>
                <w:rFonts w:asciiTheme="majorHAnsi" w:hAnsiTheme="majorHAnsi"/>
                <w:sz w:val="20"/>
              </w:rPr>
            </w:pPr>
            <w:r w:rsidRPr="00117237">
              <w:rPr>
                <w:rFonts w:asciiTheme="majorHAnsi" w:hAnsiTheme="majorHAnsi"/>
                <w:sz w:val="20"/>
              </w:rPr>
              <w:t>Formed strong learning relationships with each TAFE</w:t>
            </w:r>
          </w:p>
        </w:tc>
        <w:tc>
          <w:tcPr>
            <w:tcW w:w="1363" w:type="pct"/>
            <w:shd w:val="clear" w:color="auto" w:fill="FFFFFF" w:themeFill="background1"/>
          </w:tcPr>
          <w:p w14:paraId="14ECD243" w14:textId="77777777" w:rsidR="007A191D" w:rsidRPr="00117237" w:rsidRDefault="007A191D" w:rsidP="00D24B2C">
            <w:pPr>
              <w:ind w:left="357" w:hanging="357"/>
              <w:rPr>
                <w:sz w:val="20"/>
              </w:rPr>
            </w:pPr>
            <w:r w:rsidRPr="00117237">
              <w:rPr>
                <w:sz w:val="20"/>
              </w:rPr>
              <w:t>The team participated in:</w:t>
            </w:r>
          </w:p>
          <w:p w14:paraId="5C4B1AD9" w14:textId="77777777" w:rsidR="007A191D" w:rsidRPr="00117237" w:rsidRDefault="007A191D" w:rsidP="00756D65">
            <w:pPr>
              <w:pStyle w:val="ListParagraph"/>
              <w:numPr>
                <w:ilvl w:val="0"/>
                <w:numId w:val="12"/>
              </w:numPr>
              <w:rPr>
                <w:rFonts w:asciiTheme="majorHAnsi" w:hAnsiTheme="majorHAnsi"/>
                <w:sz w:val="20"/>
              </w:rPr>
            </w:pPr>
            <w:r w:rsidRPr="00117237">
              <w:rPr>
                <w:sz w:val="20"/>
              </w:rPr>
              <w:t>Monthly reflection sessions</w:t>
            </w:r>
          </w:p>
          <w:p w14:paraId="4851CDC0" w14:textId="77777777" w:rsidR="007A191D" w:rsidRPr="00117237" w:rsidRDefault="007A191D" w:rsidP="00756D65">
            <w:pPr>
              <w:pStyle w:val="ListParagraph"/>
              <w:numPr>
                <w:ilvl w:val="0"/>
                <w:numId w:val="12"/>
              </w:numPr>
              <w:rPr>
                <w:rFonts w:asciiTheme="majorHAnsi" w:hAnsiTheme="majorHAnsi"/>
                <w:sz w:val="20"/>
              </w:rPr>
            </w:pPr>
            <w:r w:rsidRPr="00117237">
              <w:rPr>
                <w:rFonts w:asciiTheme="majorHAnsi" w:hAnsiTheme="majorHAnsi"/>
                <w:sz w:val="20"/>
              </w:rPr>
              <w:t>Regular post event or working group reflections sessions</w:t>
            </w:r>
          </w:p>
          <w:p w14:paraId="054F0D34" w14:textId="77777777" w:rsidR="007A191D" w:rsidRPr="00117237" w:rsidRDefault="007A191D" w:rsidP="00756D65">
            <w:pPr>
              <w:pStyle w:val="ListParagraph"/>
              <w:numPr>
                <w:ilvl w:val="0"/>
                <w:numId w:val="12"/>
              </w:numPr>
              <w:rPr>
                <w:rFonts w:asciiTheme="majorHAnsi" w:hAnsiTheme="majorHAnsi"/>
                <w:sz w:val="20"/>
              </w:rPr>
            </w:pPr>
            <w:r w:rsidRPr="00117237">
              <w:rPr>
                <w:sz w:val="20"/>
              </w:rPr>
              <w:t>Case studies</w:t>
            </w:r>
          </w:p>
          <w:p w14:paraId="44BA3E2F" w14:textId="77777777" w:rsidR="007A191D" w:rsidRPr="00117237" w:rsidRDefault="007A191D" w:rsidP="00756D65">
            <w:pPr>
              <w:pStyle w:val="ListParagraph"/>
              <w:numPr>
                <w:ilvl w:val="0"/>
                <w:numId w:val="12"/>
              </w:numPr>
              <w:rPr>
                <w:rFonts w:asciiTheme="majorHAnsi" w:hAnsiTheme="majorHAnsi"/>
                <w:sz w:val="20"/>
              </w:rPr>
            </w:pPr>
            <w:r w:rsidRPr="00117237">
              <w:rPr>
                <w:sz w:val="20"/>
              </w:rPr>
              <w:t>A mid-term project review workshop</w:t>
            </w:r>
          </w:p>
          <w:p w14:paraId="37F0770D" w14:textId="77777777" w:rsidR="007A191D" w:rsidRPr="00117237" w:rsidRDefault="007A191D" w:rsidP="00756D65">
            <w:pPr>
              <w:pStyle w:val="ListParagraph"/>
              <w:numPr>
                <w:ilvl w:val="0"/>
                <w:numId w:val="12"/>
              </w:numPr>
              <w:rPr>
                <w:rFonts w:asciiTheme="majorHAnsi" w:hAnsiTheme="majorHAnsi"/>
                <w:sz w:val="20"/>
              </w:rPr>
            </w:pPr>
            <w:r w:rsidRPr="00117237">
              <w:rPr>
                <w:sz w:val="20"/>
              </w:rPr>
              <w:t xml:space="preserve">Integrating learnings </w:t>
            </w:r>
            <w:r w:rsidRPr="00117237">
              <w:rPr>
                <w:rFonts w:asciiTheme="majorHAnsi" w:hAnsiTheme="majorHAnsi"/>
                <w:sz w:val="20"/>
              </w:rPr>
              <w:t>into project processes and materials as a result</w:t>
            </w:r>
          </w:p>
          <w:p w14:paraId="1F140FBB" w14:textId="77777777" w:rsidR="007A191D" w:rsidRPr="00117237" w:rsidRDefault="007A191D" w:rsidP="00D24B2C">
            <w:pPr>
              <w:contextualSpacing/>
              <w:rPr>
                <w:sz w:val="20"/>
              </w:rPr>
            </w:pPr>
            <w:r w:rsidRPr="00117237">
              <w:rPr>
                <w:rFonts w:asciiTheme="majorHAnsi" w:hAnsiTheme="majorHAnsi"/>
                <w:sz w:val="20"/>
              </w:rPr>
              <w:t>This was strengthened through project team w</w:t>
            </w:r>
            <w:r w:rsidRPr="00117237">
              <w:rPr>
                <w:sz w:val="20"/>
              </w:rPr>
              <w:t>orking alongside the internal Our Watch evaluation team.</w:t>
            </w:r>
          </w:p>
        </w:tc>
      </w:tr>
      <w:tr w:rsidR="007A191D" w:rsidRPr="00117237" w14:paraId="5103FA1C" w14:textId="77777777" w:rsidTr="00D24B2C">
        <w:tc>
          <w:tcPr>
            <w:tcW w:w="658" w:type="pct"/>
            <w:shd w:val="clear" w:color="auto" w:fill="FFFFFF" w:themeFill="background1"/>
          </w:tcPr>
          <w:p w14:paraId="0548222D" w14:textId="77777777" w:rsidR="007A191D" w:rsidRPr="00117237" w:rsidRDefault="007A191D" w:rsidP="00D24B2C">
            <w:pPr>
              <w:contextualSpacing/>
              <w:rPr>
                <w:rFonts w:asciiTheme="majorHAnsi" w:hAnsiTheme="majorHAnsi"/>
                <w:b/>
                <w:bCs/>
                <w:color w:val="931B2F" w:themeColor="background2"/>
                <w:sz w:val="20"/>
              </w:rPr>
            </w:pPr>
            <w:r w:rsidRPr="00117237">
              <w:rPr>
                <w:b/>
                <w:color w:val="931B2F" w:themeColor="background2"/>
                <w:sz w:val="20"/>
                <w:szCs w:val="16"/>
              </w:rPr>
              <w:t>How it influenced outcomes</w:t>
            </w:r>
            <w:r w:rsidRPr="00117237">
              <w:rPr>
                <w:rStyle w:val="FootnoteReference"/>
                <w:rFonts w:asciiTheme="majorHAnsi" w:hAnsiTheme="majorHAnsi"/>
                <w:b w:val="0"/>
                <w:color w:val="931B2F" w:themeColor="background2"/>
                <w:sz w:val="16"/>
                <w:szCs w:val="16"/>
              </w:rPr>
              <w:t xml:space="preserve"> </w:t>
            </w:r>
          </w:p>
        </w:tc>
        <w:tc>
          <w:tcPr>
            <w:tcW w:w="1613" w:type="pct"/>
            <w:shd w:val="clear" w:color="auto" w:fill="FFFFFF" w:themeFill="background1"/>
          </w:tcPr>
          <w:p w14:paraId="3B53D890" w14:textId="77777777" w:rsidR="007A191D" w:rsidRPr="00117237" w:rsidRDefault="007A191D" w:rsidP="00D24B2C">
            <w:pPr>
              <w:contextualSpacing/>
              <w:rPr>
                <w:rFonts w:asciiTheme="majorHAnsi" w:hAnsiTheme="majorHAnsi"/>
                <w:sz w:val="20"/>
              </w:rPr>
            </w:pPr>
            <w:r w:rsidRPr="00117237">
              <w:rPr>
                <w:rFonts w:asciiTheme="majorHAnsi" w:hAnsiTheme="majorHAnsi"/>
                <w:sz w:val="20"/>
              </w:rPr>
              <w:t xml:space="preserve">Adopting a tailored, flexible adaptable approach supported engagement with TAFEs, participation in the project, and ultimately the achievement of outcomes within each TAFE. </w:t>
            </w:r>
          </w:p>
        </w:tc>
        <w:tc>
          <w:tcPr>
            <w:tcW w:w="1366" w:type="pct"/>
            <w:shd w:val="clear" w:color="auto" w:fill="FFFFFF" w:themeFill="background1"/>
          </w:tcPr>
          <w:p w14:paraId="1AA7D957" w14:textId="5822CA8F" w:rsidR="007A191D" w:rsidRPr="00117237" w:rsidRDefault="007A191D" w:rsidP="00D24B2C">
            <w:pPr>
              <w:contextualSpacing/>
              <w:rPr>
                <w:rFonts w:asciiTheme="majorHAnsi" w:hAnsiTheme="majorHAnsi"/>
                <w:b/>
                <w:bCs/>
                <w:sz w:val="20"/>
              </w:rPr>
            </w:pPr>
            <w:r w:rsidRPr="00117237">
              <w:rPr>
                <w:rFonts w:asciiTheme="majorHAnsi" w:hAnsiTheme="majorHAnsi"/>
                <w:sz w:val="20"/>
              </w:rPr>
              <w:t>This approach has used clarity of roles and two-way learning to build strong trusting relationships and a sense of partnership</w:t>
            </w:r>
            <w:r w:rsidR="00066537" w:rsidRPr="00117237">
              <w:rPr>
                <w:rFonts w:asciiTheme="majorHAnsi" w:hAnsiTheme="majorHAnsi"/>
                <w:sz w:val="20"/>
              </w:rPr>
              <w:t xml:space="preserve"> which</w:t>
            </w:r>
            <w:r w:rsidRPr="00117237">
              <w:rPr>
                <w:rFonts w:asciiTheme="majorHAnsi" w:hAnsiTheme="majorHAnsi"/>
                <w:sz w:val="20"/>
              </w:rPr>
              <w:t xml:space="preserve"> </w:t>
            </w:r>
            <w:r w:rsidR="00971EFF" w:rsidRPr="00117237">
              <w:rPr>
                <w:rFonts w:asciiTheme="majorHAnsi" w:hAnsiTheme="majorHAnsi"/>
                <w:sz w:val="20"/>
              </w:rPr>
              <w:t>h</w:t>
            </w:r>
            <w:r w:rsidRPr="00117237">
              <w:rPr>
                <w:rFonts w:asciiTheme="majorHAnsi" w:hAnsiTheme="majorHAnsi"/>
                <w:sz w:val="20"/>
              </w:rPr>
              <w:t xml:space="preserve">as supported engagement, led to buy-in and ownership of action plans. </w:t>
            </w:r>
          </w:p>
        </w:tc>
        <w:tc>
          <w:tcPr>
            <w:tcW w:w="1363" w:type="pct"/>
            <w:shd w:val="clear" w:color="auto" w:fill="FFFFFF" w:themeFill="background1"/>
          </w:tcPr>
          <w:p w14:paraId="3449ADF5" w14:textId="77777777" w:rsidR="007A191D" w:rsidRPr="00117237" w:rsidRDefault="007A191D" w:rsidP="00D24B2C">
            <w:pPr>
              <w:contextualSpacing/>
              <w:rPr>
                <w:rFonts w:asciiTheme="majorHAnsi" w:hAnsiTheme="majorHAnsi"/>
                <w:sz w:val="20"/>
              </w:rPr>
            </w:pPr>
            <w:r w:rsidRPr="00117237">
              <w:rPr>
                <w:rFonts w:asciiTheme="majorHAnsi" w:hAnsiTheme="majorHAnsi"/>
                <w:sz w:val="20"/>
              </w:rPr>
              <w:t xml:space="preserve">This approach allowed the project team to identify key learnings throughout the project, to ensure they were using this project to trial, test and identify what working in supporting TAFEs, a key project outcome. </w:t>
            </w:r>
          </w:p>
        </w:tc>
      </w:tr>
      <w:tr w:rsidR="007A191D" w:rsidRPr="00117237" w14:paraId="42DE3E06" w14:textId="77777777" w:rsidTr="00D24B2C">
        <w:tc>
          <w:tcPr>
            <w:tcW w:w="658" w:type="pct"/>
            <w:shd w:val="clear" w:color="auto" w:fill="FFFFFF" w:themeFill="background1"/>
          </w:tcPr>
          <w:p w14:paraId="5254EB86" w14:textId="77777777" w:rsidR="007A191D" w:rsidRPr="00117237" w:rsidDel="00964B08" w:rsidRDefault="007A191D" w:rsidP="00D24B2C">
            <w:pPr>
              <w:contextualSpacing/>
              <w:rPr>
                <w:rFonts w:asciiTheme="majorHAnsi" w:hAnsiTheme="majorHAnsi"/>
                <w:b/>
                <w:bCs/>
                <w:color w:val="931B2F" w:themeColor="background2"/>
                <w:sz w:val="20"/>
              </w:rPr>
            </w:pPr>
          </w:p>
        </w:tc>
        <w:tc>
          <w:tcPr>
            <w:tcW w:w="1613" w:type="pct"/>
            <w:shd w:val="clear" w:color="auto" w:fill="FFFFFF" w:themeFill="background1"/>
          </w:tcPr>
          <w:p w14:paraId="1EDC486D" w14:textId="77777777" w:rsidR="007A191D" w:rsidRPr="00117237" w:rsidRDefault="007A191D" w:rsidP="00D24B2C">
            <w:pPr>
              <w:contextualSpacing/>
              <w:jc w:val="right"/>
              <w:rPr>
                <w:rFonts w:asciiTheme="majorHAnsi" w:hAnsiTheme="majorHAnsi"/>
                <w:i/>
                <w:iCs/>
                <w:color w:val="931B2F" w:themeColor="background2"/>
                <w:sz w:val="20"/>
              </w:rPr>
            </w:pPr>
            <w:r w:rsidRPr="00117237">
              <w:rPr>
                <w:rFonts w:asciiTheme="majorHAnsi" w:hAnsiTheme="majorHAnsi"/>
                <w:i/>
                <w:iCs/>
                <w:color w:val="931B2F" w:themeColor="background2"/>
                <w:sz w:val="20"/>
              </w:rPr>
              <w:t>‘One approach not fitting all has been so important for this work’ – Our Watch stakeholder</w:t>
            </w:r>
          </w:p>
          <w:p w14:paraId="03D341C9" w14:textId="77777777" w:rsidR="007A191D" w:rsidRPr="00117237" w:rsidRDefault="007A191D" w:rsidP="00D24B2C">
            <w:pPr>
              <w:contextualSpacing/>
              <w:jc w:val="right"/>
              <w:rPr>
                <w:rFonts w:asciiTheme="majorHAnsi" w:hAnsiTheme="majorHAnsi"/>
                <w:i/>
                <w:iCs/>
                <w:color w:val="931B2F" w:themeColor="background2"/>
                <w:sz w:val="20"/>
              </w:rPr>
            </w:pPr>
          </w:p>
          <w:p w14:paraId="5A8F7ABC" w14:textId="77777777" w:rsidR="007A191D" w:rsidRPr="00117237" w:rsidRDefault="007A191D" w:rsidP="00D24B2C">
            <w:pPr>
              <w:contextualSpacing/>
              <w:jc w:val="right"/>
              <w:rPr>
                <w:rFonts w:asciiTheme="majorHAnsi" w:hAnsiTheme="majorHAnsi"/>
                <w:i/>
                <w:sz w:val="20"/>
              </w:rPr>
            </w:pPr>
            <w:r w:rsidRPr="00117237">
              <w:rPr>
                <w:rFonts w:asciiTheme="majorHAnsi" w:hAnsiTheme="majorHAnsi"/>
                <w:i/>
                <w:iCs/>
                <w:color w:val="931B2F" w:themeColor="background2"/>
                <w:sz w:val="20"/>
              </w:rPr>
              <w:t xml:space="preserve">‘I think it shifted along the way, it was a very adaptive program for sure, they were constantly bringing in learnings from the other TAFEs’ – Our Watch stakeholder </w:t>
            </w:r>
          </w:p>
        </w:tc>
        <w:tc>
          <w:tcPr>
            <w:tcW w:w="1366" w:type="pct"/>
            <w:shd w:val="clear" w:color="auto" w:fill="FFFFFF" w:themeFill="background1"/>
          </w:tcPr>
          <w:p w14:paraId="4D645969" w14:textId="77777777" w:rsidR="007A191D" w:rsidRPr="00117237" w:rsidRDefault="007A191D" w:rsidP="00D24B2C">
            <w:pPr>
              <w:contextualSpacing/>
              <w:jc w:val="right"/>
              <w:rPr>
                <w:rFonts w:asciiTheme="majorHAnsi" w:hAnsiTheme="majorHAnsi"/>
                <w:i/>
                <w:iCs/>
                <w:color w:val="931B2F" w:themeColor="background2"/>
                <w:sz w:val="20"/>
              </w:rPr>
            </w:pPr>
            <w:r w:rsidRPr="00117237">
              <w:rPr>
                <w:rFonts w:asciiTheme="majorHAnsi" w:hAnsiTheme="majorHAnsi"/>
                <w:i/>
                <w:iCs/>
                <w:color w:val="931B2F" w:themeColor="background2"/>
                <w:sz w:val="20"/>
              </w:rPr>
              <w:t>‘It’s been a really equal partnership’ – TAFE stakeholder</w:t>
            </w:r>
          </w:p>
          <w:p w14:paraId="1DC6E631" w14:textId="77777777" w:rsidR="007A191D" w:rsidRPr="00117237" w:rsidRDefault="007A191D" w:rsidP="00D24B2C">
            <w:pPr>
              <w:contextualSpacing/>
              <w:jc w:val="right"/>
              <w:rPr>
                <w:rFonts w:asciiTheme="majorHAnsi" w:hAnsiTheme="majorHAnsi"/>
                <w:i/>
                <w:iCs/>
                <w:color w:val="931B2F" w:themeColor="background2"/>
                <w:sz w:val="20"/>
              </w:rPr>
            </w:pPr>
          </w:p>
          <w:p w14:paraId="7D44A59E" w14:textId="38E7F14D" w:rsidR="007A191D" w:rsidRPr="00117237" w:rsidRDefault="007A191D" w:rsidP="00D24B2C">
            <w:pPr>
              <w:contextualSpacing/>
              <w:jc w:val="right"/>
              <w:rPr>
                <w:rFonts w:asciiTheme="majorHAnsi" w:hAnsiTheme="majorHAnsi"/>
                <w:i/>
                <w:color w:val="931B2F" w:themeColor="background2"/>
                <w:sz w:val="20"/>
              </w:rPr>
            </w:pPr>
            <w:r w:rsidRPr="00117237">
              <w:rPr>
                <w:rFonts w:asciiTheme="majorHAnsi" w:hAnsiTheme="majorHAnsi"/>
                <w:i/>
                <w:iCs/>
                <w:color w:val="931B2F" w:themeColor="background2"/>
                <w:sz w:val="20"/>
              </w:rPr>
              <w:t>‘They came in looking for a conversation and not telling us how to do it, we call it two-way learning, it</w:t>
            </w:r>
            <w:r w:rsidR="00B76F37">
              <w:rPr>
                <w:rFonts w:asciiTheme="majorHAnsi" w:hAnsiTheme="majorHAnsi"/>
                <w:i/>
                <w:iCs/>
                <w:color w:val="931B2F" w:themeColor="background2"/>
                <w:sz w:val="20"/>
              </w:rPr>
              <w:t>’</w:t>
            </w:r>
            <w:r w:rsidRPr="00117237">
              <w:rPr>
                <w:rFonts w:asciiTheme="majorHAnsi" w:hAnsiTheme="majorHAnsi"/>
                <w:i/>
                <w:iCs/>
                <w:color w:val="931B2F" w:themeColor="background2"/>
                <w:sz w:val="20"/>
              </w:rPr>
              <w:t>s embracing our First Nations knowledge but also bringing in the western knowledge and melding them’ – TAFE stakeholder</w:t>
            </w:r>
          </w:p>
        </w:tc>
        <w:tc>
          <w:tcPr>
            <w:tcW w:w="1363" w:type="pct"/>
            <w:shd w:val="clear" w:color="auto" w:fill="FFFFFF" w:themeFill="background1"/>
          </w:tcPr>
          <w:p w14:paraId="4D9292B0" w14:textId="77777777" w:rsidR="007A191D" w:rsidRPr="00117237" w:rsidRDefault="007A191D" w:rsidP="00D24B2C">
            <w:pPr>
              <w:contextualSpacing/>
              <w:jc w:val="right"/>
              <w:rPr>
                <w:rFonts w:asciiTheme="majorHAnsi" w:hAnsiTheme="majorHAnsi"/>
                <w:i/>
                <w:iCs/>
                <w:color w:val="931B2F" w:themeColor="background2"/>
                <w:sz w:val="20"/>
              </w:rPr>
            </w:pPr>
            <w:r w:rsidRPr="00117237">
              <w:rPr>
                <w:rFonts w:asciiTheme="majorHAnsi" w:hAnsiTheme="majorHAnsi"/>
                <w:i/>
                <w:iCs/>
                <w:color w:val="931B2F" w:themeColor="background2"/>
                <w:sz w:val="20"/>
              </w:rPr>
              <w:t>‘Our team are really strong on learning and reflection, and I think that’s because the evaluation lead had that approach in mind and so that became embedded.’ – Our Watch stakeholder</w:t>
            </w:r>
          </w:p>
          <w:p w14:paraId="5635012C" w14:textId="77777777" w:rsidR="007A191D" w:rsidRPr="00117237" w:rsidRDefault="007A191D" w:rsidP="00D24B2C">
            <w:pPr>
              <w:keepNext/>
              <w:contextualSpacing/>
              <w:jc w:val="right"/>
              <w:rPr>
                <w:rFonts w:asciiTheme="majorHAnsi" w:hAnsiTheme="majorHAnsi"/>
                <w:i/>
                <w:color w:val="931B2F" w:themeColor="background2"/>
                <w:sz w:val="20"/>
              </w:rPr>
            </w:pPr>
            <w:r w:rsidRPr="00117237">
              <w:rPr>
                <w:rFonts w:asciiTheme="majorHAnsi" w:hAnsiTheme="majorHAnsi"/>
                <w:i/>
                <w:iCs/>
                <w:color w:val="931B2F" w:themeColor="background2"/>
                <w:sz w:val="20"/>
              </w:rPr>
              <w:t xml:space="preserve">‘We had monthly reflections as part of regular team check ins…we could share learnings’ – Our Watch stakeholder  </w:t>
            </w:r>
          </w:p>
        </w:tc>
      </w:tr>
    </w:tbl>
    <w:p w14:paraId="31DD0C67" w14:textId="0B87606C" w:rsidR="007A191D" w:rsidRPr="00117237" w:rsidRDefault="00D24B2C" w:rsidP="00013BFB">
      <w:pPr>
        <w:pStyle w:val="Caption"/>
      </w:pPr>
      <w:r w:rsidRPr="00117237">
        <w:lastRenderedPageBreak/>
        <w:br w:type="textWrapping" w:clear="all"/>
      </w:r>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7"/>
        <w:gridCol w:w="4418"/>
        <w:gridCol w:w="4414"/>
        <w:gridCol w:w="4429"/>
      </w:tblGrid>
      <w:tr w:rsidR="007A191D" w:rsidRPr="00117237" w14:paraId="1EBBCA9F" w14:textId="77777777" w:rsidTr="007A191D">
        <w:tc>
          <w:tcPr>
            <w:tcW w:w="688" w:type="pct"/>
            <w:shd w:val="clear" w:color="auto" w:fill="FFFFFF" w:themeFill="background1"/>
          </w:tcPr>
          <w:p w14:paraId="0E25211A" w14:textId="77777777" w:rsidR="007A191D" w:rsidRPr="00117237" w:rsidRDefault="007A191D" w:rsidP="00AF1F57">
            <w:pPr>
              <w:rPr>
                <w:rFonts w:asciiTheme="majorHAnsi" w:hAnsiTheme="majorHAnsi"/>
                <w:b/>
                <w:bCs/>
                <w:color w:val="931B2F" w:themeColor="background2"/>
                <w:sz w:val="20"/>
              </w:rPr>
            </w:pPr>
            <w:r w:rsidRPr="00117237">
              <w:rPr>
                <w:rFonts w:asciiTheme="majorHAnsi" w:hAnsiTheme="majorHAnsi"/>
                <w:b/>
                <w:bCs/>
                <w:color w:val="931B2F" w:themeColor="background2"/>
                <w:sz w:val="20"/>
              </w:rPr>
              <w:t>Principle</w:t>
            </w:r>
          </w:p>
        </w:tc>
        <w:tc>
          <w:tcPr>
            <w:tcW w:w="1436" w:type="pct"/>
            <w:shd w:val="clear" w:color="auto" w:fill="931B2F" w:themeFill="accent1"/>
          </w:tcPr>
          <w:p w14:paraId="6B18672E" w14:textId="77777777" w:rsidR="007A191D" w:rsidRPr="00117237" w:rsidRDefault="007A191D" w:rsidP="00AF1F57">
            <w:pPr>
              <w:rPr>
                <w:rFonts w:asciiTheme="majorHAnsi" w:hAnsiTheme="majorHAnsi"/>
                <w:b/>
                <w:bCs/>
                <w:color w:val="FFFFFF" w:themeColor="background1"/>
                <w:sz w:val="20"/>
              </w:rPr>
            </w:pPr>
            <w:r w:rsidRPr="00117237">
              <w:rPr>
                <w:rFonts w:asciiTheme="majorHAnsi" w:hAnsiTheme="majorHAnsi"/>
                <w:b/>
                <w:bCs/>
                <w:color w:val="FFFFFF" w:themeColor="background1"/>
                <w:sz w:val="20"/>
              </w:rPr>
              <w:t xml:space="preserve">Comprehensive thinking and action </w:t>
            </w:r>
          </w:p>
        </w:tc>
        <w:tc>
          <w:tcPr>
            <w:tcW w:w="1435" w:type="pct"/>
            <w:shd w:val="clear" w:color="auto" w:fill="931B2F" w:themeFill="accent1"/>
          </w:tcPr>
          <w:p w14:paraId="223B3EAF" w14:textId="77777777" w:rsidR="007A191D" w:rsidRPr="00117237" w:rsidRDefault="007A191D" w:rsidP="00AF1F57">
            <w:pPr>
              <w:rPr>
                <w:rFonts w:asciiTheme="majorHAnsi" w:hAnsiTheme="majorHAnsi"/>
                <w:b/>
                <w:bCs/>
                <w:color w:val="FFFFFF" w:themeColor="background1"/>
                <w:sz w:val="20"/>
              </w:rPr>
            </w:pPr>
            <w:r w:rsidRPr="00117237">
              <w:rPr>
                <w:rFonts w:asciiTheme="majorHAnsi" w:hAnsiTheme="majorHAnsi"/>
                <w:b/>
                <w:bCs/>
                <w:color w:val="FFFFFF" w:themeColor="background1"/>
                <w:sz w:val="20"/>
              </w:rPr>
              <w:t>Supporting building blocks for long term change</w:t>
            </w:r>
          </w:p>
        </w:tc>
        <w:tc>
          <w:tcPr>
            <w:tcW w:w="1440" w:type="pct"/>
            <w:shd w:val="clear" w:color="auto" w:fill="931B2F" w:themeFill="accent1"/>
          </w:tcPr>
          <w:p w14:paraId="55E07380" w14:textId="77777777" w:rsidR="007A191D" w:rsidRPr="00117237" w:rsidRDefault="007A191D" w:rsidP="00AF1F57">
            <w:pPr>
              <w:rPr>
                <w:rFonts w:asciiTheme="majorHAnsi" w:hAnsiTheme="majorHAnsi"/>
                <w:b/>
                <w:bCs/>
                <w:color w:val="FFFFFF" w:themeColor="background1"/>
                <w:sz w:val="20"/>
              </w:rPr>
            </w:pPr>
            <w:r w:rsidRPr="00117237">
              <w:rPr>
                <w:rFonts w:asciiTheme="majorHAnsi" w:hAnsiTheme="majorHAnsi"/>
                <w:b/>
                <w:bCs/>
                <w:color w:val="FFFFFF" w:themeColor="background1"/>
                <w:sz w:val="20"/>
              </w:rPr>
              <w:t>Centring intersectionality</w:t>
            </w:r>
          </w:p>
        </w:tc>
      </w:tr>
      <w:tr w:rsidR="007A191D" w:rsidRPr="00117237" w14:paraId="5881C49E" w14:textId="77777777" w:rsidTr="007A191D">
        <w:trPr>
          <w:trHeight w:val="57"/>
        </w:trPr>
        <w:tc>
          <w:tcPr>
            <w:tcW w:w="688" w:type="pct"/>
            <w:shd w:val="clear" w:color="auto" w:fill="FFFFFF" w:themeFill="background1"/>
          </w:tcPr>
          <w:p w14:paraId="2558F66D" w14:textId="77777777" w:rsidR="007A191D" w:rsidRPr="00117237" w:rsidRDefault="007A191D">
            <w:pPr>
              <w:contextualSpacing/>
              <w:rPr>
                <w:rFonts w:asciiTheme="majorHAnsi" w:hAnsiTheme="majorHAnsi"/>
                <w:b/>
                <w:bCs/>
                <w:color w:val="931B2F" w:themeColor="background2"/>
                <w:sz w:val="20"/>
              </w:rPr>
            </w:pPr>
            <w:r w:rsidRPr="00117237">
              <w:rPr>
                <w:rFonts w:asciiTheme="majorHAnsi" w:hAnsiTheme="majorHAnsi"/>
                <w:b/>
                <w:bCs/>
                <w:color w:val="931B2F" w:themeColor="background2"/>
                <w:sz w:val="20"/>
              </w:rPr>
              <w:t>Influence</w:t>
            </w:r>
            <w:r w:rsidRPr="00117237">
              <w:rPr>
                <w:rStyle w:val="FootnoteReference"/>
                <w:rFonts w:asciiTheme="majorHAnsi" w:hAnsiTheme="majorHAnsi"/>
                <w:b w:val="0"/>
                <w:bCs/>
                <w:color w:val="931B2F" w:themeColor="background2"/>
                <w:sz w:val="20"/>
              </w:rPr>
              <w:t xml:space="preserve"> </w:t>
            </w:r>
            <w:r w:rsidRPr="00117237">
              <w:rPr>
                <w:rStyle w:val="FootnoteReference"/>
                <w:rFonts w:asciiTheme="majorHAnsi" w:hAnsiTheme="majorHAnsi"/>
                <w:b w:val="0"/>
                <w:bCs/>
                <w:color w:val="931B2F" w:themeColor="background2"/>
                <w:sz w:val="20"/>
              </w:rPr>
              <w:footnoteReference w:id="69"/>
            </w:r>
            <w:r w:rsidRPr="00117237">
              <w:rPr>
                <w:rFonts w:asciiTheme="majorHAnsi" w:hAnsiTheme="majorHAnsi"/>
                <w:b/>
                <w:bCs/>
                <w:color w:val="931B2F" w:themeColor="background2"/>
                <w:sz w:val="20"/>
              </w:rPr>
              <w:t xml:space="preserve"> </w:t>
            </w:r>
          </w:p>
        </w:tc>
        <w:tc>
          <w:tcPr>
            <w:tcW w:w="1436" w:type="pct"/>
            <w:shd w:val="clear" w:color="auto" w:fill="92D050"/>
          </w:tcPr>
          <w:p w14:paraId="70765570" w14:textId="77777777" w:rsidR="007A191D" w:rsidRPr="00117237" w:rsidRDefault="007A191D">
            <w:pPr>
              <w:contextualSpacing/>
              <w:rPr>
                <w:rFonts w:asciiTheme="majorHAnsi" w:hAnsiTheme="majorHAnsi"/>
                <w:b/>
                <w:sz w:val="20"/>
              </w:rPr>
            </w:pPr>
            <w:r w:rsidRPr="00117237">
              <w:rPr>
                <w:rFonts w:asciiTheme="majorHAnsi" w:hAnsiTheme="majorHAnsi"/>
                <w:b/>
                <w:sz w:val="20"/>
              </w:rPr>
              <w:t>Some influence</w:t>
            </w:r>
          </w:p>
        </w:tc>
        <w:tc>
          <w:tcPr>
            <w:tcW w:w="1435" w:type="pct"/>
            <w:shd w:val="clear" w:color="auto" w:fill="00B050"/>
          </w:tcPr>
          <w:p w14:paraId="06B8AE04" w14:textId="77777777" w:rsidR="007A191D" w:rsidRPr="00117237" w:rsidRDefault="007A191D">
            <w:pPr>
              <w:contextualSpacing/>
              <w:rPr>
                <w:rFonts w:asciiTheme="majorHAnsi" w:hAnsiTheme="majorHAnsi"/>
                <w:b/>
                <w:bCs/>
                <w:sz w:val="20"/>
              </w:rPr>
            </w:pPr>
            <w:r w:rsidRPr="00117237">
              <w:rPr>
                <w:rFonts w:asciiTheme="majorHAnsi" w:hAnsiTheme="majorHAnsi"/>
                <w:b/>
                <w:bCs/>
                <w:sz w:val="20"/>
              </w:rPr>
              <w:t>Strong influence</w:t>
            </w:r>
          </w:p>
        </w:tc>
        <w:tc>
          <w:tcPr>
            <w:tcW w:w="1440" w:type="pct"/>
            <w:shd w:val="clear" w:color="auto" w:fill="FFC000"/>
          </w:tcPr>
          <w:p w14:paraId="75F87A89" w14:textId="3AA0ACE8" w:rsidR="007A191D" w:rsidRPr="00117237" w:rsidRDefault="007A191D">
            <w:pPr>
              <w:contextualSpacing/>
              <w:rPr>
                <w:rFonts w:asciiTheme="majorHAnsi" w:hAnsiTheme="majorHAnsi"/>
                <w:b/>
                <w:bCs/>
                <w:sz w:val="20"/>
              </w:rPr>
            </w:pPr>
            <w:r w:rsidRPr="00117237">
              <w:rPr>
                <w:rFonts w:asciiTheme="majorHAnsi" w:hAnsiTheme="majorHAnsi"/>
                <w:b/>
                <w:bCs/>
                <w:sz w:val="20"/>
              </w:rPr>
              <w:t xml:space="preserve">Unclear </w:t>
            </w:r>
          </w:p>
        </w:tc>
      </w:tr>
      <w:tr w:rsidR="007A191D" w:rsidRPr="00117237" w14:paraId="76DDA68C" w14:textId="77777777" w:rsidTr="00637EC1">
        <w:trPr>
          <w:trHeight w:val="2564"/>
        </w:trPr>
        <w:tc>
          <w:tcPr>
            <w:tcW w:w="688" w:type="pct"/>
            <w:shd w:val="clear" w:color="auto" w:fill="FFFFFF" w:themeFill="background1"/>
          </w:tcPr>
          <w:p w14:paraId="0560BC24" w14:textId="77777777" w:rsidR="007A191D" w:rsidRPr="00117237" w:rsidRDefault="007A191D">
            <w:pPr>
              <w:contextualSpacing/>
              <w:rPr>
                <w:rFonts w:asciiTheme="majorHAnsi" w:hAnsiTheme="majorHAnsi"/>
                <w:b/>
                <w:bCs/>
                <w:color w:val="931B2F" w:themeColor="background2"/>
                <w:sz w:val="20"/>
              </w:rPr>
            </w:pPr>
            <w:r w:rsidRPr="00117237">
              <w:rPr>
                <w:rFonts w:asciiTheme="majorHAnsi" w:hAnsiTheme="majorHAnsi"/>
                <w:b/>
                <w:bCs/>
                <w:color w:val="931B2F" w:themeColor="background2"/>
                <w:sz w:val="20"/>
              </w:rPr>
              <w:t>What it looked like in practice</w:t>
            </w:r>
          </w:p>
        </w:tc>
        <w:tc>
          <w:tcPr>
            <w:tcW w:w="1436" w:type="pct"/>
            <w:shd w:val="clear" w:color="auto" w:fill="FFFFFF" w:themeFill="background1"/>
          </w:tcPr>
          <w:p w14:paraId="3DD40C4A" w14:textId="77777777" w:rsidR="007A191D" w:rsidRPr="00117237" w:rsidRDefault="007A191D">
            <w:pPr>
              <w:contextualSpacing/>
              <w:rPr>
                <w:rFonts w:asciiTheme="majorHAnsi" w:hAnsiTheme="majorHAnsi"/>
                <w:sz w:val="20"/>
              </w:rPr>
            </w:pPr>
            <w:r w:rsidRPr="00117237">
              <w:rPr>
                <w:rFonts w:asciiTheme="majorHAnsi" w:hAnsiTheme="majorHAnsi"/>
                <w:sz w:val="20"/>
              </w:rPr>
              <w:t>The project team:</w:t>
            </w:r>
          </w:p>
          <w:p w14:paraId="0AE856EA" w14:textId="77777777" w:rsidR="007A191D" w:rsidRPr="00117237" w:rsidRDefault="007A191D" w:rsidP="00756D65">
            <w:pPr>
              <w:pStyle w:val="ListParagraph"/>
              <w:numPr>
                <w:ilvl w:val="0"/>
                <w:numId w:val="14"/>
              </w:numPr>
              <w:rPr>
                <w:rFonts w:asciiTheme="majorHAnsi" w:hAnsiTheme="majorHAnsi"/>
                <w:sz w:val="20"/>
              </w:rPr>
            </w:pPr>
            <w:r w:rsidRPr="00117237">
              <w:rPr>
                <w:rFonts w:asciiTheme="majorHAnsi" w:hAnsiTheme="majorHAnsi"/>
                <w:sz w:val="20"/>
              </w:rPr>
              <w:t xml:space="preserve">Built understanding and capability around primary prevention using the socio-ecological model in working group sessions, and the </w:t>
            </w:r>
            <w:r w:rsidRPr="00117237">
              <w:rPr>
                <w:rFonts w:asciiTheme="majorHAnsi" w:hAnsiTheme="majorHAnsi"/>
                <w:i/>
                <w:iCs/>
                <w:sz w:val="20"/>
              </w:rPr>
              <w:t xml:space="preserve">Change the story </w:t>
            </w:r>
            <w:r w:rsidRPr="00117237">
              <w:rPr>
                <w:rFonts w:asciiTheme="majorHAnsi" w:hAnsiTheme="majorHAnsi"/>
                <w:sz w:val="20"/>
              </w:rPr>
              <w:t>training</w:t>
            </w:r>
          </w:p>
          <w:p w14:paraId="0E5B154B" w14:textId="2F1CB81F" w:rsidR="007A191D" w:rsidRPr="00117237" w:rsidRDefault="007A191D" w:rsidP="00756D65">
            <w:pPr>
              <w:pStyle w:val="ListParagraph"/>
              <w:numPr>
                <w:ilvl w:val="0"/>
                <w:numId w:val="14"/>
              </w:numPr>
              <w:rPr>
                <w:rFonts w:asciiTheme="majorHAnsi" w:hAnsiTheme="majorHAnsi"/>
                <w:sz w:val="20"/>
              </w:rPr>
            </w:pPr>
            <w:r w:rsidRPr="00117237">
              <w:rPr>
                <w:rFonts w:asciiTheme="majorHAnsi" w:hAnsiTheme="majorHAnsi"/>
                <w:sz w:val="20"/>
              </w:rPr>
              <w:t>Encouraged people to move beyond their individual experience to focus on the organisational level</w:t>
            </w:r>
          </w:p>
          <w:p w14:paraId="574CA042" w14:textId="77777777" w:rsidR="007A191D" w:rsidRPr="00117237" w:rsidRDefault="007A191D" w:rsidP="00756D65">
            <w:pPr>
              <w:pStyle w:val="ListParagraph"/>
              <w:numPr>
                <w:ilvl w:val="0"/>
                <w:numId w:val="14"/>
              </w:numPr>
              <w:rPr>
                <w:rFonts w:asciiTheme="majorHAnsi" w:hAnsiTheme="majorHAnsi"/>
                <w:sz w:val="20"/>
              </w:rPr>
            </w:pPr>
            <w:r w:rsidRPr="00117237">
              <w:rPr>
                <w:rFonts w:asciiTheme="majorHAnsi" w:hAnsiTheme="majorHAnsi"/>
                <w:sz w:val="20"/>
              </w:rPr>
              <w:t>Ensured project resources and materials supported a holistic approach to prevention</w:t>
            </w:r>
          </w:p>
        </w:tc>
        <w:tc>
          <w:tcPr>
            <w:tcW w:w="1435" w:type="pct"/>
            <w:shd w:val="clear" w:color="auto" w:fill="FFFFFF" w:themeFill="background1"/>
          </w:tcPr>
          <w:p w14:paraId="31ACDECA" w14:textId="55EE83E0" w:rsidR="007A191D" w:rsidRPr="00117237" w:rsidRDefault="007A191D" w:rsidP="00756D65">
            <w:pPr>
              <w:pStyle w:val="ListParagraph"/>
              <w:numPr>
                <w:ilvl w:val="0"/>
                <w:numId w:val="14"/>
              </w:numPr>
              <w:rPr>
                <w:rFonts w:asciiTheme="majorHAnsi" w:hAnsiTheme="majorHAnsi"/>
                <w:sz w:val="20"/>
              </w:rPr>
            </w:pPr>
            <w:r w:rsidRPr="00117237">
              <w:rPr>
                <w:rFonts w:asciiTheme="majorHAnsi" w:hAnsiTheme="majorHAnsi"/>
                <w:sz w:val="20"/>
              </w:rPr>
              <w:t>Gender equality action plans targeted ‘low hanging fruit’ and la</w:t>
            </w:r>
            <w:r w:rsidR="001567AE" w:rsidRPr="00117237">
              <w:rPr>
                <w:rFonts w:asciiTheme="majorHAnsi" w:hAnsiTheme="majorHAnsi"/>
                <w:sz w:val="20"/>
              </w:rPr>
              <w:t>id</w:t>
            </w:r>
            <w:r w:rsidRPr="00117237">
              <w:rPr>
                <w:rFonts w:asciiTheme="majorHAnsi" w:hAnsiTheme="majorHAnsi"/>
                <w:sz w:val="20"/>
              </w:rPr>
              <w:t xml:space="preserve"> the foundations for future change</w:t>
            </w:r>
            <w:r w:rsidR="001567AE" w:rsidRPr="00117237">
              <w:rPr>
                <w:rFonts w:asciiTheme="majorHAnsi" w:hAnsiTheme="majorHAnsi"/>
                <w:sz w:val="20"/>
              </w:rPr>
              <w:t>, in</w:t>
            </w:r>
            <w:r w:rsidRPr="00117237">
              <w:rPr>
                <w:rFonts w:asciiTheme="majorHAnsi" w:hAnsiTheme="majorHAnsi"/>
                <w:sz w:val="20"/>
              </w:rPr>
              <w:t>cluding reviewing policies, gathering data and setting up monitoring processes</w:t>
            </w:r>
          </w:p>
          <w:p w14:paraId="4FEBCAEA" w14:textId="77777777" w:rsidR="007A191D" w:rsidRPr="00117237" w:rsidRDefault="007A191D" w:rsidP="00756D65">
            <w:pPr>
              <w:pStyle w:val="ListParagraph"/>
              <w:numPr>
                <w:ilvl w:val="0"/>
                <w:numId w:val="14"/>
              </w:numPr>
              <w:rPr>
                <w:rFonts w:asciiTheme="majorHAnsi" w:hAnsiTheme="majorHAnsi"/>
                <w:sz w:val="20"/>
              </w:rPr>
            </w:pPr>
            <w:r w:rsidRPr="00117237">
              <w:rPr>
                <w:rFonts w:asciiTheme="majorHAnsi" w:hAnsiTheme="majorHAnsi"/>
                <w:sz w:val="20"/>
              </w:rPr>
              <w:t xml:space="preserve">Working group sessions and </w:t>
            </w:r>
            <w:r w:rsidRPr="00117237">
              <w:rPr>
                <w:rFonts w:asciiTheme="majorHAnsi" w:hAnsiTheme="majorHAnsi"/>
                <w:i/>
                <w:iCs/>
                <w:sz w:val="20"/>
              </w:rPr>
              <w:t xml:space="preserve">Change the story </w:t>
            </w:r>
            <w:r w:rsidRPr="00117237">
              <w:rPr>
                <w:rFonts w:asciiTheme="majorHAnsi" w:hAnsiTheme="majorHAnsi"/>
                <w:sz w:val="20"/>
              </w:rPr>
              <w:t>training focussed on building foundational understanding of gender equality and primary prevention including the drivers of violence against women</w:t>
            </w:r>
          </w:p>
        </w:tc>
        <w:tc>
          <w:tcPr>
            <w:tcW w:w="1440" w:type="pct"/>
            <w:shd w:val="clear" w:color="auto" w:fill="FFFFFF" w:themeFill="background1"/>
          </w:tcPr>
          <w:p w14:paraId="23D4638D" w14:textId="77777777" w:rsidR="007A191D" w:rsidRPr="00117237" w:rsidRDefault="007A191D">
            <w:pPr>
              <w:rPr>
                <w:rFonts w:asciiTheme="majorHAnsi" w:hAnsiTheme="majorHAnsi"/>
                <w:sz w:val="20"/>
              </w:rPr>
            </w:pPr>
            <w:r w:rsidRPr="00117237">
              <w:rPr>
                <w:rFonts w:asciiTheme="majorHAnsi" w:hAnsiTheme="majorHAnsi"/>
                <w:sz w:val="20"/>
              </w:rPr>
              <w:t>The project team:</w:t>
            </w:r>
          </w:p>
          <w:p w14:paraId="25FBEB52" w14:textId="77777777" w:rsidR="007A191D" w:rsidRPr="00117237" w:rsidRDefault="007A191D" w:rsidP="00756D65">
            <w:pPr>
              <w:pStyle w:val="ListParagraph"/>
              <w:numPr>
                <w:ilvl w:val="0"/>
                <w:numId w:val="17"/>
              </w:numPr>
              <w:rPr>
                <w:rFonts w:asciiTheme="majorHAnsi" w:hAnsiTheme="majorHAnsi"/>
                <w:sz w:val="20"/>
              </w:rPr>
            </w:pPr>
            <w:r w:rsidRPr="00117237">
              <w:rPr>
                <w:rFonts w:asciiTheme="majorHAnsi" w:hAnsiTheme="majorHAnsi"/>
                <w:sz w:val="20"/>
              </w:rPr>
              <w:t>Included intersectionality content in training</w:t>
            </w:r>
          </w:p>
          <w:p w14:paraId="4C7F6D20" w14:textId="77777777" w:rsidR="007A191D" w:rsidRPr="00117237" w:rsidRDefault="007A191D" w:rsidP="00756D65">
            <w:pPr>
              <w:pStyle w:val="ListParagraph"/>
              <w:numPr>
                <w:ilvl w:val="0"/>
                <w:numId w:val="17"/>
              </w:numPr>
              <w:rPr>
                <w:rFonts w:asciiTheme="majorHAnsi" w:hAnsiTheme="majorHAnsi"/>
                <w:sz w:val="20"/>
              </w:rPr>
            </w:pPr>
            <w:r w:rsidRPr="00117237">
              <w:rPr>
                <w:rFonts w:asciiTheme="majorHAnsi" w:hAnsiTheme="majorHAnsi"/>
                <w:sz w:val="20"/>
              </w:rPr>
              <w:t>Encouraged working groups to consult widely within their TAFE to ensure gender equality action plans were informed by diverse perspectives</w:t>
            </w:r>
          </w:p>
          <w:p w14:paraId="4F8A3147" w14:textId="77777777" w:rsidR="007A191D" w:rsidRPr="00117237" w:rsidRDefault="007A191D" w:rsidP="00756D65">
            <w:pPr>
              <w:pStyle w:val="ListParagraph"/>
              <w:numPr>
                <w:ilvl w:val="0"/>
                <w:numId w:val="17"/>
              </w:numPr>
              <w:rPr>
                <w:rFonts w:asciiTheme="majorHAnsi" w:hAnsiTheme="majorHAnsi"/>
                <w:sz w:val="20"/>
              </w:rPr>
            </w:pPr>
            <w:r w:rsidRPr="00117237">
              <w:rPr>
                <w:rFonts w:asciiTheme="majorHAnsi" w:hAnsiTheme="majorHAnsi"/>
                <w:sz w:val="20"/>
              </w:rPr>
              <w:t xml:space="preserve">Considered the inclusiveness and accessibility of events and sessions  </w:t>
            </w:r>
          </w:p>
          <w:p w14:paraId="039143AB" w14:textId="4930EADA" w:rsidR="007A191D" w:rsidRPr="00117237" w:rsidRDefault="007A191D" w:rsidP="00756D65">
            <w:pPr>
              <w:pStyle w:val="ListParagraph"/>
              <w:numPr>
                <w:ilvl w:val="0"/>
                <w:numId w:val="17"/>
              </w:numPr>
              <w:rPr>
                <w:rFonts w:asciiTheme="majorHAnsi" w:hAnsiTheme="majorHAnsi"/>
                <w:sz w:val="20"/>
              </w:rPr>
            </w:pPr>
            <w:r w:rsidRPr="00117237">
              <w:rPr>
                <w:rFonts w:asciiTheme="majorHAnsi" w:hAnsiTheme="majorHAnsi"/>
                <w:sz w:val="20"/>
              </w:rPr>
              <w:t xml:space="preserve">Tools and resources </w:t>
            </w:r>
            <w:r w:rsidR="00B76F37" w:rsidRPr="00117237">
              <w:rPr>
                <w:rFonts w:asciiTheme="majorHAnsi" w:hAnsiTheme="majorHAnsi"/>
                <w:sz w:val="20"/>
              </w:rPr>
              <w:t>emphasise</w:t>
            </w:r>
            <w:r w:rsidRPr="00117237">
              <w:rPr>
                <w:rFonts w:asciiTheme="majorHAnsi" w:hAnsiTheme="majorHAnsi"/>
                <w:sz w:val="20"/>
              </w:rPr>
              <w:t xml:space="preserve"> intersectionality e.g.</w:t>
            </w:r>
            <w:r w:rsidR="008D7667" w:rsidRPr="00117237">
              <w:rPr>
                <w:rFonts w:asciiTheme="majorHAnsi" w:hAnsiTheme="majorHAnsi"/>
                <w:sz w:val="20"/>
              </w:rPr>
              <w:t>,</w:t>
            </w:r>
            <w:r w:rsidRPr="00117237">
              <w:rPr>
                <w:rFonts w:asciiTheme="majorHAnsi" w:hAnsiTheme="majorHAnsi"/>
                <w:sz w:val="20"/>
              </w:rPr>
              <w:t xml:space="preserve"> self-assessment</w:t>
            </w:r>
          </w:p>
        </w:tc>
      </w:tr>
      <w:tr w:rsidR="007A191D" w:rsidRPr="00117237" w14:paraId="5B8F67A8" w14:textId="77777777" w:rsidTr="007A191D">
        <w:tc>
          <w:tcPr>
            <w:tcW w:w="688" w:type="pct"/>
            <w:shd w:val="clear" w:color="auto" w:fill="FFFFFF" w:themeFill="background1"/>
          </w:tcPr>
          <w:p w14:paraId="304B483D" w14:textId="77777777" w:rsidR="007A191D" w:rsidRPr="00117237" w:rsidRDefault="007A191D">
            <w:pPr>
              <w:contextualSpacing/>
              <w:rPr>
                <w:rFonts w:asciiTheme="majorHAnsi" w:hAnsiTheme="majorHAnsi"/>
                <w:b/>
                <w:bCs/>
                <w:color w:val="931B2F" w:themeColor="background2"/>
                <w:sz w:val="20"/>
              </w:rPr>
            </w:pPr>
            <w:r w:rsidRPr="00117237">
              <w:rPr>
                <w:b/>
                <w:color w:val="931B2F" w:themeColor="background2"/>
                <w:sz w:val="20"/>
                <w:szCs w:val="16"/>
              </w:rPr>
              <w:t>How it influenced outcomes</w:t>
            </w:r>
            <w:r w:rsidRPr="00117237">
              <w:rPr>
                <w:rStyle w:val="FootnoteReference"/>
                <w:rFonts w:asciiTheme="majorHAnsi" w:hAnsiTheme="majorHAnsi"/>
                <w:b w:val="0"/>
                <w:color w:val="931B2F" w:themeColor="background2"/>
                <w:sz w:val="16"/>
                <w:szCs w:val="16"/>
              </w:rPr>
              <w:t xml:space="preserve"> </w:t>
            </w:r>
          </w:p>
        </w:tc>
        <w:tc>
          <w:tcPr>
            <w:tcW w:w="1436" w:type="pct"/>
            <w:shd w:val="clear" w:color="auto" w:fill="FFFFFF" w:themeFill="background1"/>
          </w:tcPr>
          <w:p w14:paraId="394723C7" w14:textId="3FC1C65F" w:rsidR="007A191D" w:rsidRPr="00117237" w:rsidRDefault="007A191D">
            <w:pPr>
              <w:contextualSpacing/>
              <w:rPr>
                <w:rFonts w:asciiTheme="majorHAnsi" w:hAnsiTheme="majorHAnsi"/>
                <w:b/>
                <w:sz w:val="20"/>
              </w:rPr>
            </w:pPr>
            <w:r w:rsidRPr="00117237">
              <w:rPr>
                <w:rFonts w:asciiTheme="majorHAnsi" w:hAnsiTheme="majorHAnsi"/>
                <w:sz w:val="20"/>
              </w:rPr>
              <w:t xml:space="preserve">This principle had a strong influence on the knowledge, understanding and commitment of direct project participants, however it had a limited influence across the whole </w:t>
            </w:r>
            <w:r w:rsidR="00027FEE" w:rsidRPr="00117237">
              <w:rPr>
                <w:rFonts w:asciiTheme="majorHAnsi" w:hAnsiTheme="majorHAnsi"/>
                <w:sz w:val="20"/>
              </w:rPr>
              <w:t xml:space="preserve">of </w:t>
            </w:r>
            <w:r w:rsidRPr="00117237">
              <w:rPr>
                <w:rFonts w:asciiTheme="majorHAnsi" w:hAnsiTheme="majorHAnsi"/>
                <w:sz w:val="20"/>
              </w:rPr>
              <w:t>TAFE</w:t>
            </w:r>
            <w:r w:rsidR="00587805" w:rsidRPr="00117237">
              <w:rPr>
                <w:rFonts w:asciiTheme="majorHAnsi" w:hAnsiTheme="majorHAnsi"/>
                <w:sz w:val="20"/>
              </w:rPr>
              <w:t>s</w:t>
            </w:r>
            <w:r w:rsidRPr="00117237">
              <w:rPr>
                <w:rFonts w:asciiTheme="majorHAnsi" w:hAnsiTheme="majorHAnsi"/>
                <w:sz w:val="20"/>
              </w:rPr>
              <w:t xml:space="preserve">, due to not all being directly involved in working groups or training. </w:t>
            </w:r>
          </w:p>
        </w:tc>
        <w:tc>
          <w:tcPr>
            <w:tcW w:w="1435" w:type="pct"/>
            <w:shd w:val="clear" w:color="auto" w:fill="FFFFFF" w:themeFill="background1"/>
          </w:tcPr>
          <w:p w14:paraId="793458CA" w14:textId="77777777" w:rsidR="007A191D" w:rsidRPr="00117237" w:rsidRDefault="007A191D">
            <w:pPr>
              <w:contextualSpacing/>
              <w:rPr>
                <w:rFonts w:asciiTheme="majorHAnsi" w:hAnsiTheme="majorHAnsi"/>
                <w:sz w:val="20"/>
              </w:rPr>
            </w:pPr>
            <w:r w:rsidRPr="00117237">
              <w:rPr>
                <w:rFonts w:asciiTheme="majorHAnsi" w:hAnsiTheme="majorHAnsi"/>
                <w:sz w:val="20"/>
              </w:rPr>
              <w:t>For many TAFEs, these action plans were the first step in this journey. Laying solid foundations, and setting realistic goals to facilitate future change was seen as motivating, with some TAFEs becoming more aspirational over time, contributing to the sustainability of outcomes.</w:t>
            </w:r>
          </w:p>
        </w:tc>
        <w:tc>
          <w:tcPr>
            <w:tcW w:w="1440" w:type="pct"/>
            <w:shd w:val="clear" w:color="auto" w:fill="FFFFFF" w:themeFill="background1"/>
          </w:tcPr>
          <w:p w14:paraId="683F32DE" w14:textId="0A914922" w:rsidR="007A191D" w:rsidRPr="00117237" w:rsidRDefault="007A191D">
            <w:pPr>
              <w:contextualSpacing/>
              <w:rPr>
                <w:rFonts w:asciiTheme="majorHAnsi" w:hAnsiTheme="majorHAnsi"/>
                <w:sz w:val="20"/>
              </w:rPr>
            </w:pPr>
            <w:r w:rsidRPr="00117237">
              <w:rPr>
                <w:rFonts w:asciiTheme="majorHAnsi" w:hAnsiTheme="majorHAnsi"/>
                <w:sz w:val="20"/>
              </w:rPr>
              <w:t xml:space="preserve">It is unclear the impact of this principle of project outcomes. This principle was prioritised by the project team in their ways of working with TAFEs, however the link between this and the impact on outcomes remains unclear. </w:t>
            </w:r>
          </w:p>
        </w:tc>
      </w:tr>
      <w:tr w:rsidR="007A191D" w:rsidRPr="00117237" w14:paraId="011FCF10" w14:textId="77777777" w:rsidTr="007A191D">
        <w:tc>
          <w:tcPr>
            <w:tcW w:w="688" w:type="pct"/>
            <w:shd w:val="clear" w:color="auto" w:fill="FFFFFF" w:themeFill="background1"/>
          </w:tcPr>
          <w:p w14:paraId="07A4A265" w14:textId="77777777" w:rsidR="007A191D" w:rsidRPr="00117237" w:rsidDel="00964B08" w:rsidRDefault="007A191D">
            <w:pPr>
              <w:contextualSpacing/>
              <w:rPr>
                <w:rFonts w:asciiTheme="majorHAnsi" w:hAnsiTheme="majorHAnsi"/>
                <w:b/>
                <w:bCs/>
                <w:color w:val="931B2F" w:themeColor="background2"/>
                <w:sz w:val="20"/>
              </w:rPr>
            </w:pPr>
          </w:p>
        </w:tc>
        <w:tc>
          <w:tcPr>
            <w:tcW w:w="1436" w:type="pct"/>
            <w:shd w:val="clear" w:color="auto" w:fill="FFFFFF" w:themeFill="background1"/>
          </w:tcPr>
          <w:p w14:paraId="71C76A13" w14:textId="6D42987B" w:rsidR="007A191D" w:rsidRPr="00117237" w:rsidRDefault="007A191D">
            <w:pPr>
              <w:contextualSpacing/>
              <w:jc w:val="right"/>
              <w:rPr>
                <w:rFonts w:asciiTheme="majorHAnsi" w:hAnsiTheme="majorHAnsi"/>
                <w:i/>
                <w:iCs/>
                <w:color w:val="931B2F" w:themeColor="background2"/>
                <w:sz w:val="20"/>
              </w:rPr>
            </w:pPr>
            <w:r w:rsidRPr="00117237">
              <w:rPr>
                <w:rFonts w:asciiTheme="majorHAnsi" w:hAnsiTheme="majorHAnsi"/>
                <w:i/>
                <w:iCs/>
                <w:color w:val="931B2F" w:themeColor="background2"/>
                <w:sz w:val="20"/>
              </w:rPr>
              <w:t>‘Going back to the beginning, understanding the drivers. I always thought it was drugs, or angry people, but understanding and seeing the stat</w:t>
            </w:r>
            <w:r w:rsidR="00C716F9" w:rsidRPr="00117237">
              <w:rPr>
                <w:rFonts w:asciiTheme="majorHAnsi" w:hAnsiTheme="majorHAnsi"/>
                <w:i/>
                <w:iCs/>
                <w:color w:val="931B2F" w:themeColor="background2"/>
                <w:sz w:val="20"/>
              </w:rPr>
              <w:t>istics</w:t>
            </w:r>
            <w:r w:rsidRPr="00117237">
              <w:rPr>
                <w:rFonts w:asciiTheme="majorHAnsi" w:hAnsiTheme="majorHAnsi"/>
                <w:i/>
                <w:iCs/>
                <w:color w:val="931B2F" w:themeColor="background2"/>
                <w:sz w:val="20"/>
              </w:rPr>
              <w:t xml:space="preserve"> behind what the drivers were</w:t>
            </w:r>
            <w:r w:rsidR="00566A6F" w:rsidRPr="00117237">
              <w:rPr>
                <w:rFonts w:asciiTheme="majorHAnsi" w:hAnsiTheme="majorHAnsi"/>
                <w:i/>
                <w:iCs/>
                <w:color w:val="931B2F" w:themeColor="background2"/>
                <w:sz w:val="20"/>
              </w:rPr>
              <w:t>,</w:t>
            </w:r>
            <w:r w:rsidRPr="00117237">
              <w:rPr>
                <w:rFonts w:asciiTheme="majorHAnsi" w:hAnsiTheme="majorHAnsi"/>
                <w:i/>
                <w:iCs/>
                <w:color w:val="931B2F" w:themeColor="background2"/>
                <w:sz w:val="20"/>
              </w:rPr>
              <w:t xml:space="preserve"> it helped us understand in a whole different light and the evidence to back it up.’ – TAFE stakeholder </w:t>
            </w:r>
          </w:p>
          <w:p w14:paraId="0A3D4DC5" w14:textId="77777777" w:rsidR="007A191D" w:rsidRPr="00117237" w:rsidRDefault="007A191D">
            <w:pPr>
              <w:contextualSpacing/>
              <w:jc w:val="right"/>
              <w:rPr>
                <w:rFonts w:asciiTheme="majorHAnsi" w:hAnsiTheme="majorHAnsi"/>
                <w:i/>
                <w:iCs/>
                <w:color w:val="931B2F" w:themeColor="background2"/>
                <w:sz w:val="20"/>
              </w:rPr>
            </w:pPr>
          </w:p>
          <w:p w14:paraId="6CDD4393" w14:textId="73D7BD72" w:rsidR="007A191D" w:rsidRPr="00117237" w:rsidRDefault="007A191D">
            <w:pPr>
              <w:contextualSpacing/>
              <w:jc w:val="right"/>
              <w:rPr>
                <w:rFonts w:asciiTheme="majorHAnsi" w:hAnsiTheme="majorHAnsi"/>
                <w:i/>
                <w:color w:val="931B2F" w:themeColor="background2"/>
                <w:sz w:val="20"/>
              </w:rPr>
            </w:pPr>
            <w:r w:rsidRPr="00117237">
              <w:rPr>
                <w:rFonts w:asciiTheme="majorHAnsi" w:hAnsiTheme="majorHAnsi"/>
                <w:i/>
                <w:iCs/>
                <w:color w:val="931B2F" w:themeColor="background2"/>
                <w:sz w:val="20"/>
              </w:rPr>
              <w:t>‘We changed the session to include more info on the socioecological model</w:t>
            </w:r>
            <w:r w:rsidR="00D11CF0" w:rsidRPr="00117237">
              <w:rPr>
                <w:rFonts w:asciiTheme="majorHAnsi" w:hAnsiTheme="majorHAnsi"/>
                <w:i/>
                <w:iCs/>
                <w:color w:val="931B2F" w:themeColor="background2"/>
                <w:sz w:val="20"/>
              </w:rPr>
              <w:t xml:space="preserve">, </w:t>
            </w:r>
            <w:r w:rsidRPr="00117237">
              <w:rPr>
                <w:rFonts w:asciiTheme="majorHAnsi" w:hAnsiTheme="majorHAnsi"/>
                <w:i/>
                <w:iCs/>
                <w:color w:val="931B2F" w:themeColor="background2"/>
                <w:sz w:val="20"/>
              </w:rPr>
              <w:t xml:space="preserve">although complex to describe, </w:t>
            </w:r>
            <w:r w:rsidR="0056097C" w:rsidRPr="00117237">
              <w:rPr>
                <w:rFonts w:asciiTheme="majorHAnsi" w:hAnsiTheme="majorHAnsi"/>
                <w:i/>
                <w:iCs/>
                <w:color w:val="931B2F" w:themeColor="background2"/>
                <w:sz w:val="20"/>
              </w:rPr>
              <w:t xml:space="preserve">it will be </w:t>
            </w:r>
            <w:r w:rsidRPr="00117237">
              <w:rPr>
                <w:rFonts w:asciiTheme="majorHAnsi" w:hAnsiTheme="majorHAnsi"/>
                <w:i/>
                <w:iCs/>
                <w:color w:val="931B2F" w:themeColor="background2"/>
                <w:sz w:val="20"/>
              </w:rPr>
              <w:t>helpful to do in other future iterations’ – Our Watch stakeholder</w:t>
            </w:r>
          </w:p>
        </w:tc>
        <w:tc>
          <w:tcPr>
            <w:tcW w:w="1435" w:type="pct"/>
            <w:shd w:val="clear" w:color="auto" w:fill="FFFFFF" w:themeFill="background1"/>
          </w:tcPr>
          <w:p w14:paraId="7F764367" w14:textId="32970D2A" w:rsidR="007A191D" w:rsidRPr="00117237" w:rsidRDefault="007A191D">
            <w:pPr>
              <w:contextualSpacing/>
              <w:jc w:val="right"/>
              <w:rPr>
                <w:rFonts w:asciiTheme="majorHAnsi" w:hAnsiTheme="majorHAnsi"/>
                <w:i/>
                <w:iCs/>
                <w:color w:val="931B2F" w:themeColor="background2"/>
                <w:sz w:val="20"/>
              </w:rPr>
            </w:pPr>
            <w:r w:rsidRPr="00117237">
              <w:rPr>
                <w:rFonts w:asciiTheme="majorHAnsi" w:hAnsiTheme="majorHAnsi"/>
                <w:i/>
                <w:iCs/>
                <w:color w:val="931B2F" w:themeColor="background2"/>
                <w:sz w:val="20"/>
              </w:rPr>
              <w:t>‘This is about knocking off low hanging fruit and pu</w:t>
            </w:r>
            <w:r w:rsidR="0056097C" w:rsidRPr="00117237">
              <w:rPr>
                <w:rFonts w:asciiTheme="majorHAnsi" w:hAnsiTheme="majorHAnsi"/>
                <w:i/>
                <w:iCs/>
                <w:color w:val="931B2F" w:themeColor="background2"/>
                <w:sz w:val="20"/>
              </w:rPr>
              <w:t>tting</w:t>
            </w:r>
            <w:r w:rsidRPr="00117237">
              <w:rPr>
                <w:rFonts w:asciiTheme="majorHAnsi" w:hAnsiTheme="majorHAnsi"/>
                <w:i/>
                <w:iCs/>
                <w:color w:val="931B2F" w:themeColor="background2"/>
                <w:sz w:val="20"/>
              </w:rPr>
              <w:t xml:space="preserve"> in place some foundational processes’ – TAFE stakeholder</w:t>
            </w:r>
          </w:p>
          <w:p w14:paraId="7704C0EC" w14:textId="6E99C93E" w:rsidR="007A191D" w:rsidRPr="00117237" w:rsidRDefault="007A191D">
            <w:pPr>
              <w:contextualSpacing/>
              <w:jc w:val="right"/>
              <w:rPr>
                <w:rFonts w:asciiTheme="majorHAnsi" w:hAnsiTheme="majorHAnsi"/>
                <w:i/>
                <w:iCs/>
                <w:color w:val="931B2F" w:themeColor="background2"/>
                <w:sz w:val="20"/>
              </w:rPr>
            </w:pPr>
          </w:p>
          <w:p w14:paraId="0C6A1D57" w14:textId="16C05050" w:rsidR="007A191D" w:rsidRPr="00117237" w:rsidRDefault="0056097C">
            <w:pPr>
              <w:contextualSpacing/>
              <w:jc w:val="right"/>
              <w:rPr>
                <w:rFonts w:asciiTheme="majorHAnsi" w:hAnsiTheme="majorHAnsi"/>
                <w:i/>
                <w:color w:val="931B2F" w:themeColor="background2"/>
                <w:sz w:val="20"/>
              </w:rPr>
            </w:pPr>
            <w:r w:rsidRPr="00117237">
              <w:rPr>
                <w:rFonts w:asciiTheme="majorHAnsi" w:hAnsiTheme="majorHAnsi"/>
                <w:i/>
                <w:iCs/>
                <w:color w:val="931B2F" w:themeColor="background2"/>
                <w:sz w:val="20"/>
              </w:rPr>
              <w:t>‘</w:t>
            </w:r>
            <w:r w:rsidR="007A191D" w:rsidRPr="00117237">
              <w:rPr>
                <w:rFonts w:asciiTheme="majorHAnsi" w:hAnsiTheme="majorHAnsi"/>
                <w:i/>
                <w:iCs/>
                <w:color w:val="931B2F" w:themeColor="background2"/>
                <w:sz w:val="20"/>
              </w:rPr>
              <w:t>This first plan isn’t going to change the world. It will support to build a foundation for work into the future’ – Our Watch stakeholder</w:t>
            </w:r>
          </w:p>
        </w:tc>
        <w:tc>
          <w:tcPr>
            <w:tcW w:w="1440" w:type="pct"/>
            <w:shd w:val="clear" w:color="auto" w:fill="FFFFFF" w:themeFill="background1"/>
          </w:tcPr>
          <w:p w14:paraId="5DF452F8" w14:textId="77777777" w:rsidR="007A191D" w:rsidRPr="00117237" w:rsidRDefault="007A191D">
            <w:pPr>
              <w:contextualSpacing/>
              <w:jc w:val="right"/>
              <w:rPr>
                <w:rFonts w:asciiTheme="majorHAnsi" w:hAnsiTheme="majorHAnsi"/>
                <w:i/>
                <w:sz w:val="20"/>
              </w:rPr>
            </w:pPr>
            <w:r w:rsidRPr="00117237">
              <w:rPr>
                <w:rFonts w:asciiTheme="majorHAnsi" w:hAnsiTheme="majorHAnsi"/>
                <w:i/>
                <w:iCs/>
                <w:color w:val="931B2F" w:themeColor="background2"/>
                <w:sz w:val="20"/>
              </w:rPr>
              <w:t>‘The reason we wanted a group is the knowledge is within numerous places, not just one, inclusive and diverse backgrounds will result in a much richer conversation and hopefully richer outcomes.’ – Our Watch stakeholder</w:t>
            </w:r>
          </w:p>
        </w:tc>
      </w:tr>
    </w:tbl>
    <w:p w14:paraId="41C4079A" w14:textId="77777777" w:rsidR="00A83F94" w:rsidRPr="00117237" w:rsidRDefault="00A83F94" w:rsidP="00462C12">
      <w:pPr>
        <w:pStyle w:val="ListBullet"/>
        <w:ind w:firstLine="0"/>
        <w:sectPr w:rsidR="00A83F94" w:rsidRPr="00117237" w:rsidSect="00A83F94">
          <w:pgSz w:w="16838" w:h="11906" w:orient="landscape" w:code="9"/>
          <w:pgMar w:top="1134" w:right="720" w:bottom="1134" w:left="720" w:header="567" w:footer="567" w:gutter="0"/>
          <w:cols w:space="708"/>
          <w:docGrid w:linePitch="360"/>
        </w:sectPr>
      </w:pPr>
    </w:p>
    <w:p w14:paraId="27A82A2B" w14:textId="3FDADAFF" w:rsidR="00C240EF" w:rsidRPr="00117237" w:rsidRDefault="00DE13F7" w:rsidP="000D53C6">
      <w:pPr>
        <w:pStyle w:val="Heading2"/>
      </w:pPr>
      <w:bookmarkStart w:id="30" w:name="_Toc204168361"/>
      <w:r w:rsidRPr="00117237">
        <w:lastRenderedPageBreak/>
        <w:t>Program impact</w:t>
      </w:r>
      <w:bookmarkEnd w:id="30"/>
    </w:p>
    <w:tbl>
      <w:tblPr>
        <w:tblStyle w:val="TableGrid"/>
        <w:tblW w:w="0" w:type="auto"/>
        <w:tblLook w:val="04A0" w:firstRow="1" w:lastRow="0" w:firstColumn="1" w:lastColumn="0" w:noHBand="0" w:noVBand="1"/>
      </w:tblPr>
      <w:tblGrid>
        <w:gridCol w:w="9628"/>
      </w:tblGrid>
      <w:tr w:rsidR="004B5372" w:rsidRPr="00117237" w14:paraId="4A699022" w14:textId="77777777">
        <w:tc>
          <w:tcPr>
            <w:tcW w:w="9628" w:type="dxa"/>
            <w:tcBorders>
              <w:top w:val="nil"/>
              <w:left w:val="nil"/>
              <w:bottom w:val="nil"/>
              <w:right w:val="nil"/>
            </w:tcBorders>
            <w:shd w:val="clear" w:color="auto" w:fill="D9D9D9" w:themeFill="background1" w:themeFillShade="D9"/>
          </w:tcPr>
          <w:p w14:paraId="0978DC07" w14:textId="77777777" w:rsidR="004B5372" w:rsidRPr="00117237" w:rsidRDefault="004B5372" w:rsidP="00AE74F5">
            <w:pPr>
              <w:pStyle w:val="NormalSingleSpacing"/>
              <w:rPr>
                <w:b/>
                <w:bCs/>
              </w:rPr>
            </w:pPr>
            <w:r w:rsidRPr="00117237">
              <w:rPr>
                <w:b/>
                <w:bCs/>
              </w:rPr>
              <w:t>Key insights</w:t>
            </w:r>
          </w:p>
          <w:p w14:paraId="26E8B1CF" w14:textId="730490F1" w:rsidR="007F1301" w:rsidRPr="00117237" w:rsidRDefault="007F1301" w:rsidP="00756D65">
            <w:pPr>
              <w:pStyle w:val="ListBullet"/>
              <w:numPr>
                <w:ilvl w:val="0"/>
                <w:numId w:val="24"/>
              </w:numPr>
              <w:rPr>
                <w:color w:val="4D4D4D" w:themeColor="text2"/>
              </w:rPr>
            </w:pPr>
            <w:r w:rsidRPr="00117237">
              <w:t>We found evidence of:</w:t>
            </w:r>
          </w:p>
          <w:p w14:paraId="47FA1ACE" w14:textId="78D15FD9" w:rsidR="007F1301" w:rsidRPr="00117237" w:rsidRDefault="007F1301" w:rsidP="00756D65">
            <w:pPr>
              <w:pStyle w:val="ListBullet"/>
              <w:numPr>
                <w:ilvl w:val="1"/>
                <w:numId w:val="24"/>
              </w:numPr>
            </w:pPr>
            <w:r w:rsidRPr="00117237">
              <w:rPr>
                <w:b/>
                <w:bCs/>
              </w:rPr>
              <w:t>Foundational changes -</w:t>
            </w:r>
            <w:r w:rsidRPr="00117237">
              <w:t xml:space="preserve"> most TAFEs developed their first Gender Equality Action Plans, focusing on achievable goals such as policy reviews, inclusive language adjustments, and monitoring processes.</w:t>
            </w:r>
          </w:p>
          <w:p w14:paraId="60E32B0C" w14:textId="77777777" w:rsidR="007F1301" w:rsidRPr="00117237" w:rsidRDefault="007F1301" w:rsidP="00756D65">
            <w:pPr>
              <w:pStyle w:val="ListBullet"/>
              <w:numPr>
                <w:ilvl w:val="1"/>
                <w:numId w:val="24"/>
              </w:numPr>
            </w:pPr>
            <w:r w:rsidRPr="00117237">
              <w:rPr>
                <w:b/>
                <w:bCs/>
              </w:rPr>
              <w:t xml:space="preserve">Individual impact - </w:t>
            </w:r>
            <w:r w:rsidRPr="00117237">
              <w:t>participants reported increased understanding of gender equality and confidence in addressing primary prevention within their institutions.</w:t>
            </w:r>
          </w:p>
          <w:p w14:paraId="05F75FE0" w14:textId="77777777" w:rsidR="007F1301" w:rsidRPr="00117237" w:rsidRDefault="007F1301" w:rsidP="00756D65">
            <w:pPr>
              <w:pStyle w:val="ListBullet"/>
              <w:numPr>
                <w:ilvl w:val="1"/>
                <w:numId w:val="24"/>
              </w:numPr>
            </w:pPr>
            <w:r w:rsidRPr="00117237">
              <w:rPr>
                <w:b/>
                <w:bCs/>
              </w:rPr>
              <w:t>Institutional impact</w:t>
            </w:r>
            <w:r w:rsidRPr="00117237">
              <w:t xml:space="preserve"> - examples of change included revised recruitment practices, inclusion-focused enterprise agreements, and greater integration of gender equality into teaching practices.</w:t>
            </w:r>
          </w:p>
          <w:p w14:paraId="7E25D928" w14:textId="77777777" w:rsidR="007F1301" w:rsidRPr="00117237" w:rsidRDefault="007F1301" w:rsidP="00756D65">
            <w:pPr>
              <w:pStyle w:val="ListBullet"/>
              <w:numPr>
                <w:ilvl w:val="1"/>
                <w:numId w:val="24"/>
              </w:numPr>
            </w:pPr>
            <w:r w:rsidRPr="00117237">
              <w:rPr>
                <w:b/>
                <w:bCs/>
              </w:rPr>
              <w:t>Sector-wide impact</w:t>
            </w:r>
            <w:r w:rsidRPr="00117237">
              <w:t xml:space="preserve"> - CoPs enabled knowledge sharing across jurisdictions. </w:t>
            </w:r>
          </w:p>
          <w:p w14:paraId="39F27B43" w14:textId="169568CE" w:rsidR="00E302A9" w:rsidRPr="00117237" w:rsidRDefault="00326C71" w:rsidP="00756D65">
            <w:pPr>
              <w:pStyle w:val="ListBullet"/>
              <w:numPr>
                <w:ilvl w:val="0"/>
                <w:numId w:val="24"/>
              </w:numPr>
            </w:pPr>
            <w:r w:rsidRPr="00117237">
              <w:t xml:space="preserve">There are positive signs of </w:t>
            </w:r>
            <w:r w:rsidR="00C513BB" w:rsidRPr="00117237">
              <w:t xml:space="preserve">lasting change and </w:t>
            </w:r>
            <w:r w:rsidRPr="00117237">
              <w:t xml:space="preserve">sustainability </w:t>
            </w:r>
            <w:r w:rsidR="00C513BB" w:rsidRPr="00117237">
              <w:t>of outcomes</w:t>
            </w:r>
            <w:r w:rsidRPr="00117237">
              <w:t xml:space="preserve"> at some of the TAFEs.</w:t>
            </w:r>
            <w:r w:rsidR="007F1301" w:rsidRPr="00117237">
              <w:t xml:space="preserve"> </w:t>
            </w:r>
            <w:r w:rsidR="0054139C" w:rsidRPr="00117237">
              <w:t>However, r</w:t>
            </w:r>
            <w:r w:rsidR="00E302A9" w:rsidRPr="00117237">
              <w:t xml:space="preserve">eliance on individual champions over broader buy-in, and lack of resourcing to maintain momentum are barriers to achieving sustainable, whole of institutional change beyond the life of RET2. </w:t>
            </w:r>
          </w:p>
          <w:p w14:paraId="7C9DBD06" w14:textId="3C36A662" w:rsidR="00912A8D" w:rsidRPr="00117237" w:rsidRDefault="00E302A9" w:rsidP="00756D65">
            <w:pPr>
              <w:pStyle w:val="ListBullet"/>
              <w:numPr>
                <w:ilvl w:val="0"/>
                <w:numId w:val="24"/>
              </w:numPr>
            </w:pPr>
            <w:r w:rsidRPr="00117237">
              <w:t>The project has contributed to the evidence-base about what works to support changes to promote general equality and prevent violence against women in TAFEs, and what is needed to make this work sustainable.</w:t>
            </w:r>
          </w:p>
        </w:tc>
      </w:tr>
    </w:tbl>
    <w:p w14:paraId="29FB1CC0" w14:textId="7EE79BDF" w:rsidR="004C7581" w:rsidRPr="00117237" w:rsidRDefault="00BC3247" w:rsidP="00D20086">
      <w:pPr>
        <w:pStyle w:val="Heading3Normal"/>
        <w:rPr>
          <w:strike/>
        </w:rPr>
      </w:pPr>
      <w:r w:rsidRPr="00117237">
        <w:t>For most TAFEs</w:t>
      </w:r>
      <w:r w:rsidR="00F846EA" w:rsidRPr="00117237">
        <w:t>, RET2</w:t>
      </w:r>
      <w:r w:rsidRPr="00117237">
        <w:t xml:space="preserve"> marked the beginning of their </w:t>
      </w:r>
      <w:r w:rsidR="00B55AE0" w:rsidRPr="00117237">
        <w:t>journey with</w:t>
      </w:r>
      <w:r w:rsidRPr="00117237">
        <w:t xml:space="preserve"> primary prevention, </w:t>
      </w:r>
      <w:r w:rsidR="00B84C78" w:rsidRPr="00117237">
        <w:t>meaning</w:t>
      </w:r>
      <w:r w:rsidRPr="00117237">
        <w:t xml:space="preserve"> changes are more foundational.</w:t>
      </w:r>
    </w:p>
    <w:p w14:paraId="5549C423" w14:textId="0484339C" w:rsidR="00D20086" w:rsidRPr="00117237" w:rsidRDefault="006223CE" w:rsidP="00D20086">
      <w:r w:rsidRPr="00117237">
        <w:t>F</w:t>
      </w:r>
      <w:r w:rsidR="005D4AEA" w:rsidRPr="00117237">
        <w:t xml:space="preserve">or most TAFEs </w:t>
      </w:r>
      <w:r w:rsidR="00E87059" w:rsidRPr="00117237">
        <w:t>RET2 was</w:t>
      </w:r>
      <w:r w:rsidR="005D4AEA" w:rsidRPr="00117237">
        <w:t xml:space="preserve"> the </w:t>
      </w:r>
      <w:r w:rsidR="00E87059" w:rsidRPr="00117237">
        <w:t>start</w:t>
      </w:r>
      <w:r w:rsidR="005D4AEA" w:rsidRPr="00117237">
        <w:t xml:space="preserve"> of their work in gender equality and primary prevention</w:t>
      </w:r>
      <w:r w:rsidR="00F71F01" w:rsidRPr="00117237">
        <w:t>. Even f</w:t>
      </w:r>
      <w:r w:rsidR="005D4AEA" w:rsidRPr="00117237">
        <w:t xml:space="preserve">or those who had done work in this space, </w:t>
      </w:r>
      <w:r w:rsidR="00290166" w:rsidRPr="00117237">
        <w:t xml:space="preserve">the focus had previously been more on awareness raising than on whole of institution change. </w:t>
      </w:r>
      <w:r w:rsidR="00055737" w:rsidRPr="00117237">
        <w:t>As such</w:t>
      </w:r>
      <w:r w:rsidR="00D01887" w:rsidRPr="00117237">
        <w:t xml:space="preserve">, the gender equality action plans TAFEs developed as part of this project </w:t>
      </w:r>
      <w:r w:rsidR="00F96E61" w:rsidRPr="00117237">
        <w:t xml:space="preserve">were focussed on laying the foundation for future </w:t>
      </w:r>
      <w:r w:rsidR="002951E7" w:rsidRPr="00117237">
        <w:t>changes</w:t>
      </w:r>
      <w:r w:rsidR="00462B15" w:rsidRPr="00117237">
        <w:t>.</w:t>
      </w:r>
      <w:r w:rsidR="002951E7" w:rsidRPr="00117237">
        <w:t xml:space="preserve"> </w:t>
      </w:r>
      <w:r w:rsidR="00AD41A0" w:rsidRPr="00117237">
        <w:t>While some TAFEs felt they could be more aspirational, there was general understanding that this foundational element was necessary.</w:t>
      </w:r>
    </w:p>
    <w:p w14:paraId="5383222F" w14:textId="0B915623" w:rsidR="00E73B7E" w:rsidRPr="00117237" w:rsidRDefault="00E73B7E" w:rsidP="00E73B7E">
      <w:pPr>
        <w:pStyle w:val="ListParagraph"/>
        <w:numPr>
          <w:ilvl w:val="0"/>
          <w:numId w:val="0"/>
        </w:numPr>
        <w:spacing w:after="160" w:line="279" w:lineRule="auto"/>
        <w:ind w:left="720"/>
        <w:jc w:val="right"/>
        <w:rPr>
          <w:i/>
          <w:iCs/>
          <w:color w:val="931B2F" w:themeColor="background2"/>
          <w:szCs w:val="22"/>
        </w:rPr>
      </w:pPr>
      <w:r w:rsidRPr="00117237">
        <w:rPr>
          <w:i/>
          <w:iCs/>
          <w:color w:val="931B2F" w:themeColor="background2"/>
          <w:szCs w:val="22"/>
        </w:rPr>
        <w:t xml:space="preserve">‘This first plan isn’t going to change the world. It will support you to build a foundation for work into the </w:t>
      </w:r>
      <w:r w:rsidR="00B74F3D" w:rsidRPr="00117237">
        <w:rPr>
          <w:i/>
          <w:iCs/>
          <w:color w:val="931B2F" w:themeColor="background2"/>
          <w:szCs w:val="22"/>
        </w:rPr>
        <w:t>future.</w:t>
      </w:r>
      <w:r w:rsidRPr="00117237">
        <w:rPr>
          <w:i/>
          <w:iCs/>
          <w:color w:val="931B2F" w:themeColor="background2"/>
          <w:szCs w:val="22"/>
        </w:rPr>
        <w:t xml:space="preserve">’ – Our Watch stakeholder </w:t>
      </w:r>
    </w:p>
    <w:p w14:paraId="1C6FF8C4" w14:textId="23764CB9" w:rsidR="00EE3883" w:rsidRPr="00117237" w:rsidRDefault="00D449AD" w:rsidP="00077D96">
      <w:pPr>
        <w:jc w:val="right"/>
        <w:rPr>
          <w:bCs/>
          <w:i/>
          <w:iCs/>
          <w:color w:val="931B2F" w:themeColor="background2"/>
          <w:szCs w:val="22"/>
        </w:rPr>
      </w:pPr>
      <w:r w:rsidRPr="00117237">
        <w:rPr>
          <w:bCs/>
          <w:i/>
          <w:iCs/>
          <w:color w:val="931B2F" w:themeColor="background2"/>
          <w:szCs w:val="22"/>
        </w:rPr>
        <w:t xml:space="preserve">‘I would have loved our plan to be more ambitious but it’s not the stuff that’s shiny that matters, </w:t>
      </w:r>
      <w:r w:rsidR="00E87059" w:rsidRPr="00117237">
        <w:rPr>
          <w:bCs/>
          <w:i/>
          <w:iCs/>
          <w:color w:val="931B2F" w:themeColor="background2"/>
          <w:szCs w:val="22"/>
        </w:rPr>
        <w:t>it’s</w:t>
      </w:r>
      <w:r w:rsidRPr="00117237">
        <w:rPr>
          <w:bCs/>
          <w:i/>
          <w:iCs/>
          <w:color w:val="931B2F" w:themeColor="background2"/>
          <w:szCs w:val="22"/>
        </w:rPr>
        <w:t xml:space="preserve"> about better </w:t>
      </w:r>
      <w:r w:rsidR="00B74F3D" w:rsidRPr="00117237">
        <w:rPr>
          <w:bCs/>
          <w:i/>
          <w:iCs/>
          <w:color w:val="931B2F" w:themeColor="background2"/>
          <w:szCs w:val="22"/>
        </w:rPr>
        <w:t>evaluation</w:t>
      </w:r>
      <w:r w:rsidRPr="00117237">
        <w:rPr>
          <w:bCs/>
          <w:i/>
          <w:iCs/>
          <w:color w:val="931B2F" w:themeColor="background2"/>
          <w:szCs w:val="22"/>
        </w:rPr>
        <w:t>, connections between activities, but it’s also about systems, and bringing in equity to policy and default stuff</w:t>
      </w:r>
      <w:r w:rsidR="005966C5">
        <w:rPr>
          <w:bCs/>
          <w:i/>
          <w:iCs/>
          <w:color w:val="931B2F" w:themeColor="background2"/>
          <w:szCs w:val="22"/>
        </w:rPr>
        <w:t>.</w:t>
      </w:r>
      <w:r w:rsidRPr="00117237">
        <w:rPr>
          <w:bCs/>
          <w:i/>
          <w:iCs/>
          <w:color w:val="931B2F" w:themeColor="background2"/>
          <w:szCs w:val="22"/>
        </w:rPr>
        <w:t xml:space="preserve"> </w:t>
      </w:r>
      <w:r w:rsidR="005966C5">
        <w:rPr>
          <w:bCs/>
          <w:i/>
          <w:iCs/>
          <w:color w:val="931B2F" w:themeColor="background2"/>
          <w:szCs w:val="22"/>
        </w:rPr>
        <w:t>I</w:t>
      </w:r>
      <w:r w:rsidR="00EE3883" w:rsidRPr="00117237">
        <w:rPr>
          <w:bCs/>
          <w:i/>
          <w:iCs/>
          <w:color w:val="931B2F" w:themeColor="background2"/>
          <w:szCs w:val="22"/>
        </w:rPr>
        <w:t>t’s not shiny, but it will make a difference to the day to day</w:t>
      </w:r>
      <w:r w:rsidR="00B74F3D" w:rsidRPr="00117237">
        <w:rPr>
          <w:bCs/>
          <w:i/>
          <w:iCs/>
          <w:color w:val="931B2F" w:themeColor="background2"/>
          <w:szCs w:val="22"/>
        </w:rPr>
        <w:t>.</w:t>
      </w:r>
      <w:r w:rsidR="00EE3883" w:rsidRPr="00117237">
        <w:rPr>
          <w:bCs/>
          <w:i/>
          <w:iCs/>
          <w:color w:val="931B2F" w:themeColor="background2"/>
          <w:szCs w:val="22"/>
        </w:rPr>
        <w:t>’ – TAFE stakeholder</w:t>
      </w:r>
    </w:p>
    <w:p w14:paraId="6E1BBAB8" w14:textId="77777777" w:rsidR="00742760" w:rsidRPr="00117237" w:rsidRDefault="001D02ED" w:rsidP="00D20086">
      <w:r w:rsidRPr="00117237">
        <w:t xml:space="preserve">Some examples of </w:t>
      </w:r>
      <w:r w:rsidR="00463898" w:rsidRPr="00117237">
        <w:t>foundational actions in the current action plans which demonstrate the goals being set at this stage include</w:t>
      </w:r>
      <w:r w:rsidR="00742760" w:rsidRPr="00117237">
        <w:t>:</w:t>
      </w:r>
    </w:p>
    <w:p w14:paraId="13E9E73A" w14:textId="1DBAD53E" w:rsidR="00D20086" w:rsidRPr="00117237" w:rsidRDefault="0048750F" w:rsidP="00137293">
      <w:pPr>
        <w:pStyle w:val="ListBullet"/>
      </w:pPr>
      <w:r w:rsidRPr="00117237">
        <w:rPr>
          <w:b/>
          <w:bCs/>
        </w:rPr>
        <w:t>Establishing</w:t>
      </w:r>
      <w:r w:rsidR="00742760" w:rsidRPr="00117237">
        <w:rPr>
          <w:b/>
        </w:rPr>
        <w:t xml:space="preserve"> monitoring and evaluation processes</w:t>
      </w:r>
      <w:r w:rsidR="00742760" w:rsidRPr="00117237">
        <w:t xml:space="preserve"> and activities to measure progress from this point onwards</w:t>
      </w:r>
    </w:p>
    <w:p w14:paraId="3B113783" w14:textId="709682D2" w:rsidR="005800C4" w:rsidRPr="00117237" w:rsidRDefault="005800C4" w:rsidP="00137293">
      <w:pPr>
        <w:pStyle w:val="ListBullet"/>
      </w:pPr>
      <w:r w:rsidRPr="00117237">
        <w:rPr>
          <w:b/>
        </w:rPr>
        <w:t>Reviewing current systems</w:t>
      </w:r>
      <w:r w:rsidR="0056119D" w:rsidRPr="00117237">
        <w:rPr>
          <w:b/>
        </w:rPr>
        <w:t>, p</w:t>
      </w:r>
      <w:r w:rsidRPr="00117237">
        <w:rPr>
          <w:b/>
        </w:rPr>
        <w:t xml:space="preserve">olicies </w:t>
      </w:r>
      <w:r w:rsidR="0056119D" w:rsidRPr="00117237">
        <w:rPr>
          <w:b/>
        </w:rPr>
        <w:t>and key documents</w:t>
      </w:r>
      <w:r w:rsidR="0056119D" w:rsidRPr="00117237">
        <w:t xml:space="preserve"> </w:t>
      </w:r>
      <w:r w:rsidRPr="00117237">
        <w:t xml:space="preserve">with an equity and inclusion lens </w:t>
      </w:r>
    </w:p>
    <w:p w14:paraId="60657281" w14:textId="052A284D" w:rsidR="008D774F" w:rsidRPr="00117237" w:rsidRDefault="009E2D80" w:rsidP="00CE5D27">
      <w:r w:rsidRPr="00117237">
        <w:t xml:space="preserve">TAFE stakeholders </w:t>
      </w:r>
      <w:r w:rsidR="00387D06" w:rsidRPr="00117237">
        <w:t xml:space="preserve">we spoke to </w:t>
      </w:r>
      <w:r w:rsidRPr="00117237">
        <w:t>discussed</w:t>
      </w:r>
      <w:r w:rsidR="00343E5D" w:rsidRPr="00117237">
        <w:t xml:space="preserve"> that </w:t>
      </w:r>
      <w:r w:rsidR="00A3324E" w:rsidRPr="00117237">
        <w:t xml:space="preserve">bringing a group of people together, and co-creating </w:t>
      </w:r>
      <w:r w:rsidR="00EB4D6C" w:rsidRPr="00117237">
        <w:t xml:space="preserve">a </w:t>
      </w:r>
      <w:r w:rsidR="00991583" w:rsidRPr="00117237">
        <w:t>gender equality</w:t>
      </w:r>
      <w:r w:rsidR="008900DC" w:rsidRPr="00117237">
        <w:t xml:space="preserve"> action plan</w:t>
      </w:r>
      <w:r w:rsidR="00991583" w:rsidRPr="00117237">
        <w:t xml:space="preserve"> </w:t>
      </w:r>
      <w:r w:rsidR="00A3324E" w:rsidRPr="00117237">
        <w:t>that now has the support and</w:t>
      </w:r>
      <w:r w:rsidR="00991583" w:rsidRPr="00117237">
        <w:t xml:space="preserve"> buy-in from TAFE leadership</w:t>
      </w:r>
      <w:r w:rsidR="008900DC" w:rsidRPr="00117237">
        <w:t xml:space="preserve"> was a key </w:t>
      </w:r>
      <w:r w:rsidR="00D24048" w:rsidRPr="00117237">
        <w:t>outcome, regardless</w:t>
      </w:r>
      <w:r w:rsidR="00C346D8" w:rsidRPr="00117237">
        <w:t xml:space="preserve"> of the level of ambition of the current actions within the action plans. </w:t>
      </w:r>
      <w:r w:rsidR="00A2742D" w:rsidRPr="00117237">
        <w:t>P</w:t>
      </w:r>
      <w:r w:rsidR="00B945CE" w:rsidRPr="00117237">
        <w:t>assionate project participants within the TAFEs are hopeful that subsequent action plans will be more ambitious</w:t>
      </w:r>
      <w:r w:rsidR="003B624E" w:rsidRPr="00117237">
        <w:t>, although this may be representative of individual champions than a TAFE-wide view</w:t>
      </w:r>
      <w:r w:rsidR="00B945CE" w:rsidRPr="00117237">
        <w:t xml:space="preserve">. </w:t>
      </w:r>
    </w:p>
    <w:p w14:paraId="12852011" w14:textId="40FCF515" w:rsidR="00807A3A" w:rsidRPr="008D615E" w:rsidRDefault="008D774F" w:rsidP="008D615E">
      <w:pPr>
        <w:jc w:val="right"/>
        <w:rPr>
          <w:i/>
          <w:color w:val="931B2F" w:themeColor="background2"/>
          <w:szCs w:val="22"/>
        </w:rPr>
      </w:pPr>
      <w:r w:rsidRPr="00117237">
        <w:rPr>
          <w:bCs/>
          <w:i/>
          <w:iCs/>
          <w:color w:val="931B2F" w:themeColor="background2"/>
          <w:szCs w:val="22"/>
        </w:rPr>
        <w:t>‘My hope is that in two years there’s a more ambitious plan that will come out. This is about knocking off low hanging fruit and put</w:t>
      </w:r>
      <w:r w:rsidR="005966C5">
        <w:rPr>
          <w:bCs/>
          <w:i/>
          <w:iCs/>
          <w:color w:val="931B2F" w:themeColor="background2"/>
          <w:szCs w:val="22"/>
        </w:rPr>
        <w:t>ting</w:t>
      </w:r>
      <w:r w:rsidRPr="00117237">
        <w:rPr>
          <w:bCs/>
          <w:i/>
          <w:iCs/>
          <w:color w:val="931B2F" w:themeColor="background2"/>
          <w:szCs w:val="22"/>
        </w:rPr>
        <w:t xml:space="preserve"> in place some foundational processes and eval</w:t>
      </w:r>
      <w:r w:rsidR="00D37FA8" w:rsidRPr="00117237">
        <w:rPr>
          <w:bCs/>
          <w:i/>
          <w:iCs/>
          <w:color w:val="931B2F" w:themeColor="background2"/>
          <w:szCs w:val="22"/>
        </w:rPr>
        <w:t>uation</w:t>
      </w:r>
      <w:r w:rsidRPr="00117237">
        <w:rPr>
          <w:bCs/>
          <w:i/>
          <w:iCs/>
          <w:color w:val="931B2F" w:themeColor="background2"/>
          <w:szCs w:val="22"/>
        </w:rPr>
        <w:t xml:space="preserve"> processes as we go</w:t>
      </w:r>
      <w:r w:rsidR="00B74F3D" w:rsidRPr="00117237">
        <w:rPr>
          <w:bCs/>
          <w:i/>
          <w:iCs/>
          <w:color w:val="931B2F" w:themeColor="background2"/>
          <w:szCs w:val="22"/>
        </w:rPr>
        <w:t>.</w:t>
      </w:r>
      <w:r w:rsidR="00D37FA8" w:rsidRPr="00117237">
        <w:rPr>
          <w:bCs/>
          <w:i/>
          <w:iCs/>
          <w:color w:val="931B2F" w:themeColor="background2"/>
          <w:szCs w:val="22"/>
        </w:rPr>
        <w:t xml:space="preserve">’ – TAFE </w:t>
      </w:r>
      <w:r w:rsidR="00DD7494" w:rsidRPr="00117237">
        <w:rPr>
          <w:bCs/>
          <w:i/>
          <w:iCs/>
          <w:color w:val="931B2F" w:themeColor="background2"/>
          <w:szCs w:val="22"/>
        </w:rPr>
        <w:t>stakeholder</w:t>
      </w:r>
    </w:p>
    <w:p w14:paraId="5D5E3E6C" w14:textId="13C9455D" w:rsidR="00B66114" w:rsidRPr="00117237" w:rsidRDefault="00683620" w:rsidP="003E346F">
      <w:pPr>
        <w:pStyle w:val="Heading3Normal"/>
      </w:pPr>
      <w:r w:rsidRPr="00117237">
        <w:t xml:space="preserve">Individual </w:t>
      </w:r>
      <w:r w:rsidR="0052082A" w:rsidRPr="00117237">
        <w:t>p</w:t>
      </w:r>
      <w:r w:rsidR="00E7738F" w:rsidRPr="00117237">
        <w:t xml:space="preserve">articipants </w:t>
      </w:r>
      <w:r w:rsidRPr="00117237">
        <w:t xml:space="preserve">felt they </w:t>
      </w:r>
      <w:r w:rsidR="00E7738F" w:rsidRPr="00117237">
        <w:t xml:space="preserve">have </w:t>
      </w:r>
      <w:r w:rsidR="00CD6C3E" w:rsidRPr="00117237">
        <w:t>greater</w:t>
      </w:r>
      <w:r w:rsidR="00B66114" w:rsidRPr="00117237">
        <w:t xml:space="preserve"> knowledge and understanding </w:t>
      </w:r>
      <w:r w:rsidR="00E7738F" w:rsidRPr="00117237">
        <w:t>of</w:t>
      </w:r>
      <w:r w:rsidR="00B66114" w:rsidRPr="00117237">
        <w:t xml:space="preserve"> primary prevention</w:t>
      </w:r>
      <w:r w:rsidRPr="00117237">
        <w:t xml:space="preserve"> </w:t>
      </w:r>
      <w:r w:rsidR="00D24048" w:rsidRPr="00117237">
        <w:t>because of</w:t>
      </w:r>
      <w:r w:rsidRPr="00117237">
        <w:t xml:space="preserve"> the project</w:t>
      </w:r>
      <w:r w:rsidR="00B66114" w:rsidRPr="00117237">
        <w:t>.</w:t>
      </w:r>
    </w:p>
    <w:p w14:paraId="0DCB4608" w14:textId="115B56CE" w:rsidR="00946C80" w:rsidRPr="00117237" w:rsidRDefault="00AE1F09" w:rsidP="00AE1F09">
      <w:r w:rsidRPr="00117237">
        <w:lastRenderedPageBreak/>
        <w:t>Some key examples of</w:t>
      </w:r>
      <w:r w:rsidR="00D64E52" w:rsidRPr="00117237">
        <w:t xml:space="preserve"> changes in individuals</w:t>
      </w:r>
      <w:r w:rsidR="004509FF" w:rsidRPr="00117237">
        <w:t xml:space="preserve"> include</w:t>
      </w:r>
      <w:r w:rsidR="00F23C09" w:rsidRPr="00117237">
        <w:t>d participants</w:t>
      </w:r>
      <w:r w:rsidR="00946C80" w:rsidRPr="00117237">
        <w:t>:</w:t>
      </w:r>
      <w:r w:rsidR="004548E8" w:rsidRPr="00117237">
        <w:rPr>
          <w:rStyle w:val="FootnoteReference"/>
        </w:rPr>
        <w:footnoteReference w:id="70"/>
      </w:r>
    </w:p>
    <w:p w14:paraId="4FBF557A" w14:textId="331E5070" w:rsidR="00D712BA" w:rsidRPr="00117237" w:rsidRDefault="00946C80" w:rsidP="00462C12">
      <w:pPr>
        <w:pStyle w:val="ListBullet"/>
      </w:pPr>
      <w:r w:rsidRPr="00117237">
        <w:t>G</w:t>
      </w:r>
      <w:r w:rsidR="00FD442F" w:rsidRPr="00117237">
        <w:t xml:space="preserve">aining a greater understanding of gender equality and </w:t>
      </w:r>
      <w:r w:rsidRPr="00117237">
        <w:t>the drivers of violence against women</w:t>
      </w:r>
    </w:p>
    <w:p w14:paraId="4B63A42F" w14:textId="0046858B" w:rsidR="003504C1" w:rsidRPr="00117237" w:rsidRDefault="003504C1" w:rsidP="00462C12">
      <w:pPr>
        <w:pStyle w:val="ListBullet"/>
      </w:pPr>
      <w:r w:rsidRPr="00117237">
        <w:t xml:space="preserve">Identifying </w:t>
      </w:r>
      <w:r w:rsidR="000E30C0" w:rsidRPr="00117237">
        <w:t xml:space="preserve">language, </w:t>
      </w:r>
      <w:r w:rsidR="00576F70" w:rsidRPr="00117237">
        <w:t xml:space="preserve">practices and behaviour that </w:t>
      </w:r>
      <w:r w:rsidR="00F753FD" w:rsidRPr="00117237">
        <w:t xml:space="preserve">are not respectful and inclusive within their TAFE setting </w:t>
      </w:r>
    </w:p>
    <w:p w14:paraId="6B408D79" w14:textId="3FAD652F" w:rsidR="00957EF6" w:rsidRPr="00117237" w:rsidRDefault="00957EF6" w:rsidP="00462C12">
      <w:pPr>
        <w:pStyle w:val="ListBullet"/>
      </w:pPr>
      <w:r w:rsidRPr="00117237">
        <w:t xml:space="preserve">Gaining confidence speaking about gender equality and primary prevention of violence against women both within their TAFE but also </w:t>
      </w:r>
      <w:r w:rsidR="008D0F56" w:rsidRPr="00117237">
        <w:t xml:space="preserve">in other settings such as conferences </w:t>
      </w:r>
    </w:p>
    <w:p w14:paraId="23A61A66" w14:textId="3991F819" w:rsidR="00D712BA" w:rsidRPr="00117237" w:rsidRDefault="00C5222E" w:rsidP="00137293">
      <w:pPr>
        <w:jc w:val="right"/>
        <w:rPr>
          <w:i/>
          <w:color w:val="931B2F" w:themeColor="background2"/>
        </w:rPr>
      </w:pPr>
      <w:r w:rsidRPr="00117237">
        <w:rPr>
          <w:i/>
          <w:iCs/>
          <w:color w:val="931B2F" w:themeColor="background2"/>
        </w:rPr>
        <w:t>‘</w:t>
      </w:r>
      <w:r w:rsidRPr="00117237">
        <w:rPr>
          <w:i/>
          <w:color w:val="931B2F" w:themeColor="background2"/>
        </w:rPr>
        <w:t>I had not reali</w:t>
      </w:r>
      <w:r w:rsidR="0050558C" w:rsidRPr="00117237">
        <w:rPr>
          <w:i/>
          <w:color w:val="931B2F" w:themeColor="background2"/>
        </w:rPr>
        <w:t>s</w:t>
      </w:r>
      <w:r w:rsidRPr="00117237">
        <w:rPr>
          <w:i/>
          <w:color w:val="931B2F" w:themeColor="background2"/>
        </w:rPr>
        <w:t>ed until working with O</w:t>
      </w:r>
      <w:r w:rsidR="0060341F" w:rsidRPr="00117237">
        <w:rPr>
          <w:i/>
          <w:color w:val="931B2F" w:themeColor="background2"/>
        </w:rPr>
        <w:t xml:space="preserve">ur </w:t>
      </w:r>
      <w:r w:rsidRPr="00117237">
        <w:rPr>
          <w:i/>
          <w:color w:val="931B2F" w:themeColor="background2"/>
        </w:rPr>
        <w:t>W</w:t>
      </w:r>
      <w:r w:rsidR="0060341F" w:rsidRPr="00117237">
        <w:rPr>
          <w:i/>
          <w:color w:val="931B2F" w:themeColor="background2"/>
        </w:rPr>
        <w:t>atch</w:t>
      </w:r>
      <w:r w:rsidRPr="00117237">
        <w:rPr>
          <w:i/>
          <w:color w:val="931B2F" w:themeColor="background2"/>
        </w:rPr>
        <w:t xml:space="preserve">, even </w:t>
      </w:r>
      <w:r w:rsidR="00815B98" w:rsidRPr="00117237">
        <w:rPr>
          <w:i/>
          <w:color w:val="931B2F" w:themeColor="background2"/>
        </w:rPr>
        <w:t>M</w:t>
      </w:r>
      <w:r w:rsidRPr="00117237">
        <w:rPr>
          <w:i/>
          <w:color w:val="931B2F" w:themeColor="background2"/>
        </w:rPr>
        <w:t xml:space="preserve">ates in </w:t>
      </w:r>
      <w:r w:rsidR="00815B98" w:rsidRPr="00117237">
        <w:rPr>
          <w:i/>
          <w:color w:val="931B2F" w:themeColor="background2"/>
        </w:rPr>
        <w:t>C</w:t>
      </w:r>
      <w:r w:rsidRPr="00117237">
        <w:rPr>
          <w:i/>
          <w:color w:val="931B2F" w:themeColor="background2"/>
        </w:rPr>
        <w:t>onstruction is full o</w:t>
      </w:r>
      <w:r w:rsidR="0050558C" w:rsidRPr="00117237">
        <w:rPr>
          <w:i/>
          <w:color w:val="931B2F" w:themeColor="background2"/>
        </w:rPr>
        <w:t>f</w:t>
      </w:r>
      <w:r w:rsidRPr="00117237">
        <w:rPr>
          <w:i/>
          <w:color w:val="931B2F" w:themeColor="background2"/>
        </w:rPr>
        <w:t xml:space="preserve"> language that is misogynistic, because culturally this has just </w:t>
      </w:r>
      <w:proofErr w:type="gramStart"/>
      <w:r w:rsidRPr="00117237">
        <w:rPr>
          <w:i/>
          <w:color w:val="931B2F" w:themeColor="background2"/>
        </w:rPr>
        <w:t>happened</w:t>
      </w:r>
      <w:proofErr w:type="gramEnd"/>
      <w:r w:rsidRPr="00117237">
        <w:rPr>
          <w:i/>
          <w:color w:val="931B2F" w:themeColor="background2"/>
        </w:rPr>
        <w:t xml:space="preserve"> and we accept it</w:t>
      </w:r>
      <w:r w:rsidR="005D1C69" w:rsidRPr="00117237">
        <w:rPr>
          <w:i/>
          <w:color w:val="931B2F" w:themeColor="background2"/>
        </w:rPr>
        <w:t>.</w:t>
      </w:r>
      <w:r w:rsidR="00D25D65" w:rsidRPr="00117237">
        <w:rPr>
          <w:i/>
          <w:color w:val="931B2F" w:themeColor="background2"/>
        </w:rPr>
        <w:t xml:space="preserve">’ </w:t>
      </w:r>
      <w:r w:rsidRPr="00117237">
        <w:rPr>
          <w:i/>
          <w:color w:val="931B2F" w:themeColor="background2"/>
        </w:rPr>
        <w:t>– TAFE stakeholder</w:t>
      </w:r>
    </w:p>
    <w:p w14:paraId="1D3B3ED2" w14:textId="74EBBF05" w:rsidR="009D213A" w:rsidRPr="00117237" w:rsidRDefault="009D213A" w:rsidP="00137293">
      <w:pPr>
        <w:jc w:val="right"/>
        <w:rPr>
          <w:i/>
          <w:iCs/>
          <w:color w:val="931B2F" w:themeColor="background2"/>
        </w:rPr>
      </w:pPr>
      <w:r w:rsidRPr="00117237">
        <w:rPr>
          <w:i/>
          <w:iCs/>
          <w:color w:val="931B2F" w:themeColor="background2"/>
        </w:rPr>
        <w:t>‘</w:t>
      </w:r>
      <w:r w:rsidRPr="00117237">
        <w:rPr>
          <w:i/>
          <w:color w:val="931B2F" w:themeColor="background2"/>
        </w:rPr>
        <w:t>We have a person on our team, a casual plumbing lecturer who is a wom</w:t>
      </w:r>
      <w:r w:rsidR="00D25D65" w:rsidRPr="00117237">
        <w:rPr>
          <w:i/>
          <w:color w:val="931B2F" w:themeColor="background2"/>
        </w:rPr>
        <w:t>a</w:t>
      </w:r>
      <w:r w:rsidRPr="00117237">
        <w:rPr>
          <w:i/>
          <w:color w:val="931B2F" w:themeColor="background2"/>
        </w:rPr>
        <w:t>n</w:t>
      </w:r>
      <w:r w:rsidR="00987AD7" w:rsidRPr="00117237">
        <w:rPr>
          <w:i/>
          <w:color w:val="931B2F" w:themeColor="background2"/>
        </w:rPr>
        <w:t>…</w:t>
      </w:r>
      <w:r w:rsidRPr="00117237">
        <w:rPr>
          <w:i/>
          <w:color w:val="931B2F" w:themeColor="background2"/>
        </w:rPr>
        <w:t xml:space="preserve">We witnessed some experiences </w:t>
      </w:r>
      <w:r w:rsidR="002142D4" w:rsidRPr="00117237">
        <w:rPr>
          <w:i/>
          <w:color w:val="931B2F" w:themeColor="background2"/>
        </w:rPr>
        <w:t>firsthand</w:t>
      </w:r>
      <w:r w:rsidRPr="00117237">
        <w:rPr>
          <w:i/>
          <w:color w:val="931B2F" w:themeColor="background2"/>
        </w:rPr>
        <w:t>, and she would say yeah that happens every day. I</w:t>
      </w:r>
      <w:r w:rsidR="00D77DFC" w:rsidRPr="00117237">
        <w:rPr>
          <w:i/>
          <w:color w:val="931B2F" w:themeColor="background2"/>
        </w:rPr>
        <w:t>’</w:t>
      </w:r>
      <w:r w:rsidRPr="00117237">
        <w:rPr>
          <w:i/>
          <w:color w:val="931B2F" w:themeColor="background2"/>
        </w:rPr>
        <w:t>m looking at that like that’s bulls</w:t>
      </w:r>
      <w:r w:rsidR="00D25D65" w:rsidRPr="00117237">
        <w:rPr>
          <w:i/>
          <w:color w:val="931B2F" w:themeColor="background2"/>
        </w:rPr>
        <w:t>***</w:t>
      </w:r>
      <w:r w:rsidRPr="00117237">
        <w:rPr>
          <w:i/>
          <w:color w:val="931B2F" w:themeColor="background2"/>
        </w:rPr>
        <w:t>.’ – TAFE stakeholder</w:t>
      </w:r>
    </w:p>
    <w:p w14:paraId="5B023FFF" w14:textId="20C3DD8E" w:rsidR="005224D1" w:rsidRPr="00117237" w:rsidRDefault="00287AB6" w:rsidP="00137293">
      <w:pPr>
        <w:jc w:val="right"/>
        <w:rPr>
          <w:i/>
          <w:color w:val="931B2F" w:themeColor="background2"/>
        </w:rPr>
      </w:pPr>
      <w:r w:rsidRPr="00117237">
        <w:rPr>
          <w:i/>
          <w:iCs/>
          <w:color w:val="931B2F" w:themeColor="background2"/>
        </w:rPr>
        <w:t>‘</w:t>
      </w:r>
      <w:r w:rsidRPr="00117237">
        <w:rPr>
          <w:i/>
          <w:color w:val="931B2F" w:themeColor="background2"/>
        </w:rPr>
        <w:t>We spoke about the different ways gender equality manifests, and someone who worked in the hairdressing department wanted to change how gendered the language is. We have seen big wins with the people we have worked with directly.</w:t>
      </w:r>
      <w:r w:rsidR="00F0776F" w:rsidRPr="00117237">
        <w:rPr>
          <w:i/>
          <w:color w:val="931B2F" w:themeColor="background2"/>
        </w:rPr>
        <w:t xml:space="preserve">’ </w:t>
      </w:r>
      <w:r w:rsidR="006624E8" w:rsidRPr="00117237">
        <w:rPr>
          <w:i/>
          <w:color w:val="931B2F" w:themeColor="background2"/>
        </w:rPr>
        <w:t xml:space="preserve">– </w:t>
      </w:r>
      <w:r w:rsidRPr="00117237">
        <w:rPr>
          <w:i/>
          <w:color w:val="931B2F" w:themeColor="background2"/>
        </w:rPr>
        <w:t>Our Watch stakeholder</w:t>
      </w:r>
      <w:r w:rsidR="00650E61" w:rsidRPr="00117237">
        <w:rPr>
          <w:i/>
          <w:iCs/>
          <w:color w:val="931B2F" w:themeColor="background2"/>
        </w:rPr>
        <w:t xml:space="preserve"> </w:t>
      </w:r>
    </w:p>
    <w:p w14:paraId="599EA615" w14:textId="2CD7DD6B" w:rsidR="00451154" w:rsidRPr="00117237" w:rsidRDefault="005224D1" w:rsidP="00C241EC">
      <w:r w:rsidRPr="00117237">
        <w:t>B</w:t>
      </w:r>
      <w:r w:rsidR="00451154" w:rsidRPr="00117237">
        <w:t>eyond</w:t>
      </w:r>
      <w:r w:rsidR="002A7658" w:rsidRPr="00117237">
        <w:t xml:space="preserve"> the changes observed in the </w:t>
      </w:r>
      <w:r w:rsidR="00451154" w:rsidRPr="00117237">
        <w:t>individuals</w:t>
      </w:r>
      <w:r w:rsidR="00C241EC" w:rsidRPr="00117237">
        <w:t xml:space="preserve"> involved in the project</w:t>
      </w:r>
      <w:r w:rsidR="00451154" w:rsidRPr="00117237">
        <w:t xml:space="preserve">, the </w:t>
      </w:r>
      <w:r w:rsidR="00AC11EA" w:rsidRPr="00117237">
        <w:t>mechanism</w:t>
      </w:r>
      <w:r w:rsidR="00451154" w:rsidRPr="00117237">
        <w:t xml:space="preserve"> of the working group </w:t>
      </w:r>
      <w:r w:rsidR="00C241EC" w:rsidRPr="00117237">
        <w:t xml:space="preserve">has meant that changes have </w:t>
      </w:r>
      <w:r w:rsidR="002A7658" w:rsidRPr="00117237">
        <w:t>also been</w:t>
      </w:r>
      <w:r w:rsidR="00C241EC" w:rsidRPr="00117237">
        <w:t xml:space="preserve"> observed in</w:t>
      </w:r>
      <w:r w:rsidR="002A7658" w:rsidRPr="00117237">
        <w:t xml:space="preserve"> the</w:t>
      </w:r>
      <w:r w:rsidR="00C241EC" w:rsidRPr="00117237">
        <w:t xml:space="preserve"> </w:t>
      </w:r>
      <w:r w:rsidR="00451154" w:rsidRPr="00117237">
        <w:t>group</w:t>
      </w:r>
      <w:r w:rsidR="00C241EC" w:rsidRPr="00117237">
        <w:t>s</w:t>
      </w:r>
      <w:r w:rsidR="00451154" w:rsidRPr="00117237">
        <w:t xml:space="preserve"> of people</w:t>
      </w:r>
      <w:r w:rsidR="00C241EC" w:rsidRPr="00117237">
        <w:t xml:space="preserve"> within the TAFEs</w:t>
      </w:r>
      <w:r w:rsidR="00AE5D3B" w:rsidRPr="00117237">
        <w:t xml:space="preserve"> involved in this project. </w:t>
      </w:r>
    </w:p>
    <w:p w14:paraId="5B7BAD98" w14:textId="5C985C86" w:rsidR="00CA0314" w:rsidRPr="00117237" w:rsidRDefault="00AB2812" w:rsidP="00137293">
      <w:pPr>
        <w:jc w:val="right"/>
        <w:rPr>
          <w:i/>
          <w:color w:val="931B2F" w:themeColor="background2"/>
        </w:rPr>
      </w:pPr>
      <w:r w:rsidRPr="00117237">
        <w:rPr>
          <w:i/>
          <w:color w:val="931B2F" w:themeColor="background2"/>
        </w:rPr>
        <w:t>‘We also brought together a group of people who want this to be a priority</w:t>
      </w:r>
      <w:r w:rsidR="008E2F57">
        <w:rPr>
          <w:i/>
          <w:color w:val="931B2F" w:themeColor="background2"/>
        </w:rPr>
        <w:t>,</w:t>
      </w:r>
      <w:r w:rsidRPr="00117237">
        <w:rPr>
          <w:i/>
          <w:color w:val="931B2F" w:themeColor="background2"/>
        </w:rPr>
        <w:t xml:space="preserve"> and that momentum is important.’ – TAFE stakeholder</w:t>
      </w:r>
    </w:p>
    <w:p w14:paraId="65D6EDD0" w14:textId="00616EFF" w:rsidR="00B3380E" w:rsidRPr="00117237" w:rsidRDefault="00F92FF0" w:rsidP="00137293">
      <w:pPr>
        <w:jc w:val="right"/>
        <w:rPr>
          <w:i/>
          <w:color w:val="931B2F" w:themeColor="background2"/>
        </w:rPr>
      </w:pPr>
      <w:r w:rsidRPr="00117237">
        <w:rPr>
          <w:i/>
          <w:color w:val="931B2F" w:themeColor="background2"/>
        </w:rPr>
        <w:t>‘O</w:t>
      </w:r>
      <w:r w:rsidR="00D264F1" w:rsidRPr="00117237">
        <w:rPr>
          <w:i/>
          <w:color w:val="931B2F" w:themeColor="background2"/>
        </w:rPr>
        <w:t xml:space="preserve">ur </w:t>
      </w:r>
      <w:r w:rsidRPr="00117237">
        <w:rPr>
          <w:i/>
          <w:color w:val="931B2F" w:themeColor="background2"/>
        </w:rPr>
        <w:t>W</w:t>
      </w:r>
      <w:r w:rsidR="00D264F1" w:rsidRPr="00117237">
        <w:rPr>
          <w:i/>
          <w:color w:val="931B2F" w:themeColor="background2"/>
        </w:rPr>
        <w:t>atch</w:t>
      </w:r>
      <w:r w:rsidRPr="00117237">
        <w:rPr>
          <w:i/>
          <w:color w:val="931B2F" w:themeColor="background2"/>
        </w:rPr>
        <w:t xml:space="preserve">’s legacy in </w:t>
      </w:r>
      <w:r w:rsidR="00F14C68" w:rsidRPr="00117237">
        <w:rPr>
          <w:i/>
          <w:color w:val="931B2F" w:themeColor="background2"/>
        </w:rPr>
        <w:t>[redacted TAFE]</w:t>
      </w:r>
      <w:r w:rsidRPr="00117237">
        <w:rPr>
          <w:i/>
          <w:color w:val="931B2F" w:themeColor="background2"/>
        </w:rPr>
        <w:t xml:space="preserve"> is as much a group of people who know more and each other</w:t>
      </w:r>
      <w:r w:rsidR="00EB6ACD">
        <w:rPr>
          <w:i/>
          <w:color w:val="931B2F" w:themeColor="background2"/>
        </w:rPr>
        <w:t>.</w:t>
      </w:r>
      <w:r w:rsidRPr="00117237">
        <w:rPr>
          <w:i/>
          <w:color w:val="931B2F" w:themeColor="background2"/>
        </w:rPr>
        <w:t>’ – TAFE stakeholder</w:t>
      </w:r>
    </w:p>
    <w:p w14:paraId="547C6031" w14:textId="5725DC90" w:rsidR="00B053D2" w:rsidRPr="00117237" w:rsidRDefault="00EF358B" w:rsidP="00B053D2">
      <w:pPr>
        <w:pStyle w:val="Heading3Normal"/>
      </w:pPr>
      <w:r w:rsidRPr="00117237">
        <w:t>There is evidence of</w:t>
      </w:r>
      <w:r w:rsidR="001B632A" w:rsidRPr="00117237">
        <w:t xml:space="preserve"> </w:t>
      </w:r>
      <w:r w:rsidRPr="00117237">
        <w:t>institutional change in across the TAFEs</w:t>
      </w:r>
      <w:r w:rsidR="005619B7" w:rsidRPr="00117237">
        <w:t xml:space="preserve"> including changes to policy and practice</w:t>
      </w:r>
      <w:r w:rsidR="008126F8" w:rsidRPr="00117237">
        <w:t>, as well as broader cultural change</w:t>
      </w:r>
      <w:r w:rsidR="005619B7" w:rsidRPr="00117237">
        <w:t>.</w:t>
      </w:r>
      <w:r w:rsidR="00B053D2" w:rsidRPr="00117237">
        <w:t xml:space="preserve"> </w:t>
      </w:r>
    </w:p>
    <w:p w14:paraId="7DF809B2" w14:textId="24288115" w:rsidR="007D665E" w:rsidRPr="00117237" w:rsidRDefault="00E9166A" w:rsidP="007D665E">
      <w:r w:rsidRPr="00117237">
        <w:t>While some stakeholders em</w:t>
      </w:r>
      <w:r w:rsidR="00444C37" w:rsidRPr="00117237">
        <w:t xml:space="preserve">phasised the changes within project participants within TAFEs, </w:t>
      </w:r>
      <w:r w:rsidR="00D900DB" w:rsidRPr="00117237">
        <w:t>stakeholders also shared examples of</w:t>
      </w:r>
      <w:r w:rsidR="00F84E79" w:rsidRPr="00117237">
        <w:t xml:space="preserve"> changes </w:t>
      </w:r>
      <w:r w:rsidR="007D665E" w:rsidRPr="00117237">
        <w:t>in policy, practice and culture</w:t>
      </w:r>
      <w:r w:rsidR="00F84E79" w:rsidRPr="00117237">
        <w:t xml:space="preserve"> across the f</w:t>
      </w:r>
      <w:r w:rsidR="000158B1" w:rsidRPr="00117237">
        <w:t>ive</w:t>
      </w:r>
      <w:r w:rsidR="004F2DEE" w:rsidRPr="00117237">
        <w:t xml:space="preserve"> </w:t>
      </w:r>
      <w:r w:rsidR="00F84E79" w:rsidRPr="00117237">
        <w:t>participating TAFEs</w:t>
      </w:r>
      <w:r w:rsidR="007D665E" w:rsidRPr="00117237">
        <w:t xml:space="preserve">. </w:t>
      </w:r>
    </w:p>
    <w:p w14:paraId="08574C3A" w14:textId="7EDE44D1" w:rsidR="0070768F" w:rsidRPr="00117237" w:rsidRDefault="0070768F" w:rsidP="007D665E">
      <w:r w:rsidRPr="00117237">
        <w:t xml:space="preserve">Examples of policy change </w:t>
      </w:r>
      <w:r w:rsidR="0016285B" w:rsidRPr="00117237">
        <w:t>observed in participating TAFEs</w:t>
      </w:r>
      <w:r w:rsidRPr="00117237">
        <w:t xml:space="preserve"> included:</w:t>
      </w:r>
    </w:p>
    <w:p w14:paraId="7F7C283D" w14:textId="77777777" w:rsidR="00FF05AE" w:rsidRPr="00117237" w:rsidRDefault="0070768F" w:rsidP="00B701F0">
      <w:pPr>
        <w:pStyle w:val="ListBullet"/>
      </w:pPr>
      <w:r w:rsidRPr="00117237">
        <w:t>Reviewing policies to align with equity and inclusion principles</w:t>
      </w:r>
    </w:p>
    <w:p w14:paraId="5689B1A2" w14:textId="5862EB34" w:rsidR="00FF05AE" w:rsidRPr="00117237" w:rsidRDefault="0070768F" w:rsidP="0016285B">
      <w:pPr>
        <w:pStyle w:val="ListBullet"/>
      </w:pPr>
      <w:r w:rsidRPr="00117237">
        <w:t>Including leave for menstruation, menopause and gender affirmation surgery in a new Enterprise Agreement (EA) for staff</w:t>
      </w:r>
    </w:p>
    <w:p w14:paraId="47D367EC" w14:textId="2FB79070" w:rsidR="00FF05AE" w:rsidRPr="00117237" w:rsidRDefault="00FF05AE" w:rsidP="0016285B">
      <w:r w:rsidRPr="00117237">
        <w:t>Examples of change</w:t>
      </w:r>
      <w:r w:rsidR="007F5837" w:rsidRPr="00117237">
        <w:t>s</w:t>
      </w:r>
      <w:r w:rsidRPr="00117237">
        <w:t xml:space="preserve"> in practice </w:t>
      </w:r>
      <w:r w:rsidR="007F5837" w:rsidRPr="00117237">
        <w:t xml:space="preserve">shared with us by TAFE stakeholders </w:t>
      </w:r>
      <w:r w:rsidRPr="00117237">
        <w:t>included:</w:t>
      </w:r>
    </w:p>
    <w:p w14:paraId="531B5EE0" w14:textId="77777777" w:rsidR="00FF05AE" w:rsidRPr="00117237" w:rsidRDefault="00FF05AE" w:rsidP="00B701F0">
      <w:pPr>
        <w:pStyle w:val="ListBullet"/>
      </w:pPr>
      <w:r w:rsidRPr="00117237">
        <w:t>Adjusting the language in documentation send out by student services to students to reflect inclusive language</w:t>
      </w:r>
    </w:p>
    <w:p w14:paraId="5C1393AF" w14:textId="77777777" w:rsidR="00FF05AE" w:rsidRPr="00117237" w:rsidRDefault="00FF05AE" w:rsidP="00B701F0">
      <w:pPr>
        <w:pStyle w:val="ListBullet"/>
      </w:pPr>
      <w:r w:rsidRPr="00117237">
        <w:t>Introducing a role in student engagement focused on equity for students</w:t>
      </w:r>
    </w:p>
    <w:p w14:paraId="6F39199A" w14:textId="77777777" w:rsidR="00FF05AE" w:rsidRPr="00117237" w:rsidRDefault="00FF05AE" w:rsidP="00B701F0">
      <w:pPr>
        <w:pStyle w:val="ListBullet"/>
      </w:pPr>
      <w:r w:rsidRPr="00117237">
        <w:t>Revising recruitment and marketing strategies to ensure they are open to diverse backgrounds</w:t>
      </w:r>
    </w:p>
    <w:p w14:paraId="0225954C" w14:textId="3FCC5981" w:rsidR="00575297" w:rsidRPr="00117237" w:rsidRDefault="00FF05AE" w:rsidP="0016285B">
      <w:pPr>
        <w:pStyle w:val="ListBullet"/>
      </w:pPr>
      <w:r w:rsidRPr="00117237">
        <w:t>Incorporating discussions on domestic violence and gender equality into classroom conversations, including in traditionally male-dominated fields like trades and infrastructure</w:t>
      </w:r>
    </w:p>
    <w:p w14:paraId="16FB980C" w14:textId="3FBEAD32" w:rsidR="00575297" w:rsidRPr="00117237" w:rsidRDefault="007F5837" w:rsidP="0016285B">
      <w:r w:rsidRPr="00117237">
        <w:t>And ex</w:t>
      </w:r>
      <w:r w:rsidR="00575297" w:rsidRPr="00117237">
        <w:t xml:space="preserve">amples of cultural change </w:t>
      </w:r>
      <w:r w:rsidRPr="00117237">
        <w:t>TAFE stakeholders observed</w:t>
      </w:r>
      <w:r w:rsidR="00575297" w:rsidRPr="00117237">
        <w:t xml:space="preserve"> included:</w:t>
      </w:r>
    </w:p>
    <w:p w14:paraId="23BEDE82" w14:textId="77777777" w:rsidR="00575297" w:rsidRPr="00117237" w:rsidRDefault="00575297" w:rsidP="00B701F0">
      <w:pPr>
        <w:pStyle w:val="ListBullet"/>
      </w:pPr>
      <w:r w:rsidRPr="00117237">
        <w:t>Greater awareness and understanding of issues impacting gender equality and primary prevention more broadly</w:t>
      </w:r>
    </w:p>
    <w:p w14:paraId="217DCB7C" w14:textId="77777777" w:rsidR="00575297" w:rsidRPr="00117237" w:rsidRDefault="00575297" w:rsidP="00B701F0">
      <w:pPr>
        <w:pStyle w:val="ListBullet"/>
      </w:pPr>
      <w:r w:rsidRPr="00117237">
        <w:t>Increase in communication and discussion about gender equality and primary prevention including between leadership and operations staff</w:t>
      </w:r>
    </w:p>
    <w:p w14:paraId="1C06EB7F" w14:textId="60FD4517" w:rsidR="00117C7A" w:rsidRPr="00117237" w:rsidRDefault="00C06C5A" w:rsidP="009F5A5D">
      <w:pPr>
        <w:jc w:val="right"/>
        <w:rPr>
          <w:bCs/>
          <w:i/>
          <w:iCs/>
          <w:color w:val="931B2F" w:themeColor="background2"/>
          <w:szCs w:val="22"/>
        </w:rPr>
      </w:pPr>
      <w:r w:rsidRPr="00117237">
        <w:rPr>
          <w:bCs/>
          <w:i/>
          <w:iCs/>
          <w:color w:val="931B2F" w:themeColor="background2"/>
          <w:szCs w:val="22"/>
        </w:rPr>
        <w:t>W</w:t>
      </w:r>
      <w:r w:rsidR="00117C7A" w:rsidRPr="00117237">
        <w:rPr>
          <w:bCs/>
          <w:i/>
          <w:iCs/>
          <w:color w:val="931B2F" w:themeColor="background2"/>
          <w:szCs w:val="22"/>
        </w:rPr>
        <w:t xml:space="preserve">e are profiled as a very conventional culture, but we are </w:t>
      </w:r>
      <w:r w:rsidRPr="00117237">
        <w:rPr>
          <w:bCs/>
          <w:i/>
          <w:iCs/>
          <w:color w:val="931B2F" w:themeColor="background2"/>
          <w:szCs w:val="22"/>
        </w:rPr>
        <w:t>acknowledging</w:t>
      </w:r>
      <w:r w:rsidR="00117C7A" w:rsidRPr="00117237">
        <w:rPr>
          <w:bCs/>
          <w:i/>
          <w:iCs/>
          <w:color w:val="931B2F" w:themeColor="background2"/>
          <w:szCs w:val="22"/>
        </w:rPr>
        <w:t xml:space="preserve"> that and wanting to take our culture to move towards more constructive and intentional</w:t>
      </w:r>
      <w:r w:rsidR="004D4B42" w:rsidRPr="00117237">
        <w:rPr>
          <w:bCs/>
          <w:i/>
          <w:iCs/>
          <w:color w:val="931B2F" w:themeColor="background2"/>
          <w:szCs w:val="22"/>
        </w:rPr>
        <w:t>…</w:t>
      </w:r>
      <w:r w:rsidR="00117C7A" w:rsidRPr="00117237">
        <w:rPr>
          <w:bCs/>
          <w:i/>
          <w:iCs/>
          <w:color w:val="931B2F" w:themeColor="background2"/>
          <w:szCs w:val="22"/>
        </w:rPr>
        <w:t>their part in changing the story and preventing violence is a profound part of our cultural journey</w:t>
      </w:r>
      <w:r w:rsidR="009452C2">
        <w:rPr>
          <w:bCs/>
          <w:i/>
          <w:iCs/>
          <w:color w:val="931B2F" w:themeColor="background2"/>
          <w:szCs w:val="22"/>
        </w:rPr>
        <w:t>. T</w:t>
      </w:r>
      <w:r w:rsidR="00117C7A" w:rsidRPr="00117237">
        <w:rPr>
          <w:bCs/>
          <w:i/>
          <w:iCs/>
          <w:color w:val="931B2F" w:themeColor="background2"/>
          <w:szCs w:val="22"/>
        </w:rPr>
        <w:t>hat’s the part it is playing for us and on a deeper level from a cultural perspective beyond the initiative</w:t>
      </w:r>
      <w:r w:rsidR="009F5A5D" w:rsidRPr="00117237">
        <w:rPr>
          <w:bCs/>
          <w:i/>
          <w:iCs/>
          <w:color w:val="931B2F" w:themeColor="background2"/>
          <w:szCs w:val="22"/>
        </w:rPr>
        <w:t>’ – TAFE stakeholder</w:t>
      </w:r>
      <w:r w:rsidR="00117C7A" w:rsidRPr="00117237">
        <w:rPr>
          <w:bCs/>
          <w:i/>
          <w:iCs/>
          <w:color w:val="931B2F" w:themeColor="background2"/>
          <w:szCs w:val="22"/>
        </w:rPr>
        <w:t xml:space="preserve"> </w:t>
      </w:r>
    </w:p>
    <w:p w14:paraId="50E490E3" w14:textId="20B80E6E" w:rsidR="00B12F56" w:rsidRPr="00117237" w:rsidRDefault="001C2D2E" w:rsidP="00227A27">
      <w:r w:rsidRPr="00117237">
        <w:lastRenderedPageBreak/>
        <w:t>For some TAFEs,</w:t>
      </w:r>
      <w:r w:rsidR="00B12F56" w:rsidRPr="00117237">
        <w:t xml:space="preserve"> observable changes have been limited to learning and attitude shifts in individuals directly participating in the program and the development of the action plans.</w:t>
      </w:r>
    </w:p>
    <w:p w14:paraId="2DCB9CF7" w14:textId="42328302" w:rsidR="00B12F56" w:rsidRPr="00117237" w:rsidRDefault="00B12F56" w:rsidP="00B12F56">
      <w:pPr>
        <w:pStyle w:val="Heading3Normal"/>
      </w:pPr>
      <w:r w:rsidRPr="00117237">
        <w:t xml:space="preserve">The most significant changes have occurred in those TAFEs with leadership buy-in, and where the work has been embedded in broader strategies.  </w:t>
      </w:r>
    </w:p>
    <w:p w14:paraId="55F4D5D3" w14:textId="69822184" w:rsidR="00433305" w:rsidRPr="00117237" w:rsidRDefault="00792610" w:rsidP="00415D9D">
      <w:r w:rsidRPr="00117237">
        <w:t xml:space="preserve">Most TAFEs have individual champions of the work – someone who has led and prioritised the engagement and sought to keep it on the agenda. However, TAFEs had varying levels of leadership buy-in. All TAFEs had an executive who was allocated some form of oversight of this project as part of their role. </w:t>
      </w:r>
      <w:r w:rsidR="00415D9D" w:rsidRPr="00117237">
        <w:t xml:space="preserve">In TAFEs </w:t>
      </w:r>
      <w:r w:rsidR="004B2249" w:rsidRPr="00117237">
        <w:t xml:space="preserve">with more significant leadership buy-in, there are examples of </w:t>
      </w:r>
      <w:r w:rsidR="00415D9D" w:rsidRPr="00117237">
        <w:t xml:space="preserve">significant changes </w:t>
      </w:r>
      <w:r w:rsidR="000158B1" w:rsidRPr="00117237">
        <w:t>a</w:t>
      </w:r>
      <w:r w:rsidR="00415D9D" w:rsidRPr="00117237">
        <w:t xml:space="preserve">lready in effect, </w:t>
      </w:r>
      <w:r w:rsidR="005A5018" w:rsidRPr="00117237">
        <w:t xml:space="preserve">and in some cases </w:t>
      </w:r>
      <w:r w:rsidR="00415D9D" w:rsidRPr="00117237">
        <w:t>have been enabled by</w:t>
      </w:r>
      <w:r w:rsidR="0035149D" w:rsidRPr="00117237">
        <w:t xml:space="preserve"> the gender equality action plans being situated within broader organisational strategies. </w:t>
      </w:r>
    </w:p>
    <w:p w14:paraId="1D474877" w14:textId="127B6F34" w:rsidR="00E13423" w:rsidRPr="00117237" w:rsidRDefault="00E332BE" w:rsidP="00E13423">
      <w:r w:rsidRPr="00117237">
        <w:t>O</w:t>
      </w:r>
      <w:r w:rsidR="005A6B6F" w:rsidRPr="00117237">
        <w:t>ne TAFE</w:t>
      </w:r>
      <w:r w:rsidR="00546CC9" w:rsidRPr="00117237">
        <w:t xml:space="preserve"> </w:t>
      </w:r>
      <w:r w:rsidR="00F97420" w:rsidRPr="00117237">
        <w:t>made</w:t>
      </w:r>
      <w:r w:rsidR="00E13423" w:rsidRPr="00117237">
        <w:t xml:space="preserve"> changes to their E</w:t>
      </w:r>
      <w:r w:rsidR="008A2445" w:rsidRPr="00117237">
        <w:t xml:space="preserve">A </w:t>
      </w:r>
      <w:r w:rsidR="00E13423" w:rsidRPr="00117237">
        <w:t xml:space="preserve">and introduced new </w:t>
      </w:r>
      <w:r w:rsidR="00E124DB" w:rsidRPr="00117237">
        <w:t xml:space="preserve">leave </w:t>
      </w:r>
      <w:r w:rsidR="00E13423" w:rsidRPr="00117237">
        <w:t xml:space="preserve">entitlements including five days menstrual and menopausal leave and 30 days gender affirmation surgery leave. These leave entitlements </w:t>
      </w:r>
      <w:r w:rsidR="00BC4E28" w:rsidRPr="00117237">
        <w:t>were new since this TAFE had been part of the RET2 project</w:t>
      </w:r>
      <w:r w:rsidR="00152D10" w:rsidRPr="00117237">
        <w:t>.</w:t>
      </w:r>
      <w:r w:rsidR="006B5FA6" w:rsidRPr="00117237">
        <w:rPr>
          <w:rStyle w:val="FootnoteReference"/>
        </w:rPr>
        <w:footnoteReference w:id="71"/>
      </w:r>
      <w:r w:rsidR="001B4559" w:rsidRPr="00117237">
        <w:t xml:space="preserve"> The</w:t>
      </w:r>
      <w:r w:rsidR="00D665F4" w:rsidRPr="00117237">
        <w:t xml:space="preserve">re have also been </w:t>
      </w:r>
      <w:r w:rsidR="001B4559" w:rsidRPr="00117237">
        <w:t>cultural shifts such as using pronouns in email signatures</w:t>
      </w:r>
      <w:r w:rsidR="008B5AD3" w:rsidRPr="00117237">
        <w:t>, and conversations about language used in teaching and resources such as student guides and assessments</w:t>
      </w:r>
      <w:r w:rsidR="00EF3D31" w:rsidRPr="00117237">
        <w:t xml:space="preserve">. </w:t>
      </w:r>
      <w:r w:rsidR="004569C0" w:rsidRPr="00117237">
        <w:t xml:space="preserve">Stakeholders at this </w:t>
      </w:r>
      <w:r w:rsidR="000B32A5" w:rsidRPr="00117237">
        <w:t>TAFE</w:t>
      </w:r>
      <w:r w:rsidR="004569C0" w:rsidRPr="00117237">
        <w:t xml:space="preserve"> credited their CEO’s support </w:t>
      </w:r>
      <w:r w:rsidR="008D6900" w:rsidRPr="00117237">
        <w:t>as a key reason they have been able to make these changes</w:t>
      </w:r>
      <w:r w:rsidR="002366B3" w:rsidRPr="00117237">
        <w:t xml:space="preserve">, along with buy-in from other </w:t>
      </w:r>
      <w:r w:rsidR="00EA22E9" w:rsidRPr="00117237">
        <w:t>key decision makers and leaders</w:t>
      </w:r>
      <w:r w:rsidR="00AA2C4A" w:rsidRPr="00117237">
        <w:t>.</w:t>
      </w:r>
      <w:r w:rsidR="00AA2C4A" w:rsidRPr="00117237">
        <w:rPr>
          <w:rStyle w:val="FootnoteReference"/>
        </w:rPr>
        <w:footnoteReference w:id="72"/>
      </w:r>
    </w:p>
    <w:p w14:paraId="7CC033A8" w14:textId="3F681103" w:rsidR="00873744" w:rsidRPr="00117237" w:rsidRDefault="002366B3" w:rsidP="00EA22E9">
      <w:pPr>
        <w:jc w:val="right"/>
        <w:rPr>
          <w:i/>
          <w:iCs/>
          <w:color w:val="931B2F" w:themeColor="background2"/>
        </w:rPr>
      </w:pPr>
      <w:r w:rsidRPr="00117237">
        <w:rPr>
          <w:i/>
          <w:iCs/>
          <w:color w:val="931B2F" w:themeColor="background2"/>
        </w:rPr>
        <w:t xml:space="preserve">‘Our CEO's support…In May last year our CEO commenced and created two Deputy CEOs, </w:t>
      </w:r>
      <w:r w:rsidR="00DD355B" w:rsidRPr="00117237">
        <w:rPr>
          <w:i/>
          <w:iCs/>
          <w:color w:val="931B2F" w:themeColor="background2"/>
        </w:rPr>
        <w:t>Operations</w:t>
      </w:r>
      <w:r w:rsidRPr="00117237">
        <w:rPr>
          <w:i/>
          <w:iCs/>
          <w:color w:val="931B2F" w:themeColor="background2"/>
        </w:rPr>
        <w:t xml:space="preserve"> and </w:t>
      </w:r>
      <w:r w:rsidR="00DD355B" w:rsidRPr="00117237">
        <w:rPr>
          <w:i/>
          <w:iCs/>
          <w:color w:val="931B2F" w:themeColor="background2"/>
        </w:rPr>
        <w:t>A</w:t>
      </w:r>
      <w:r w:rsidRPr="00117237">
        <w:rPr>
          <w:i/>
          <w:iCs/>
          <w:color w:val="931B2F" w:themeColor="background2"/>
        </w:rPr>
        <w:t>cademics, it means decisions can be made at that level really quickly so we do have that benefit.’ – TAFE stakeholder</w:t>
      </w:r>
    </w:p>
    <w:p w14:paraId="30312FBB" w14:textId="766C0724" w:rsidR="00722562" w:rsidRPr="00117237" w:rsidRDefault="00FD2900" w:rsidP="00415D9D">
      <w:r w:rsidRPr="00117237">
        <w:t xml:space="preserve">Another </w:t>
      </w:r>
      <w:r w:rsidR="00817758" w:rsidRPr="00117237">
        <w:t xml:space="preserve">example </w:t>
      </w:r>
      <w:r w:rsidRPr="00117237">
        <w:t xml:space="preserve">of </w:t>
      </w:r>
      <w:r w:rsidR="00474022" w:rsidRPr="00117237">
        <w:t>this came from</w:t>
      </w:r>
      <w:r w:rsidR="00CA14C2" w:rsidRPr="00117237">
        <w:t xml:space="preserve"> a</w:t>
      </w:r>
      <w:r w:rsidRPr="00117237">
        <w:t xml:space="preserve"> </w:t>
      </w:r>
      <w:r w:rsidR="00B66C47" w:rsidRPr="00117237">
        <w:t xml:space="preserve">TAFE that </w:t>
      </w:r>
      <w:r w:rsidR="00CA14C2" w:rsidRPr="00117237">
        <w:t>shared that they had</w:t>
      </w:r>
      <w:r w:rsidR="00B66C47" w:rsidRPr="00117237">
        <w:t xml:space="preserve"> </w:t>
      </w:r>
      <w:r w:rsidR="002C1F1C" w:rsidRPr="00117237">
        <w:t>senior leadership buy-in</w:t>
      </w:r>
      <w:r w:rsidR="00CA14C2" w:rsidRPr="00117237">
        <w:t>,</w:t>
      </w:r>
      <w:r w:rsidR="006A2786" w:rsidRPr="00117237">
        <w:t xml:space="preserve"> </w:t>
      </w:r>
      <w:r w:rsidR="00CA14C2" w:rsidRPr="00117237">
        <w:t xml:space="preserve">and </w:t>
      </w:r>
      <w:r w:rsidR="006A2786" w:rsidRPr="00117237">
        <w:t>chose to embed the gender equality action plan developed in this project as part of a wider equality strategy.</w:t>
      </w:r>
      <w:r w:rsidR="00FE529A" w:rsidRPr="00117237">
        <w:t xml:space="preserve"> </w:t>
      </w:r>
    </w:p>
    <w:p w14:paraId="2E3C79D5" w14:textId="5E214C48" w:rsidR="00722562" w:rsidRPr="00117237" w:rsidRDefault="00722562" w:rsidP="00722562">
      <w:pPr>
        <w:jc w:val="right"/>
        <w:rPr>
          <w:i/>
          <w:iCs/>
          <w:color w:val="931B2F" w:themeColor="background2"/>
        </w:rPr>
      </w:pPr>
      <w:r w:rsidRPr="00117237">
        <w:rPr>
          <w:i/>
          <w:iCs/>
          <w:color w:val="931B2F" w:themeColor="background2"/>
        </w:rPr>
        <w:t>‘We are embedding it into the board inclusion and equity framework which has that solid governance from board chief exec and such. In terms of sustainability its being at it and making sure we dedicate the resource yearly and continue that education.’ – TAFE stakeholder</w:t>
      </w:r>
    </w:p>
    <w:p w14:paraId="220829E8" w14:textId="3AFDBFA4" w:rsidR="00722562" w:rsidRPr="00117237" w:rsidRDefault="00722562" w:rsidP="00415D9D">
      <w:r w:rsidRPr="00117237">
        <w:t xml:space="preserve">This TAFE </w:t>
      </w:r>
      <w:r w:rsidR="000472C5" w:rsidRPr="00117237">
        <w:t xml:space="preserve">experienced some resistance from some executives who participated in the </w:t>
      </w:r>
      <w:r w:rsidR="000472C5" w:rsidRPr="00117237">
        <w:rPr>
          <w:i/>
          <w:iCs/>
        </w:rPr>
        <w:t xml:space="preserve">Change the story </w:t>
      </w:r>
      <w:r w:rsidR="000472C5" w:rsidRPr="00117237">
        <w:t xml:space="preserve">training delivered by Our Watch. </w:t>
      </w:r>
      <w:r w:rsidR="008639DB" w:rsidRPr="00117237">
        <w:t xml:space="preserve">Due to the CEO’s commitment to this work, and the gender equality action plans being couched within a broader strategy, it meant that this resistance wasn’t enough to derail the </w:t>
      </w:r>
      <w:r w:rsidR="00031D0E" w:rsidRPr="00117237">
        <w:t xml:space="preserve">work, and in </w:t>
      </w:r>
      <w:r w:rsidR="00811649" w:rsidRPr="00117237">
        <w:t>some ways</w:t>
      </w:r>
      <w:r w:rsidR="00D470CB" w:rsidRPr="00117237">
        <w:t>,</w:t>
      </w:r>
      <w:r w:rsidR="00811649" w:rsidRPr="00117237">
        <w:t xml:space="preserve"> </w:t>
      </w:r>
      <w:r w:rsidR="006456E1" w:rsidRPr="00117237">
        <w:t>it was insulated</w:t>
      </w:r>
      <w:r w:rsidR="00811649" w:rsidRPr="00117237">
        <w:t xml:space="preserve"> from the resistance. </w:t>
      </w:r>
    </w:p>
    <w:p w14:paraId="664A9E63" w14:textId="03F3856C" w:rsidR="00C35F58" w:rsidRPr="00117237" w:rsidRDefault="00C35F58" w:rsidP="00C35F58">
      <w:pPr>
        <w:jc w:val="right"/>
        <w:rPr>
          <w:i/>
          <w:iCs/>
          <w:color w:val="931B2F" w:themeColor="background2"/>
        </w:rPr>
      </w:pPr>
      <w:r w:rsidRPr="00117237">
        <w:rPr>
          <w:bCs/>
          <w:i/>
          <w:iCs/>
          <w:color w:val="931B2F" w:themeColor="background2"/>
          <w:szCs w:val="22"/>
        </w:rPr>
        <w:t xml:space="preserve">‘[Redacted] said with some senior managers, he said to us the training is uncomfortable, but it should </w:t>
      </w:r>
      <w:r w:rsidR="002142D4" w:rsidRPr="00117237">
        <w:rPr>
          <w:bCs/>
          <w:i/>
          <w:iCs/>
          <w:color w:val="931B2F" w:themeColor="background2"/>
          <w:szCs w:val="22"/>
        </w:rPr>
        <w:t>be,</w:t>
      </w:r>
      <w:r w:rsidRPr="00117237">
        <w:rPr>
          <w:bCs/>
          <w:i/>
          <w:iCs/>
          <w:color w:val="931B2F" w:themeColor="background2"/>
          <w:szCs w:val="22"/>
        </w:rPr>
        <w:t xml:space="preserve"> and we have to be ok with that because its real and important, that message from the CEO down, it does resonate with people</w:t>
      </w:r>
      <w:r w:rsidR="004C4238" w:rsidRPr="00117237">
        <w:rPr>
          <w:bCs/>
          <w:i/>
          <w:iCs/>
          <w:color w:val="931B2F" w:themeColor="background2"/>
          <w:szCs w:val="22"/>
        </w:rPr>
        <w:t xml:space="preserve">.’ – TAFE stakeholder </w:t>
      </w:r>
    </w:p>
    <w:p w14:paraId="699E8D0A" w14:textId="193C46B5" w:rsidR="006A2786" w:rsidRPr="00117237" w:rsidRDefault="008A7427" w:rsidP="008A7427">
      <w:pPr>
        <w:jc w:val="right"/>
        <w:rPr>
          <w:bCs/>
          <w:i/>
          <w:iCs/>
          <w:color w:val="931B2F" w:themeColor="background2"/>
          <w:szCs w:val="22"/>
        </w:rPr>
      </w:pPr>
      <w:r w:rsidRPr="00117237">
        <w:rPr>
          <w:bCs/>
          <w:i/>
          <w:iCs/>
          <w:color w:val="931B2F" w:themeColor="background2"/>
          <w:szCs w:val="22"/>
        </w:rPr>
        <w:t>‘[Redacted]’s leadership was unwavering through that period which made a significant difference in making sure it did not fall over.’ – TAFE stakeholder</w:t>
      </w:r>
    </w:p>
    <w:p w14:paraId="01B4839E" w14:textId="6261FB7C" w:rsidR="00691C8D" w:rsidRPr="00117237" w:rsidRDefault="002C2AF0" w:rsidP="00691C8D">
      <w:r w:rsidRPr="00117237">
        <w:t xml:space="preserve">In </w:t>
      </w:r>
      <w:r w:rsidR="00691C8D" w:rsidRPr="00117237">
        <w:t xml:space="preserve">other </w:t>
      </w:r>
      <w:r w:rsidRPr="00117237">
        <w:t xml:space="preserve">TAFEs </w:t>
      </w:r>
      <w:r w:rsidR="00691C8D" w:rsidRPr="00117237">
        <w:t>executive</w:t>
      </w:r>
      <w:r w:rsidRPr="00117237">
        <w:t xml:space="preserve"> were </w:t>
      </w:r>
      <w:r w:rsidR="00691C8D" w:rsidRPr="00117237">
        <w:t>allocated</w:t>
      </w:r>
      <w:r w:rsidRPr="00117237">
        <w:t xml:space="preserve"> to oversee this work, but didn’t engage </w:t>
      </w:r>
      <w:r w:rsidR="009005B9" w:rsidRPr="00117237">
        <w:t xml:space="preserve">as deeply, or make it as much of a priority. </w:t>
      </w:r>
      <w:r w:rsidR="00691C8D" w:rsidRPr="00117237">
        <w:t xml:space="preserve">This has meant that </w:t>
      </w:r>
      <w:r w:rsidR="009005B9" w:rsidRPr="00117237">
        <w:t xml:space="preserve">at other TAFEs </w:t>
      </w:r>
      <w:r w:rsidR="00691C8D" w:rsidRPr="00117237">
        <w:t xml:space="preserve">the work has not been embedded in broader strategies, </w:t>
      </w:r>
      <w:r w:rsidR="00287DFD" w:rsidRPr="00117237">
        <w:t>and there is less</w:t>
      </w:r>
      <w:r w:rsidR="00691C8D" w:rsidRPr="00117237">
        <w:t xml:space="preserve"> willingness to embed this work further in their organisation.</w:t>
      </w:r>
      <w:r w:rsidR="00287DFD" w:rsidRPr="00117237">
        <w:t xml:space="preserve"> For </w:t>
      </w:r>
      <w:r w:rsidR="002142D4" w:rsidRPr="00117237">
        <w:t>example,</w:t>
      </w:r>
      <w:r w:rsidR="00287DFD" w:rsidRPr="00117237">
        <w:t xml:space="preserve"> a champion of the work at one TAFE was unable to </w:t>
      </w:r>
      <w:r w:rsidR="00991F14" w:rsidRPr="00117237">
        <w:t xml:space="preserve">get 30 minutes on the agenda on a professional development day to speak about gender equality. </w:t>
      </w:r>
    </w:p>
    <w:p w14:paraId="5B485A13" w14:textId="7075DF01" w:rsidR="00691C8D" w:rsidRPr="00117237" w:rsidRDefault="00691C8D" w:rsidP="00691C8D">
      <w:pPr>
        <w:jc w:val="right"/>
        <w:rPr>
          <w:i/>
          <w:color w:val="931B2F" w:themeColor="background2"/>
          <w:szCs w:val="22"/>
        </w:rPr>
      </w:pPr>
      <w:r w:rsidRPr="00117237">
        <w:rPr>
          <w:b/>
          <w:bCs/>
          <w:i/>
          <w:iCs/>
          <w:color w:val="931B2F" w:themeColor="background2"/>
        </w:rPr>
        <w:t>‘</w:t>
      </w:r>
      <w:r w:rsidRPr="00117237">
        <w:rPr>
          <w:bCs/>
          <w:i/>
          <w:iCs/>
          <w:color w:val="931B2F" w:themeColor="background2"/>
          <w:szCs w:val="22"/>
        </w:rPr>
        <w:t xml:space="preserve">We have a </w:t>
      </w:r>
      <w:r w:rsidRPr="00117237">
        <w:rPr>
          <w:bCs/>
          <w:color w:val="931B2F" w:themeColor="background2"/>
          <w:szCs w:val="22"/>
        </w:rPr>
        <w:t>[professional development]</w:t>
      </w:r>
      <w:r w:rsidRPr="00117237">
        <w:rPr>
          <w:color w:val="931B2F" w:themeColor="background2"/>
          <w:szCs w:val="22"/>
        </w:rPr>
        <w:t xml:space="preserve"> </w:t>
      </w:r>
      <w:r w:rsidRPr="00117237">
        <w:rPr>
          <w:bCs/>
          <w:i/>
          <w:iCs/>
          <w:color w:val="931B2F" w:themeColor="background2"/>
          <w:szCs w:val="22"/>
        </w:rPr>
        <w:t>day coming up in a few weeks and I’m asking for some time to talk about this. I’ve noticed it’s not on the agenda</w:t>
      </w:r>
      <w:r w:rsidR="00EB4ADE" w:rsidRPr="00117237">
        <w:rPr>
          <w:bCs/>
          <w:i/>
          <w:iCs/>
          <w:color w:val="931B2F" w:themeColor="background2"/>
          <w:szCs w:val="22"/>
        </w:rPr>
        <w:t>…</w:t>
      </w:r>
      <w:r w:rsidRPr="00117237">
        <w:rPr>
          <w:bCs/>
          <w:i/>
          <w:iCs/>
          <w:color w:val="931B2F" w:themeColor="background2"/>
          <w:szCs w:val="22"/>
        </w:rPr>
        <w:t>Even though I’ve asked for only 30 minutes, it did not rise to the level of importance for me to get that much time.’ – TAFE stakeholder</w:t>
      </w:r>
    </w:p>
    <w:p w14:paraId="00DE8F9D" w14:textId="367B016F" w:rsidR="002262BF" w:rsidRPr="00117237" w:rsidRDefault="002262BF" w:rsidP="00A5716C">
      <w:pPr>
        <w:pStyle w:val="Heading3Normal"/>
      </w:pPr>
      <w:r w:rsidRPr="00117237">
        <w:t xml:space="preserve">The project fostered connections </w:t>
      </w:r>
      <w:r w:rsidR="00D3145C" w:rsidRPr="00117237">
        <w:t>between</w:t>
      </w:r>
      <w:r w:rsidRPr="00117237">
        <w:t xml:space="preserve"> TAFEs, enabling knowledge sharing and discussions on primary prevention across institutions.</w:t>
      </w:r>
    </w:p>
    <w:p w14:paraId="4F362F81" w14:textId="3A4CAECE" w:rsidR="0076762F" w:rsidRPr="00117237" w:rsidRDefault="00A05491" w:rsidP="00A05491">
      <w:r w:rsidRPr="00117237">
        <w:t>We heard from stakeholders that</w:t>
      </w:r>
      <w:r w:rsidR="00E00684" w:rsidRPr="00117237">
        <w:t xml:space="preserve"> the</w:t>
      </w:r>
      <w:r w:rsidRPr="00117237">
        <w:t xml:space="preserve"> </w:t>
      </w:r>
      <w:r w:rsidR="00FC4B12" w:rsidRPr="00117237">
        <w:t>CoPs</w:t>
      </w:r>
      <w:r w:rsidR="00E00684" w:rsidRPr="00117237">
        <w:t xml:space="preserve"> and </w:t>
      </w:r>
      <w:r w:rsidR="006B1C57" w:rsidRPr="00117237">
        <w:t>s</w:t>
      </w:r>
      <w:r w:rsidR="00E00684" w:rsidRPr="00117237">
        <w:t xml:space="preserve">ummits played a key role in allowing TAFEs </w:t>
      </w:r>
      <w:r w:rsidR="006B1C57" w:rsidRPr="00117237">
        <w:t>to</w:t>
      </w:r>
      <w:r w:rsidR="00E00684" w:rsidRPr="00117237">
        <w:t xml:space="preserve"> </w:t>
      </w:r>
      <w:r w:rsidR="00906D4D" w:rsidRPr="00117237">
        <w:t xml:space="preserve">build relationships, foster community and share learnings. </w:t>
      </w:r>
    </w:p>
    <w:p w14:paraId="4992AD9D" w14:textId="610C0589" w:rsidR="008310C7" w:rsidRPr="00117237" w:rsidRDefault="00410BA9" w:rsidP="00410BA9">
      <w:pPr>
        <w:jc w:val="right"/>
        <w:rPr>
          <w:i/>
          <w:iCs/>
          <w:color w:val="931B2F" w:themeColor="background2"/>
        </w:rPr>
      </w:pPr>
      <w:r w:rsidRPr="00117237">
        <w:rPr>
          <w:i/>
          <w:iCs/>
          <w:color w:val="931B2F" w:themeColor="background2"/>
        </w:rPr>
        <w:t>‘I think the C</w:t>
      </w:r>
      <w:r w:rsidR="00906D4D" w:rsidRPr="00117237">
        <w:rPr>
          <w:i/>
          <w:iCs/>
          <w:color w:val="931B2F" w:themeColor="background2"/>
        </w:rPr>
        <w:t>ommunity of Practice</w:t>
      </w:r>
      <w:r w:rsidRPr="00117237">
        <w:rPr>
          <w:i/>
          <w:iCs/>
          <w:color w:val="931B2F" w:themeColor="background2"/>
        </w:rPr>
        <w:t xml:space="preserve"> really helped me personally because we could hear stories, find common problems and share information which was so valuable.’ – TAFE stakeholder </w:t>
      </w:r>
    </w:p>
    <w:p w14:paraId="6ECF5FC5" w14:textId="4647ECF8" w:rsidR="002D5C77" w:rsidRPr="00117237" w:rsidRDefault="002D5C77" w:rsidP="00410BA9">
      <w:pPr>
        <w:jc w:val="right"/>
        <w:rPr>
          <w:i/>
          <w:color w:val="931B2F" w:themeColor="background2"/>
        </w:rPr>
      </w:pPr>
      <w:r w:rsidRPr="00117237">
        <w:rPr>
          <w:bCs/>
          <w:i/>
          <w:iCs/>
          <w:color w:val="931B2F" w:themeColor="background2"/>
          <w:szCs w:val="22"/>
        </w:rPr>
        <w:t xml:space="preserve">‘It worked well, the </w:t>
      </w:r>
      <w:r w:rsidR="00906D4D" w:rsidRPr="00117237">
        <w:rPr>
          <w:bCs/>
          <w:i/>
          <w:iCs/>
          <w:color w:val="931B2F" w:themeColor="background2"/>
          <w:szCs w:val="22"/>
        </w:rPr>
        <w:t xml:space="preserve">Community of Practice </w:t>
      </w:r>
      <w:r w:rsidRPr="00117237">
        <w:rPr>
          <w:bCs/>
          <w:i/>
          <w:iCs/>
          <w:color w:val="931B2F" w:themeColor="background2"/>
          <w:szCs w:val="22"/>
        </w:rPr>
        <w:t xml:space="preserve">was </w:t>
      </w:r>
      <w:proofErr w:type="gramStart"/>
      <w:r w:rsidRPr="00117237">
        <w:rPr>
          <w:bCs/>
          <w:i/>
          <w:iCs/>
          <w:color w:val="931B2F" w:themeColor="background2"/>
          <w:szCs w:val="22"/>
        </w:rPr>
        <w:t>really good</w:t>
      </w:r>
      <w:proofErr w:type="gramEnd"/>
      <w:r w:rsidRPr="00117237">
        <w:rPr>
          <w:bCs/>
          <w:i/>
          <w:iCs/>
          <w:color w:val="931B2F" w:themeColor="background2"/>
          <w:szCs w:val="22"/>
        </w:rPr>
        <w:t xml:space="preserve"> to hear from other </w:t>
      </w:r>
      <w:r w:rsidR="00235680" w:rsidRPr="00117237">
        <w:rPr>
          <w:bCs/>
          <w:i/>
          <w:iCs/>
          <w:color w:val="931B2F" w:themeColor="background2"/>
          <w:szCs w:val="22"/>
        </w:rPr>
        <w:t>TAFE</w:t>
      </w:r>
      <w:r w:rsidRPr="00117237">
        <w:rPr>
          <w:bCs/>
          <w:i/>
          <w:iCs/>
          <w:color w:val="931B2F" w:themeColor="background2"/>
          <w:szCs w:val="22"/>
        </w:rPr>
        <w:t xml:space="preserve">s and where they are at, it was comforting to know that we are at the same stages for the most part and it’s a lot of good learning. Feeling like we’re not </w:t>
      </w:r>
      <w:r w:rsidRPr="00117237">
        <w:rPr>
          <w:bCs/>
          <w:i/>
          <w:iCs/>
          <w:color w:val="931B2F" w:themeColor="background2"/>
          <w:szCs w:val="22"/>
        </w:rPr>
        <w:lastRenderedPageBreak/>
        <w:t xml:space="preserve">alone in facing challenges. </w:t>
      </w:r>
      <w:r w:rsidR="00033852" w:rsidRPr="00117237">
        <w:rPr>
          <w:bCs/>
          <w:i/>
          <w:iCs/>
          <w:color w:val="931B2F" w:themeColor="background2"/>
          <w:szCs w:val="22"/>
        </w:rPr>
        <w:t>It’s</w:t>
      </w:r>
      <w:r w:rsidRPr="00117237">
        <w:rPr>
          <w:bCs/>
          <w:i/>
          <w:iCs/>
          <w:color w:val="931B2F" w:themeColor="background2"/>
          <w:szCs w:val="22"/>
        </w:rPr>
        <w:t xml:space="preserve"> also really good to hear from other dual sectors, as that’s a different context than </w:t>
      </w:r>
      <w:r w:rsidR="00235680" w:rsidRPr="00117237">
        <w:rPr>
          <w:bCs/>
          <w:i/>
          <w:iCs/>
          <w:color w:val="931B2F" w:themeColor="background2"/>
          <w:szCs w:val="22"/>
        </w:rPr>
        <w:t>TAFE</w:t>
      </w:r>
      <w:r w:rsidR="009A1E27" w:rsidRPr="00117237">
        <w:rPr>
          <w:bCs/>
          <w:i/>
          <w:iCs/>
          <w:color w:val="931B2F" w:themeColor="background2"/>
          <w:szCs w:val="22"/>
        </w:rPr>
        <w:t>.</w:t>
      </w:r>
      <w:r w:rsidRPr="00117237">
        <w:rPr>
          <w:bCs/>
          <w:i/>
          <w:iCs/>
          <w:color w:val="931B2F" w:themeColor="background2"/>
          <w:szCs w:val="22"/>
        </w:rPr>
        <w:t xml:space="preserve">’ – TAFE stakeholder </w:t>
      </w:r>
    </w:p>
    <w:p w14:paraId="2D9C0BB4" w14:textId="54BFF82B" w:rsidR="00235680" w:rsidRPr="00117237" w:rsidRDefault="00235680" w:rsidP="008C14C8">
      <w:pPr>
        <w:jc w:val="right"/>
        <w:rPr>
          <w:i/>
          <w:color w:val="931B2F" w:themeColor="background2"/>
        </w:rPr>
      </w:pPr>
      <w:r w:rsidRPr="00117237">
        <w:rPr>
          <w:i/>
          <w:color w:val="931B2F" w:themeColor="background2"/>
        </w:rPr>
        <w:t>‘The Communities of Practice, when we would have a session they loved learning from each other and it was really important to us to foster a community to cheer each other on rather than compete. They connect with each other outside of this work, they met up at conferences and went out for dinner, and they are putting in that effort.’ – Our Watch stakeholder</w:t>
      </w:r>
    </w:p>
    <w:p w14:paraId="73D24010" w14:textId="537375D9" w:rsidR="00C87EF3" w:rsidRPr="00117237" w:rsidRDefault="00C87EF3" w:rsidP="008C14C8">
      <w:r w:rsidRPr="00117237">
        <w:t xml:space="preserve">Our Watch stakeholders </w:t>
      </w:r>
      <w:r w:rsidR="006D0543" w:rsidRPr="00117237">
        <w:t xml:space="preserve">also believe that this has also been due to </w:t>
      </w:r>
      <w:r w:rsidR="00444063" w:rsidRPr="00117237">
        <w:t>their attempts at broader engagement in the VET sector including at conferences and submitting articles in the TAFE Directors Australia (TDA) newsletter.</w:t>
      </w:r>
      <w:r w:rsidR="00E870BE" w:rsidRPr="00117237">
        <w:t xml:space="preserve"> </w:t>
      </w:r>
    </w:p>
    <w:p w14:paraId="1B5A60D4" w14:textId="40CBBC9A" w:rsidR="00C87EF3" w:rsidRPr="00117237" w:rsidRDefault="00C87EF3" w:rsidP="436FB51D">
      <w:pPr>
        <w:jc w:val="right"/>
        <w:rPr>
          <w:i/>
          <w:iCs/>
          <w:color w:val="931B2F" w:themeColor="background2"/>
        </w:rPr>
      </w:pPr>
      <w:r w:rsidRPr="00117237">
        <w:rPr>
          <w:i/>
          <w:iCs/>
          <w:color w:val="931B2F" w:themeColor="accent1"/>
        </w:rPr>
        <w:t xml:space="preserve">‘More people in </w:t>
      </w:r>
      <w:r w:rsidR="00033852" w:rsidRPr="00117237">
        <w:rPr>
          <w:i/>
          <w:iCs/>
          <w:color w:val="931B2F" w:themeColor="accent1"/>
        </w:rPr>
        <w:t>TAFE</w:t>
      </w:r>
      <w:r w:rsidRPr="00117237">
        <w:rPr>
          <w:i/>
          <w:iCs/>
          <w:color w:val="931B2F" w:themeColor="accent1"/>
        </w:rPr>
        <w:t xml:space="preserve"> know who</w:t>
      </w:r>
      <w:r w:rsidR="004B7C7C" w:rsidRPr="00117237">
        <w:rPr>
          <w:i/>
          <w:iCs/>
          <w:color w:val="931B2F" w:themeColor="accent1"/>
        </w:rPr>
        <w:t xml:space="preserve"> O</w:t>
      </w:r>
      <w:r w:rsidRPr="00117237">
        <w:rPr>
          <w:i/>
          <w:iCs/>
          <w:color w:val="931B2F" w:themeColor="accent1"/>
        </w:rPr>
        <w:t xml:space="preserve">ur </w:t>
      </w:r>
      <w:r w:rsidR="004B7C7C" w:rsidRPr="00117237">
        <w:rPr>
          <w:i/>
          <w:iCs/>
          <w:color w:val="931B2F" w:themeColor="accent1"/>
        </w:rPr>
        <w:t>W</w:t>
      </w:r>
      <w:r w:rsidRPr="00117237">
        <w:rPr>
          <w:i/>
          <w:iCs/>
          <w:color w:val="931B2F" w:themeColor="accent1"/>
        </w:rPr>
        <w:t>atch is, at the beginning they thought we were a marketing org</w:t>
      </w:r>
      <w:r w:rsidR="00A73B85" w:rsidRPr="00117237">
        <w:rPr>
          <w:i/>
          <w:iCs/>
          <w:color w:val="931B2F" w:themeColor="accent1"/>
        </w:rPr>
        <w:t>anisation</w:t>
      </w:r>
      <w:r w:rsidRPr="00117237">
        <w:rPr>
          <w:i/>
          <w:iCs/>
          <w:color w:val="931B2F" w:themeColor="accent1"/>
        </w:rPr>
        <w:t xml:space="preserve">, they did not know us at all. And not just with our </w:t>
      </w:r>
      <w:r w:rsidR="00033852" w:rsidRPr="00117237">
        <w:rPr>
          <w:i/>
          <w:iCs/>
          <w:color w:val="931B2F" w:themeColor="accent1"/>
        </w:rPr>
        <w:t>TAFEs</w:t>
      </w:r>
      <w:r w:rsidRPr="00117237">
        <w:rPr>
          <w:i/>
          <w:iCs/>
          <w:color w:val="931B2F" w:themeColor="accent1"/>
        </w:rPr>
        <w:t xml:space="preserve">, conferences, </w:t>
      </w:r>
      <w:r w:rsidR="00033852" w:rsidRPr="00117237">
        <w:rPr>
          <w:i/>
          <w:iCs/>
          <w:color w:val="931B2F" w:themeColor="accent1"/>
        </w:rPr>
        <w:t>articles</w:t>
      </w:r>
      <w:r w:rsidRPr="00117237">
        <w:rPr>
          <w:i/>
          <w:iCs/>
          <w:color w:val="931B2F" w:themeColor="accent1"/>
        </w:rPr>
        <w:t xml:space="preserve">, TDA newsletters, we have benefitted because more people in the community </w:t>
      </w:r>
      <w:r w:rsidR="00033852" w:rsidRPr="00117237">
        <w:rPr>
          <w:i/>
          <w:iCs/>
          <w:color w:val="931B2F" w:themeColor="accent1"/>
        </w:rPr>
        <w:t>know</w:t>
      </w:r>
      <w:r w:rsidRPr="00117237">
        <w:rPr>
          <w:i/>
          <w:iCs/>
          <w:color w:val="931B2F" w:themeColor="accent1"/>
        </w:rPr>
        <w:t xml:space="preserve"> about us now. We have had some system level actors join our </w:t>
      </w:r>
      <w:r w:rsidR="00925DAB" w:rsidRPr="00117237">
        <w:rPr>
          <w:i/>
          <w:iCs/>
          <w:color w:val="931B2F" w:themeColor="accent1"/>
        </w:rPr>
        <w:t>S</w:t>
      </w:r>
      <w:r w:rsidRPr="00117237">
        <w:rPr>
          <w:i/>
          <w:iCs/>
          <w:color w:val="931B2F" w:themeColor="accent1"/>
        </w:rPr>
        <w:t xml:space="preserve">ummits, they have invited us to conferences, this would not have happened without this work. People at the beginning thought we were a scam.’ – Our Watch stakeholder </w:t>
      </w:r>
    </w:p>
    <w:p w14:paraId="5231B865" w14:textId="3FFD4FAA" w:rsidR="00D31EFD" w:rsidRPr="00117237" w:rsidRDefault="00D31EFD" w:rsidP="00D31EFD">
      <w:r w:rsidRPr="00117237">
        <w:t xml:space="preserve">As a result, TAFEs </w:t>
      </w:r>
      <w:r w:rsidR="00B7757A" w:rsidRPr="00117237">
        <w:t>have</w:t>
      </w:r>
      <w:r w:rsidRPr="00117237">
        <w:t xml:space="preserve"> more </w:t>
      </w:r>
      <w:r w:rsidR="00B7757A" w:rsidRPr="00117237">
        <w:t>avenues to connect</w:t>
      </w:r>
      <w:r w:rsidRPr="00117237">
        <w:t xml:space="preserve"> and </w:t>
      </w:r>
      <w:r w:rsidR="00B7757A" w:rsidRPr="00117237">
        <w:t>share learnings on</w:t>
      </w:r>
      <w:r w:rsidRPr="00117237">
        <w:t xml:space="preserve"> gender equality and primary prevention across TAFEs and the </w:t>
      </w:r>
      <w:r w:rsidR="00EF197A" w:rsidRPr="00117237">
        <w:t>broader</w:t>
      </w:r>
      <w:r w:rsidRPr="00117237">
        <w:t xml:space="preserve"> VET sector. </w:t>
      </w:r>
    </w:p>
    <w:p w14:paraId="587BD0EF" w14:textId="77777777" w:rsidR="00D31EFD" w:rsidRPr="00117237" w:rsidRDefault="00D31EFD" w:rsidP="008C14C8">
      <w:pPr>
        <w:jc w:val="right"/>
        <w:rPr>
          <w:i/>
          <w:iCs/>
          <w:color w:val="931B2F" w:themeColor="background2"/>
        </w:rPr>
      </w:pPr>
      <w:r w:rsidRPr="00117237">
        <w:rPr>
          <w:i/>
          <w:iCs/>
          <w:color w:val="931B2F" w:themeColor="background2"/>
        </w:rPr>
        <w:t>‘</w:t>
      </w:r>
      <w:r w:rsidRPr="00117237">
        <w:rPr>
          <w:i/>
          <w:color w:val="931B2F" w:themeColor="background2"/>
        </w:rPr>
        <w:t>The TAFE community feels better connected on this issue, there’s some collegiality… They are working together to find gaps and work together to fill them.’ – Our Watch stakeholder</w:t>
      </w:r>
    </w:p>
    <w:p w14:paraId="210B3D4A" w14:textId="77777777" w:rsidR="00D31EFD" w:rsidRPr="00117237" w:rsidRDefault="00D31EFD" w:rsidP="008C14C8">
      <w:pPr>
        <w:jc w:val="right"/>
        <w:rPr>
          <w:i/>
          <w:color w:val="931B2F" w:themeColor="background2"/>
        </w:rPr>
      </w:pPr>
      <w:r w:rsidRPr="00117237">
        <w:rPr>
          <w:i/>
          <w:color w:val="931B2F" w:themeColor="background2"/>
        </w:rPr>
        <w:t>‘There was an increase in awareness of what the issue is and then also where TAFEs then fit.’ – Our Watch stakeholder</w:t>
      </w:r>
    </w:p>
    <w:p w14:paraId="1AFDCEB7" w14:textId="48205218" w:rsidR="00824BCD" w:rsidRPr="00117237" w:rsidRDefault="00E870BE" w:rsidP="008C14C8">
      <w:r w:rsidRPr="00117237">
        <w:t>As a result</w:t>
      </w:r>
      <w:r w:rsidR="00ED0865" w:rsidRPr="00117237">
        <w:t xml:space="preserve"> of this project</w:t>
      </w:r>
      <w:r w:rsidR="00B32ADE" w:rsidRPr="00117237">
        <w:t>,</w:t>
      </w:r>
      <w:r w:rsidRPr="00117237">
        <w:t xml:space="preserve"> more of the VET sector have visibility of Our Watch </w:t>
      </w:r>
      <w:r w:rsidR="006B54D2" w:rsidRPr="00117237">
        <w:t>and the work they do</w:t>
      </w:r>
      <w:r w:rsidRPr="00117237">
        <w:t xml:space="preserve">, and a greater understanding of </w:t>
      </w:r>
      <w:r w:rsidR="0037229F" w:rsidRPr="00117237">
        <w:t>the role TAFEs and VET providers can play in primary prevention. This is crucial for the fut</w:t>
      </w:r>
      <w:r w:rsidR="00E861C1" w:rsidRPr="00117237">
        <w:t xml:space="preserve">ure sustainability of this work. </w:t>
      </w:r>
    </w:p>
    <w:p w14:paraId="2B768B8B" w14:textId="6AC1F9A6" w:rsidR="003E7AED" w:rsidRPr="00117237" w:rsidRDefault="00824BCD" w:rsidP="008C14C8">
      <w:pPr>
        <w:rPr>
          <w:szCs w:val="22"/>
        </w:rPr>
      </w:pPr>
      <w:r w:rsidRPr="00117237">
        <w:t>The RET2 team</w:t>
      </w:r>
      <w:r w:rsidR="0034676E" w:rsidRPr="00117237">
        <w:t xml:space="preserve"> </w:t>
      </w:r>
      <w:r w:rsidRPr="00117237">
        <w:t>has reconnected</w:t>
      </w:r>
      <w:r w:rsidR="0034676E" w:rsidRPr="00117237">
        <w:t xml:space="preserve"> with the Victorian TAFEs who were part of RET1 and </w:t>
      </w:r>
      <w:r w:rsidR="00CB1195" w:rsidRPr="00117237">
        <w:t>begun</w:t>
      </w:r>
      <w:r w:rsidR="0034676E" w:rsidRPr="00117237">
        <w:t xml:space="preserve"> </w:t>
      </w:r>
      <w:r w:rsidR="00CB1195" w:rsidRPr="00117237">
        <w:t>connecting</w:t>
      </w:r>
      <w:r w:rsidR="0034676E" w:rsidRPr="00117237">
        <w:t xml:space="preserve"> with other TAFEs nationally who haven’t worked with Our Watch yet, but will in future iterations of the project. </w:t>
      </w:r>
      <w:r w:rsidR="00597EAD" w:rsidRPr="00117237">
        <w:t>A</w:t>
      </w:r>
      <w:r w:rsidR="0034676E" w:rsidRPr="00117237">
        <w:t xml:space="preserve"> key mechanism for this was </w:t>
      </w:r>
      <w:r w:rsidR="00B32ADE" w:rsidRPr="00117237">
        <w:t>s</w:t>
      </w:r>
      <w:r w:rsidR="00D7239A" w:rsidRPr="00117237">
        <w:t>ummit 2</w:t>
      </w:r>
      <w:r w:rsidR="006F7F3A" w:rsidRPr="00117237">
        <w:t>, where all TAFEs nationally were invite</w:t>
      </w:r>
      <w:r w:rsidR="00597EAD" w:rsidRPr="00117237">
        <w:t>d</w:t>
      </w:r>
      <w:r w:rsidR="006F7F3A" w:rsidRPr="00117237">
        <w:t xml:space="preserve"> and 21 out of 27 attended</w:t>
      </w:r>
      <w:r w:rsidR="004902CD" w:rsidRPr="00117237">
        <w:t>.</w:t>
      </w:r>
      <w:r w:rsidR="00F702EC" w:rsidRPr="00117237">
        <w:rPr>
          <w:rStyle w:val="FootnoteReference"/>
          <w:color w:val="auto"/>
        </w:rPr>
        <w:footnoteReference w:id="73"/>
      </w:r>
      <w:r w:rsidR="004902CD" w:rsidRPr="00117237">
        <w:t xml:space="preserve"> </w:t>
      </w:r>
      <w:r w:rsidR="00CB1195" w:rsidRPr="00117237">
        <w:rPr>
          <w:szCs w:val="22"/>
        </w:rPr>
        <w:t>These connections are</w:t>
      </w:r>
      <w:r w:rsidR="00A07C86" w:rsidRPr="00117237">
        <w:rPr>
          <w:szCs w:val="22"/>
        </w:rPr>
        <w:t xml:space="preserve"> </w:t>
      </w:r>
      <w:r w:rsidR="00CB1195" w:rsidRPr="00117237">
        <w:rPr>
          <w:szCs w:val="22"/>
        </w:rPr>
        <w:t>critical</w:t>
      </w:r>
      <w:r w:rsidR="00A07C86" w:rsidRPr="00117237">
        <w:rPr>
          <w:szCs w:val="22"/>
        </w:rPr>
        <w:t xml:space="preserve"> if Our Watch wishes to continue working in the VET space which</w:t>
      </w:r>
      <w:r w:rsidR="004B265C" w:rsidRPr="00117237">
        <w:rPr>
          <w:szCs w:val="22"/>
        </w:rPr>
        <w:t>,</w:t>
      </w:r>
      <w:r w:rsidR="00A07C86" w:rsidRPr="00117237">
        <w:rPr>
          <w:szCs w:val="22"/>
        </w:rPr>
        <w:t xml:space="preserve"> as discussed earl</w:t>
      </w:r>
      <w:r w:rsidR="004B265C" w:rsidRPr="00117237">
        <w:rPr>
          <w:szCs w:val="22"/>
        </w:rPr>
        <w:t>ier</w:t>
      </w:r>
      <w:r w:rsidR="00B32ADE" w:rsidRPr="00117237">
        <w:rPr>
          <w:szCs w:val="22"/>
        </w:rPr>
        <w:t>,</w:t>
      </w:r>
      <w:r w:rsidR="00A07C86" w:rsidRPr="00117237">
        <w:rPr>
          <w:szCs w:val="22"/>
        </w:rPr>
        <w:t xml:space="preserve"> presents a significant opportunity. </w:t>
      </w:r>
    </w:p>
    <w:p w14:paraId="7ED6E4AC" w14:textId="509DB95F" w:rsidR="006F453A" w:rsidRPr="00117237" w:rsidRDefault="006F453A" w:rsidP="006F453A">
      <w:pPr>
        <w:pStyle w:val="Heading3Normal"/>
      </w:pPr>
      <w:r w:rsidRPr="00117237">
        <w:t xml:space="preserve">There are positive signs </w:t>
      </w:r>
      <w:r w:rsidR="005017C2" w:rsidRPr="00117237">
        <w:t xml:space="preserve">of sustained commitment </w:t>
      </w:r>
      <w:r w:rsidR="002D49C6" w:rsidRPr="00117237">
        <w:t xml:space="preserve">at </w:t>
      </w:r>
      <w:r w:rsidRPr="00117237">
        <w:t xml:space="preserve">some of the TAFEs. </w:t>
      </w:r>
    </w:p>
    <w:p w14:paraId="06CB0965" w14:textId="04C8B630" w:rsidR="009E5265" w:rsidRPr="00117237" w:rsidRDefault="00AE1200" w:rsidP="00961BB5">
      <w:r w:rsidRPr="00117237">
        <w:t xml:space="preserve">There is evidence of forward momentum of primary prevention </w:t>
      </w:r>
      <w:r w:rsidR="00215DF2" w:rsidRPr="00117237">
        <w:t xml:space="preserve">at the TAFEs, and some </w:t>
      </w:r>
      <w:r w:rsidR="00B561A9" w:rsidRPr="00117237">
        <w:t xml:space="preserve">positive changes have occurred </w:t>
      </w:r>
      <w:r w:rsidR="00D24048" w:rsidRPr="00117237">
        <w:t>because of</w:t>
      </w:r>
      <w:r w:rsidR="00B561A9" w:rsidRPr="00117237">
        <w:t xml:space="preserve"> RET2. </w:t>
      </w:r>
      <w:r w:rsidR="00C5354F" w:rsidRPr="00117237">
        <w:t xml:space="preserve">These have been achieved with significant support from Our Watch, and a key evaluation question </w:t>
      </w:r>
      <w:r w:rsidR="002B4EF9" w:rsidRPr="00117237">
        <w:t xml:space="preserve">asked </w:t>
      </w:r>
      <w:r w:rsidR="006B6CAE" w:rsidRPr="00117237">
        <w:t>for evidence of the sustainability of those changes (both the momentum and commitment)</w:t>
      </w:r>
      <w:r w:rsidR="00FF133E" w:rsidRPr="00117237">
        <w:t xml:space="preserve"> </w:t>
      </w:r>
      <w:r w:rsidR="006B6CAE" w:rsidRPr="00117237">
        <w:t xml:space="preserve">beyond the end of the project. </w:t>
      </w:r>
    </w:p>
    <w:p w14:paraId="1594B468" w14:textId="05738C2B" w:rsidR="00917BB7" w:rsidRPr="00117237" w:rsidRDefault="00917BB7" w:rsidP="00961BB5">
      <w:r w:rsidRPr="00117237">
        <w:t xml:space="preserve">To assess this, we looked for evidence of the attitudes of stakeholders, what they had done to date, and the surrounding conditions and enablers that would support sustainability going forward. </w:t>
      </w:r>
    </w:p>
    <w:p w14:paraId="181A4158" w14:textId="0DB8AB4E" w:rsidR="00A027E7" w:rsidRPr="00117237" w:rsidRDefault="00A027E7" w:rsidP="436FB51D">
      <w:pPr>
        <w:jc w:val="right"/>
        <w:rPr>
          <w:i/>
          <w:iCs/>
          <w:color w:val="931B2F" w:themeColor="background2"/>
        </w:rPr>
      </w:pPr>
      <w:r w:rsidRPr="00117237">
        <w:rPr>
          <w:i/>
          <w:iCs/>
          <w:color w:val="931B2F" w:themeColor="accent1"/>
        </w:rPr>
        <w:t>‘It’s been really satisfying and I’m really proud of our involvement.’ – TAFE stakeholder</w:t>
      </w:r>
    </w:p>
    <w:p w14:paraId="1027A249" w14:textId="7D1FB98E" w:rsidR="002F3134" w:rsidRPr="00117237" w:rsidRDefault="002F3134" w:rsidP="436FB51D">
      <w:pPr>
        <w:jc w:val="right"/>
        <w:rPr>
          <w:i/>
          <w:iCs/>
          <w:color w:val="931B2F" w:themeColor="background2"/>
        </w:rPr>
      </w:pPr>
      <w:r w:rsidRPr="00117237">
        <w:rPr>
          <w:i/>
          <w:iCs/>
          <w:color w:val="931B2F" w:themeColor="accent1"/>
        </w:rPr>
        <w:t xml:space="preserve">‘And I think we are committed, there is enough of us on that team who is committed and will keep driving something until we can publish it.’ – TAFE stakeholder </w:t>
      </w:r>
    </w:p>
    <w:p w14:paraId="088CB2FD" w14:textId="28AAC312" w:rsidR="00F659C4" w:rsidRPr="00117237" w:rsidRDefault="00F659C4" w:rsidP="00E21E09">
      <w:r w:rsidRPr="00117237">
        <w:t xml:space="preserve">This positivity and ambition </w:t>
      </w:r>
      <w:r w:rsidR="000E58C6" w:rsidRPr="00117237">
        <w:t>are</w:t>
      </w:r>
      <w:r w:rsidRPr="00117237">
        <w:t xml:space="preserve"> an important aspect of sustainability </w:t>
      </w:r>
      <w:r w:rsidR="00B32ADE" w:rsidRPr="00117237">
        <w:t xml:space="preserve">so </w:t>
      </w:r>
      <w:r w:rsidRPr="00117237">
        <w:t>that people involved remain enthusiastic and ambitious about the work, and therefore hopefully will continue to drive it forward.</w:t>
      </w:r>
    </w:p>
    <w:p w14:paraId="1321AE7F" w14:textId="77777777" w:rsidR="00272BD1" w:rsidRPr="00117237" w:rsidRDefault="00272BD1" w:rsidP="00E21E09">
      <w:pPr>
        <w:rPr>
          <w:szCs w:val="22"/>
        </w:rPr>
      </w:pPr>
      <w:r w:rsidRPr="00117237">
        <w:rPr>
          <w:szCs w:val="22"/>
        </w:rPr>
        <w:t>All TAFEs had multiple people in their Working Group, usually from across the organisation which is a positive step to preventing this work having a single point of failure and may be sustained in the future. By having opt in representatives from across the institutions, this may:</w:t>
      </w:r>
    </w:p>
    <w:p w14:paraId="0E2FE806" w14:textId="77777777" w:rsidR="00272BD1" w:rsidRPr="00117237" w:rsidRDefault="00272BD1" w:rsidP="008C14C8">
      <w:pPr>
        <w:pStyle w:val="ListBullet"/>
      </w:pPr>
      <w:r w:rsidRPr="00117237">
        <w:t xml:space="preserve">Leverage passion and buy in of individual actors to maintain and share information about the work in TAFEs </w:t>
      </w:r>
    </w:p>
    <w:p w14:paraId="5EE4F642" w14:textId="7FF11B1E" w:rsidR="00272BD1" w:rsidRPr="00117237" w:rsidRDefault="00272BD1" w:rsidP="008C14C8">
      <w:pPr>
        <w:pStyle w:val="ListBullet"/>
      </w:pPr>
      <w:r w:rsidRPr="00117237">
        <w:t>Produce actionable plans and have a Working Group member in each area of the institution to carry them out</w:t>
      </w:r>
    </w:p>
    <w:p w14:paraId="71C5E987" w14:textId="4E35C290" w:rsidR="00163BFF" w:rsidRPr="00117237" w:rsidRDefault="00163BFF" w:rsidP="00163BFF">
      <w:r w:rsidRPr="00117237">
        <w:t>TAFE</w:t>
      </w:r>
      <w:r w:rsidR="00067E24">
        <w:t>s</w:t>
      </w:r>
      <w:r w:rsidRPr="00117237">
        <w:t xml:space="preserve"> commented </w:t>
      </w:r>
      <w:r w:rsidR="00B6285A" w:rsidRPr="00117237">
        <w:t xml:space="preserve">that </w:t>
      </w:r>
      <w:r w:rsidRPr="00117237">
        <w:t xml:space="preserve">they are hopeful about the success of the implementation of the gender equality action plans </w:t>
      </w:r>
      <w:r w:rsidR="00D24048" w:rsidRPr="00117237">
        <w:t>because of</w:t>
      </w:r>
      <w:r w:rsidR="00036E7F" w:rsidRPr="00117237">
        <w:t xml:space="preserve"> having</w:t>
      </w:r>
      <w:r w:rsidRPr="00117237">
        <w:t xml:space="preserve"> a group of people that are passionate</w:t>
      </w:r>
      <w:r w:rsidR="00067E24">
        <w:t xml:space="preserve"> and </w:t>
      </w:r>
      <w:r w:rsidRPr="00117237">
        <w:t xml:space="preserve">motivated </w:t>
      </w:r>
      <w:r w:rsidR="00067E24">
        <w:t>to</w:t>
      </w:r>
      <w:r w:rsidRPr="00117237">
        <w:t xml:space="preserve"> continue to drive this work forward. </w:t>
      </w:r>
    </w:p>
    <w:p w14:paraId="509CC831" w14:textId="6FC77A4F" w:rsidR="00163BFF" w:rsidRPr="00117237" w:rsidRDefault="00163BFF" w:rsidP="436FB51D">
      <w:pPr>
        <w:jc w:val="right"/>
        <w:rPr>
          <w:i/>
          <w:iCs/>
          <w:color w:val="931B2F" w:themeColor="background2"/>
        </w:rPr>
      </w:pPr>
      <w:r w:rsidRPr="00117237">
        <w:rPr>
          <w:i/>
          <w:iCs/>
          <w:color w:val="931B2F" w:themeColor="accent1"/>
        </w:rPr>
        <w:lastRenderedPageBreak/>
        <w:t>‘I look at [the gender equality plan] and think we can absolutely do this because the actions were created by the people who will actually do them.’ – TAFE stakeholder</w:t>
      </w:r>
    </w:p>
    <w:p w14:paraId="29B8EC13" w14:textId="70469727" w:rsidR="00163BFF" w:rsidRPr="00117237" w:rsidRDefault="00163BFF" w:rsidP="008C14C8">
      <w:pPr>
        <w:jc w:val="right"/>
        <w:rPr>
          <w:i/>
          <w:color w:val="931B2F" w:themeColor="background2"/>
        </w:rPr>
      </w:pPr>
      <w:r w:rsidRPr="00117237">
        <w:rPr>
          <w:i/>
          <w:color w:val="931B2F" w:themeColor="background2"/>
        </w:rPr>
        <w:t>‘We just did a big look at sexual harassment policy with staff and the fact that during the policy review the person doing that came to us to check the new policy</w:t>
      </w:r>
      <w:r w:rsidR="00BB6A6D">
        <w:rPr>
          <w:i/>
          <w:color w:val="931B2F" w:themeColor="background2"/>
        </w:rPr>
        <w:t>.</w:t>
      </w:r>
      <w:r w:rsidRPr="00117237">
        <w:rPr>
          <w:i/>
          <w:color w:val="931B2F" w:themeColor="background2"/>
        </w:rPr>
        <w:t xml:space="preserve"> </w:t>
      </w:r>
      <w:r w:rsidR="00BB6A6D">
        <w:rPr>
          <w:i/>
          <w:color w:val="931B2F" w:themeColor="background2"/>
        </w:rPr>
        <w:t>W</w:t>
      </w:r>
      <w:r w:rsidRPr="00117237">
        <w:rPr>
          <w:i/>
          <w:color w:val="931B2F" w:themeColor="background2"/>
        </w:rPr>
        <w:t xml:space="preserve">e had a whole working group and network who are interested and passionate about this work. It’s that change we went for.’ – TAFE stakeholder </w:t>
      </w:r>
    </w:p>
    <w:p w14:paraId="2413F1AD" w14:textId="6307A89C" w:rsidR="00602DEF" w:rsidRPr="00117237" w:rsidRDefault="00151FAB" w:rsidP="008C14C8">
      <w:r w:rsidRPr="00117237">
        <w:t>Other</w:t>
      </w:r>
      <w:r w:rsidR="00602DEF" w:rsidRPr="00117237">
        <w:t xml:space="preserve"> key enabling factors for sustainability includ</w:t>
      </w:r>
      <w:r w:rsidRPr="00117237">
        <w:t>e</w:t>
      </w:r>
      <w:r w:rsidR="00602DEF" w:rsidRPr="00117237">
        <w:t xml:space="preserve"> senior leadership and executive buy-in and shepherding of the work, and the fact the gender equality action plan produced as part of this project has been embedded in broader organisation strategies. </w:t>
      </w:r>
    </w:p>
    <w:p w14:paraId="728F1095" w14:textId="1A3C2360" w:rsidR="00E66A36" w:rsidRPr="00117237" w:rsidRDefault="0029421A" w:rsidP="00E66A36">
      <w:pPr>
        <w:pStyle w:val="Heading3Normal"/>
      </w:pPr>
      <w:r w:rsidRPr="00117237">
        <w:t>S</w:t>
      </w:r>
      <w:r w:rsidR="00002D71" w:rsidRPr="00117237">
        <w:t xml:space="preserve">igns of </w:t>
      </w:r>
      <w:r w:rsidR="00EE0C89" w:rsidRPr="00117237">
        <w:t>sustainability</w:t>
      </w:r>
      <w:r w:rsidRPr="00117237">
        <w:t xml:space="preserve"> w</w:t>
      </w:r>
      <w:r w:rsidR="00EE0C89" w:rsidRPr="00117237">
        <w:t>ere</w:t>
      </w:r>
      <w:r w:rsidRPr="00117237">
        <w:t xml:space="preserve"> less</w:t>
      </w:r>
      <w:r w:rsidR="00FA7F87" w:rsidRPr="00117237">
        <w:t xml:space="preserve"> clear in TAFEs that had relied</w:t>
      </w:r>
      <w:r w:rsidR="000D2559" w:rsidRPr="00117237">
        <w:t xml:space="preserve"> on individual champions over broader buy-in, </w:t>
      </w:r>
      <w:r w:rsidR="00D749CB" w:rsidRPr="00117237">
        <w:t xml:space="preserve">and </w:t>
      </w:r>
      <w:r w:rsidR="00FA7F87" w:rsidRPr="00117237">
        <w:t xml:space="preserve">where there was a </w:t>
      </w:r>
      <w:r w:rsidR="000D2559" w:rsidRPr="00117237">
        <w:t>lack of resourcing</w:t>
      </w:r>
      <w:r w:rsidR="00EF026A" w:rsidRPr="00117237">
        <w:t xml:space="preserve">. </w:t>
      </w:r>
    </w:p>
    <w:p w14:paraId="1B529865" w14:textId="3518E389" w:rsidR="00D749CB" w:rsidRPr="00117237" w:rsidRDefault="00E8321C" w:rsidP="00D749CB">
      <w:r w:rsidRPr="00117237">
        <w:t xml:space="preserve">Reliance on individual champions is a limitation to sustainability, leaving it </w:t>
      </w:r>
      <w:r w:rsidR="002D72E8" w:rsidRPr="00117237">
        <w:t xml:space="preserve">at risk of </w:t>
      </w:r>
      <w:r w:rsidR="00AA7363" w:rsidRPr="00117237">
        <w:t>de-</w:t>
      </w:r>
      <w:r w:rsidR="00F45B54" w:rsidRPr="00117237">
        <w:t>prioritisation due to lack of broader buy-in</w:t>
      </w:r>
      <w:r w:rsidR="00AA7363" w:rsidRPr="00117237">
        <w:t xml:space="preserve"> or </w:t>
      </w:r>
      <w:r w:rsidR="00F45B54" w:rsidRPr="00117237">
        <w:t xml:space="preserve">staff turnover. </w:t>
      </w:r>
      <w:r w:rsidR="00D749CB" w:rsidRPr="00117237">
        <w:t xml:space="preserve">It's important in future iterations of this work to mitigate the risk of a key champion of this work leaving an organisation. The mechanism of the working group is already a good step toward ensuring a group of people are brought on the journey not just one person. </w:t>
      </w:r>
    </w:p>
    <w:p w14:paraId="4AAD1848" w14:textId="4035ECC7" w:rsidR="00D749CB" w:rsidRPr="00117237" w:rsidRDefault="00D749CB" w:rsidP="436FB51D">
      <w:pPr>
        <w:jc w:val="right"/>
        <w:rPr>
          <w:i/>
          <w:iCs/>
          <w:color w:val="931B2F" w:themeColor="background2"/>
        </w:rPr>
      </w:pPr>
      <w:r w:rsidRPr="00117237">
        <w:rPr>
          <w:i/>
          <w:iCs/>
          <w:color w:val="931B2F" w:themeColor="accent1"/>
        </w:rPr>
        <w:t>‘I try never to be the lynchpin for anything I do. I think the important thing is the web of trust that you build in the working group between people</w:t>
      </w:r>
      <w:r w:rsidR="0033793E">
        <w:rPr>
          <w:i/>
          <w:iCs/>
          <w:color w:val="931B2F" w:themeColor="accent1"/>
        </w:rPr>
        <w:t>.</w:t>
      </w:r>
      <w:r w:rsidRPr="00117237">
        <w:rPr>
          <w:i/>
          <w:iCs/>
          <w:color w:val="931B2F" w:themeColor="accent1"/>
        </w:rPr>
        <w:t xml:space="preserve"> I’m hoping that me leaving will likely impact but hopefully not make a difference…It’s the working group that makes this happen</w:t>
      </w:r>
      <w:r w:rsidR="0033793E">
        <w:rPr>
          <w:i/>
          <w:iCs/>
          <w:color w:val="931B2F" w:themeColor="accent1"/>
        </w:rPr>
        <w:t>,</w:t>
      </w:r>
      <w:r w:rsidRPr="00117237">
        <w:rPr>
          <w:i/>
          <w:iCs/>
          <w:color w:val="931B2F" w:themeColor="accent1"/>
        </w:rPr>
        <w:t xml:space="preserve"> not just one person</w:t>
      </w:r>
      <w:r w:rsidR="00E01729" w:rsidRPr="00117237">
        <w:rPr>
          <w:i/>
          <w:iCs/>
          <w:color w:val="931B2F" w:themeColor="accent1"/>
        </w:rPr>
        <w:t>.</w:t>
      </w:r>
      <w:r w:rsidRPr="00117237">
        <w:rPr>
          <w:i/>
          <w:iCs/>
          <w:color w:val="931B2F" w:themeColor="accent1"/>
        </w:rPr>
        <w:t xml:space="preserve">’ – TAFE stakeholder </w:t>
      </w:r>
    </w:p>
    <w:p w14:paraId="68C89764" w14:textId="27EB22D8" w:rsidR="00B053D2" w:rsidRPr="00117237" w:rsidRDefault="001551FD" w:rsidP="008C14C8">
      <w:r w:rsidRPr="00117237">
        <w:t>Stakeholders</w:t>
      </w:r>
      <w:r w:rsidR="00B053D2" w:rsidRPr="00117237">
        <w:t xml:space="preserve"> acknowledged </w:t>
      </w:r>
      <w:r w:rsidRPr="00117237">
        <w:t>that this work needs to be held by many</w:t>
      </w:r>
      <w:r w:rsidR="00B053D2" w:rsidRPr="00117237">
        <w:t xml:space="preserve">, </w:t>
      </w:r>
      <w:r w:rsidR="004B0573" w:rsidRPr="00117237">
        <w:t>requiring</w:t>
      </w:r>
      <w:r w:rsidR="00B053D2" w:rsidRPr="00117237">
        <w:t xml:space="preserve"> continued education and resourc</w:t>
      </w:r>
      <w:r w:rsidR="00B34D23">
        <w:t>ing</w:t>
      </w:r>
      <w:r w:rsidR="00B053D2" w:rsidRPr="00117237">
        <w:t xml:space="preserve"> to be dedicated to this work. </w:t>
      </w:r>
    </w:p>
    <w:p w14:paraId="7264B3DD" w14:textId="3C623D8D" w:rsidR="00B053D2" w:rsidRPr="00117237" w:rsidRDefault="00B053D2" w:rsidP="008C14C8">
      <w:pPr>
        <w:jc w:val="right"/>
        <w:rPr>
          <w:i/>
          <w:iCs/>
          <w:color w:val="931B2F" w:themeColor="background2"/>
        </w:rPr>
      </w:pPr>
      <w:r w:rsidRPr="00117237">
        <w:rPr>
          <w:i/>
          <w:iCs/>
          <w:color w:val="931B2F" w:themeColor="background2"/>
        </w:rPr>
        <w:t>‘The challenge for us is to keep doing that…to keep educating the people, the change leads, the people leaders, the staff who have direct contact with students, those cohorts, you have to keep those conversations going, and the governance of this work.</w:t>
      </w:r>
      <w:r w:rsidR="00DF4E19" w:rsidRPr="00117237">
        <w:rPr>
          <w:i/>
          <w:iCs/>
          <w:color w:val="931B2F" w:themeColor="background2"/>
        </w:rPr>
        <w:t>’</w:t>
      </w:r>
      <w:r w:rsidRPr="00117237">
        <w:rPr>
          <w:i/>
          <w:iCs/>
          <w:color w:val="931B2F" w:themeColor="background2"/>
        </w:rPr>
        <w:t>– TAFE stakeholder</w:t>
      </w:r>
    </w:p>
    <w:p w14:paraId="6174A78D" w14:textId="1F8BF79B" w:rsidR="003E445D" w:rsidRPr="00117237" w:rsidRDefault="006C125C" w:rsidP="003E445D">
      <w:pPr>
        <w:rPr>
          <w:strike/>
        </w:rPr>
      </w:pPr>
      <w:r w:rsidRPr="00117237">
        <w:t>RET2 involved a team of two to three people working with five TAFEs</w:t>
      </w:r>
      <w:r w:rsidR="00F809BC" w:rsidRPr="00117237">
        <w:t xml:space="preserve">. </w:t>
      </w:r>
      <w:r w:rsidR="005F47EE" w:rsidRPr="00117237">
        <w:t xml:space="preserve">Participating TAFEs have received </w:t>
      </w:r>
      <w:r w:rsidR="003E445D" w:rsidRPr="00117237">
        <w:t xml:space="preserve">intensive </w:t>
      </w:r>
      <w:r w:rsidRPr="00117237">
        <w:t xml:space="preserve">logistical, </w:t>
      </w:r>
      <w:r w:rsidR="00532D2C" w:rsidRPr="00117237">
        <w:t xml:space="preserve">understanding, and engagement </w:t>
      </w:r>
      <w:r w:rsidR="003E445D" w:rsidRPr="00117237">
        <w:t xml:space="preserve">support and accountability mechanisms to develop their gender equality action plans. </w:t>
      </w:r>
      <w:r w:rsidR="00604ACB" w:rsidRPr="00117237">
        <w:t xml:space="preserve">As support is rolled back, and resourcing in Our Watch reduces, </w:t>
      </w:r>
      <w:r w:rsidR="007C5B69" w:rsidRPr="00117237">
        <w:t>there are questions about sustainability.</w:t>
      </w:r>
      <w:r w:rsidR="003E445D" w:rsidRPr="00117237">
        <w:rPr>
          <w:strike/>
        </w:rPr>
        <w:t xml:space="preserve"> </w:t>
      </w:r>
    </w:p>
    <w:p w14:paraId="2F117D75" w14:textId="6E244951" w:rsidR="0017400D" w:rsidRPr="00117237" w:rsidRDefault="0017400D" w:rsidP="008C14C8">
      <w:pPr>
        <w:jc w:val="right"/>
        <w:rPr>
          <w:i/>
          <w:iCs/>
          <w:color w:val="931B2F" w:themeColor="background2"/>
        </w:rPr>
      </w:pPr>
      <w:r w:rsidRPr="00117237">
        <w:rPr>
          <w:i/>
          <w:iCs/>
          <w:color w:val="931B2F" w:themeColor="background2"/>
        </w:rPr>
        <w:t>‘</w:t>
      </w:r>
      <w:r w:rsidR="001B56DA" w:rsidRPr="00117237">
        <w:rPr>
          <w:i/>
          <w:iCs/>
          <w:color w:val="931B2F" w:themeColor="background2"/>
        </w:rPr>
        <w:t>There will</w:t>
      </w:r>
      <w:r w:rsidRPr="00117237">
        <w:rPr>
          <w:i/>
          <w:iCs/>
          <w:color w:val="931B2F" w:themeColor="background2"/>
        </w:rPr>
        <w:t xml:space="preserve"> be light touch support provided in the future for this</w:t>
      </w:r>
      <w:r w:rsidR="001B56DA" w:rsidRPr="00117237">
        <w:rPr>
          <w:i/>
          <w:iCs/>
          <w:color w:val="931B2F" w:themeColor="background2"/>
        </w:rPr>
        <w:t>.</w:t>
      </w:r>
      <w:r w:rsidRPr="00117237">
        <w:rPr>
          <w:i/>
          <w:iCs/>
          <w:color w:val="931B2F" w:themeColor="background2"/>
        </w:rPr>
        <w:t xml:space="preserve">’ – Our Watch stakeholder </w:t>
      </w:r>
    </w:p>
    <w:p w14:paraId="534CBA84" w14:textId="210838B6" w:rsidR="003E445D" w:rsidRPr="00117237" w:rsidRDefault="003E445D" w:rsidP="003E445D">
      <w:pPr>
        <w:jc w:val="right"/>
        <w:rPr>
          <w:bCs/>
          <w:i/>
          <w:iCs/>
          <w:color w:val="931B2F" w:themeColor="background2"/>
          <w:szCs w:val="22"/>
        </w:rPr>
      </w:pPr>
      <w:r w:rsidRPr="00117237">
        <w:rPr>
          <w:bCs/>
          <w:i/>
          <w:iCs/>
          <w:color w:val="931B2F" w:themeColor="background2"/>
          <w:szCs w:val="22"/>
        </w:rPr>
        <w:t>‘</w:t>
      </w:r>
      <w:r w:rsidR="000E58C6" w:rsidRPr="00117237">
        <w:rPr>
          <w:bCs/>
          <w:i/>
          <w:iCs/>
          <w:color w:val="931B2F" w:themeColor="background2"/>
          <w:szCs w:val="22"/>
        </w:rPr>
        <w:t>Ideally,</w:t>
      </w:r>
      <w:r w:rsidRPr="00117237">
        <w:rPr>
          <w:bCs/>
          <w:i/>
          <w:iCs/>
          <w:color w:val="931B2F" w:themeColor="background2"/>
          <w:szCs w:val="22"/>
        </w:rPr>
        <w:t xml:space="preserve"> we would be able to support them more in that process it’s such a key part of the journey, but because of the way this project is structured it feels like we are leaving them midway, they have made this plan, but don’t know how to deliver it and we’re leaving them</w:t>
      </w:r>
      <w:r w:rsidR="00437476">
        <w:rPr>
          <w:bCs/>
          <w:i/>
          <w:iCs/>
          <w:color w:val="931B2F" w:themeColor="background2"/>
          <w:szCs w:val="22"/>
        </w:rPr>
        <w:t xml:space="preserve"> w</w:t>
      </w:r>
      <w:r w:rsidRPr="00117237">
        <w:rPr>
          <w:bCs/>
          <w:i/>
          <w:iCs/>
          <w:color w:val="931B2F" w:themeColor="background2"/>
          <w:szCs w:val="22"/>
        </w:rPr>
        <w:t xml:space="preserve">ithout having someone to fall back on in the way they could previously.’ – Our Watch stakeholder </w:t>
      </w:r>
    </w:p>
    <w:p w14:paraId="47E77A15" w14:textId="1905DAFB" w:rsidR="004A427B" w:rsidRPr="00117237" w:rsidRDefault="009E33E6" w:rsidP="00797A4E">
      <w:pPr>
        <w:rPr>
          <w:bCs/>
          <w:color w:val="auto"/>
          <w:szCs w:val="22"/>
        </w:rPr>
      </w:pPr>
      <w:r w:rsidRPr="00117237">
        <w:rPr>
          <w:bCs/>
          <w:color w:val="auto"/>
          <w:szCs w:val="22"/>
        </w:rPr>
        <w:t>TAFE</w:t>
      </w:r>
      <w:r w:rsidR="007C5B69" w:rsidRPr="00117237">
        <w:rPr>
          <w:bCs/>
          <w:color w:val="auto"/>
          <w:szCs w:val="22"/>
        </w:rPr>
        <w:t>s</w:t>
      </w:r>
      <w:r w:rsidRPr="00117237">
        <w:rPr>
          <w:bCs/>
          <w:color w:val="auto"/>
          <w:szCs w:val="22"/>
        </w:rPr>
        <w:t xml:space="preserve"> </w:t>
      </w:r>
      <w:r w:rsidR="007C5B69" w:rsidRPr="00117237">
        <w:rPr>
          <w:bCs/>
          <w:color w:val="auto"/>
          <w:szCs w:val="22"/>
        </w:rPr>
        <w:t>noted</w:t>
      </w:r>
      <w:r w:rsidRPr="00117237">
        <w:rPr>
          <w:color w:val="auto"/>
          <w:szCs w:val="22"/>
        </w:rPr>
        <w:t xml:space="preserve"> the </w:t>
      </w:r>
      <w:r w:rsidR="004F0FF8" w:rsidRPr="00117237">
        <w:rPr>
          <w:color w:val="auto"/>
          <w:szCs w:val="22"/>
        </w:rPr>
        <w:t>necessity</w:t>
      </w:r>
      <w:r w:rsidRPr="00117237">
        <w:rPr>
          <w:color w:val="auto"/>
          <w:szCs w:val="22"/>
        </w:rPr>
        <w:t xml:space="preserve"> of the support Our Watch provided</w:t>
      </w:r>
      <w:r w:rsidR="004A427B" w:rsidRPr="00117237">
        <w:rPr>
          <w:bCs/>
          <w:color w:val="auto"/>
          <w:szCs w:val="22"/>
        </w:rPr>
        <w:t>.</w:t>
      </w:r>
      <w:r w:rsidR="004F0FF8" w:rsidRPr="00117237">
        <w:rPr>
          <w:bCs/>
          <w:color w:val="auto"/>
          <w:szCs w:val="22"/>
        </w:rPr>
        <w:t xml:space="preserve"> </w:t>
      </w:r>
    </w:p>
    <w:p w14:paraId="730F1ABC" w14:textId="7EB2D143" w:rsidR="004A427B" w:rsidRPr="00117237" w:rsidRDefault="004A427B" w:rsidP="008C14C8">
      <w:pPr>
        <w:pStyle w:val="NormalSingleSpacing"/>
        <w:jc w:val="right"/>
        <w:rPr>
          <w:i/>
          <w:color w:val="931B2F" w:themeColor="background2"/>
        </w:rPr>
      </w:pPr>
      <w:r w:rsidRPr="00117237">
        <w:rPr>
          <w:i/>
          <w:color w:val="931B2F" w:themeColor="background2"/>
        </w:rPr>
        <w:t>‘[Our Watch] really drove it and by having that it kept us on top of it... Our Watch kept us on task, we will continue with the great work we started, but I just don’t think it will be as regular, and that’s the reality</w:t>
      </w:r>
      <w:r w:rsidR="00437476">
        <w:rPr>
          <w:i/>
          <w:color w:val="931B2F" w:themeColor="background2"/>
        </w:rPr>
        <w:t>,</w:t>
      </w:r>
      <w:r w:rsidRPr="00117237">
        <w:rPr>
          <w:i/>
          <w:color w:val="931B2F" w:themeColor="background2"/>
        </w:rPr>
        <w:t xml:space="preserve"> other things take priority.’ – TAFE stakeholder </w:t>
      </w:r>
    </w:p>
    <w:p w14:paraId="4D7F7054" w14:textId="77777777" w:rsidR="008C14C8" w:rsidRPr="00117237" w:rsidRDefault="008C14C8" w:rsidP="008C14C8">
      <w:pPr>
        <w:pStyle w:val="NormalSingleSpacing"/>
        <w:jc w:val="right"/>
        <w:rPr>
          <w:bCs/>
          <w:i/>
          <w:iCs/>
          <w:color w:val="931B2F" w:themeColor="background2"/>
        </w:rPr>
      </w:pPr>
    </w:p>
    <w:p w14:paraId="25818F24" w14:textId="1C910978" w:rsidR="004A427B" w:rsidRPr="00117237" w:rsidRDefault="004A427B" w:rsidP="008C14C8">
      <w:pPr>
        <w:pStyle w:val="NormalSingleSpacing"/>
        <w:jc w:val="right"/>
        <w:rPr>
          <w:i/>
          <w:color w:val="931B2F" w:themeColor="background2"/>
        </w:rPr>
      </w:pPr>
      <w:r w:rsidRPr="00117237">
        <w:rPr>
          <w:i/>
          <w:color w:val="931B2F" w:themeColor="background2"/>
        </w:rPr>
        <w:t xml:space="preserve">‘They kept us on </w:t>
      </w:r>
      <w:r w:rsidR="000E58C6" w:rsidRPr="00117237">
        <w:rPr>
          <w:i/>
          <w:color w:val="931B2F" w:themeColor="background2"/>
        </w:rPr>
        <w:t>track;</w:t>
      </w:r>
      <w:r w:rsidRPr="00117237">
        <w:rPr>
          <w:i/>
          <w:color w:val="931B2F" w:themeColor="background2"/>
        </w:rPr>
        <w:t xml:space="preserve"> we would not have gotten here on our own.’ – TAFE stakeholder</w:t>
      </w:r>
    </w:p>
    <w:p w14:paraId="3B3DD7A2" w14:textId="77777777" w:rsidR="008C14C8" w:rsidRPr="00117237" w:rsidRDefault="008C14C8" w:rsidP="008C14C8">
      <w:pPr>
        <w:pStyle w:val="NormalSingleSpacing"/>
        <w:jc w:val="right"/>
        <w:rPr>
          <w:bCs/>
          <w:i/>
          <w:iCs/>
          <w:color w:val="931B2F" w:themeColor="background2"/>
        </w:rPr>
      </w:pPr>
    </w:p>
    <w:p w14:paraId="4EC31EB4" w14:textId="3F3C0BEB" w:rsidR="004A427B" w:rsidRPr="00117237" w:rsidRDefault="004A427B" w:rsidP="436FB51D">
      <w:pPr>
        <w:pStyle w:val="NormalSingleSpacing"/>
        <w:jc w:val="right"/>
        <w:rPr>
          <w:i/>
          <w:iCs/>
          <w:color w:val="931B2F" w:themeColor="background2"/>
        </w:rPr>
      </w:pPr>
      <w:r w:rsidRPr="00117237">
        <w:rPr>
          <w:i/>
          <w:iCs/>
          <w:color w:val="931B2F" w:themeColor="accent1"/>
        </w:rPr>
        <w:t xml:space="preserve">‘Without Our Watch support we would not be here </w:t>
      </w:r>
      <w:proofErr w:type="gramStart"/>
      <w:r w:rsidRPr="00117237">
        <w:rPr>
          <w:i/>
          <w:iCs/>
          <w:color w:val="931B2F" w:themeColor="accent1"/>
        </w:rPr>
        <w:t>now</w:t>
      </w:r>
      <w:proofErr w:type="gramEnd"/>
      <w:r w:rsidRPr="00117237">
        <w:rPr>
          <w:i/>
          <w:iCs/>
          <w:color w:val="931B2F" w:themeColor="accent1"/>
        </w:rPr>
        <w:t xml:space="preserve"> and I don’t think there is enough acknowledgment of this piece of work if it were not for </w:t>
      </w:r>
      <w:r w:rsidR="00926A39" w:rsidRPr="00117237">
        <w:rPr>
          <w:i/>
          <w:iCs/>
          <w:color w:val="931B2F" w:themeColor="accent1"/>
        </w:rPr>
        <w:t>[project team member name</w:t>
      </w:r>
      <w:r w:rsidR="000E58C6">
        <w:rPr>
          <w:i/>
          <w:iCs/>
          <w:color w:val="931B2F" w:themeColor="accent1"/>
        </w:rPr>
        <w:t>]</w:t>
      </w:r>
      <w:r w:rsidRPr="00117237">
        <w:rPr>
          <w:i/>
          <w:iCs/>
          <w:color w:val="931B2F" w:themeColor="accent1"/>
        </w:rPr>
        <w:t xml:space="preserve"> and </w:t>
      </w:r>
      <w:r w:rsidR="00E43876">
        <w:rPr>
          <w:i/>
          <w:iCs/>
          <w:color w:val="931B2F" w:themeColor="accent1"/>
        </w:rPr>
        <w:t>[t</w:t>
      </w:r>
      <w:r w:rsidRPr="00117237">
        <w:rPr>
          <w:i/>
          <w:iCs/>
          <w:color w:val="931B2F" w:themeColor="accent1"/>
        </w:rPr>
        <w:t>he</w:t>
      </w:r>
      <w:r w:rsidR="00E43876">
        <w:rPr>
          <w:i/>
          <w:iCs/>
          <w:color w:val="931B2F" w:themeColor="accent1"/>
        </w:rPr>
        <w:t>i</w:t>
      </w:r>
      <w:r w:rsidRPr="00117237">
        <w:rPr>
          <w:i/>
          <w:iCs/>
          <w:color w:val="931B2F" w:themeColor="accent1"/>
        </w:rPr>
        <w:t>r</w:t>
      </w:r>
      <w:r w:rsidR="00E43876">
        <w:rPr>
          <w:i/>
          <w:iCs/>
          <w:color w:val="931B2F" w:themeColor="accent1"/>
        </w:rPr>
        <w:t>]</w:t>
      </w:r>
      <w:r w:rsidRPr="00117237">
        <w:rPr>
          <w:i/>
          <w:iCs/>
          <w:color w:val="931B2F" w:themeColor="accent1"/>
        </w:rPr>
        <w:t xml:space="preserve"> team</w:t>
      </w:r>
      <w:r w:rsidR="003B4D53" w:rsidRPr="00117237">
        <w:rPr>
          <w:i/>
          <w:iCs/>
          <w:color w:val="931B2F" w:themeColor="accent1"/>
        </w:rPr>
        <w:t>’</w:t>
      </w:r>
      <w:r w:rsidRPr="00117237">
        <w:rPr>
          <w:i/>
          <w:iCs/>
          <w:color w:val="931B2F" w:themeColor="accent1"/>
        </w:rPr>
        <w:t>s efforts with us at that given point in time.’ – TAFE stakeholder</w:t>
      </w:r>
    </w:p>
    <w:p w14:paraId="1FDD40E7" w14:textId="6F355B7E" w:rsidR="00CF0D6C" w:rsidRPr="00117237" w:rsidRDefault="00DE4DCE" w:rsidP="006200E8">
      <w:pPr>
        <w:pStyle w:val="Heading3Normal"/>
      </w:pPr>
      <w:r w:rsidRPr="00117237">
        <w:t>The project contributed to</w:t>
      </w:r>
      <w:r w:rsidR="002E4FAD" w:rsidRPr="00117237">
        <w:t xml:space="preserve"> </w:t>
      </w:r>
      <w:r w:rsidRPr="00117237">
        <w:t>the evidence-base</w:t>
      </w:r>
      <w:r w:rsidR="002E4FAD" w:rsidRPr="00117237">
        <w:t xml:space="preserve"> about what works to support changes to promote general equality and prevent violence against women in TAFEs.</w:t>
      </w:r>
    </w:p>
    <w:p w14:paraId="51042DF0" w14:textId="4517D3E1" w:rsidR="00DD7494" w:rsidRPr="00117237" w:rsidRDefault="00BD2F43" w:rsidP="00DD7494">
      <w:r w:rsidRPr="00117237">
        <w:t xml:space="preserve">Through implementing the RET framework in </w:t>
      </w:r>
      <w:r w:rsidR="00C0225A" w:rsidRPr="00117237">
        <w:t>five</w:t>
      </w:r>
      <w:r w:rsidRPr="00117237">
        <w:t xml:space="preserve"> TAFEs in </w:t>
      </w:r>
      <w:r w:rsidR="00C0225A" w:rsidRPr="00117237">
        <w:t>four</w:t>
      </w:r>
      <w:r w:rsidRPr="00117237">
        <w:t xml:space="preserve"> jurisdictions, the </w:t>
      </w:r>
      <w:r w:rsidR="00C0225A" w:rsidRPr="00117237">
        <w:t xml:space="preserve">Our Watch project implementation team have </w:t>
      </w:r>
      <w:r w:rsidR="00607F09" w:rsidRPr="00117237">
        <w:t xml:space="preserve">learnt a lot about what works </w:t>
      </w:r>
      <w:r w:rsidR="0083145A" w:rsidRPr="00117237">
        <w:t xml:space="preserve">in supporting TAFEs to promote gender equality and prevent violence against women. </w:t>
      </w:r>
      <w:r w:rsidR="00B52FE0" w:rsidRPr="00117237">
        <w:t>T</w:t>
      </w:r>
      <w:r w:rsidR="0033132C" w:rsidRPr="00117237">
        <w:t>his was supported by the project principle of</w:t>
      </w:r>
      <w:r w:rsidR="00DD7494" w:rsidRPr="00117237">
        <w:t xml:space="preserve"> engaging in continuous learning and evidence generation to support TAFEs, system actors and ourselves to learn about what works. This approach allowed the project team to identify key learnings throughout the project, to ensure they were using this project to trial, test and identify what working in supporting TAFEs, a key project outcome. </w:t>
      </w:r>
    </w:p>
    <w:p w14:paraId="1333B2ED" w14:textId="3538E95F" w:rsidR="00DD7494" w:rsidRPr="00117237" w:rsidRDefault="00CF5A74" w:rsidP="00DD7494">
      <w:r w:rsidRPr="00117237">
        <w:t xml:space="preserve">To </w:t>
      </w:r>
      <w:r w:rsidR="008A5FDD" w:rsidRPr="00117237">
        <w:t>reflect, identify key learnings and contribute to the evidence on what works, the project team engaged in:</w:t>
      </w:r>
    </w:p>
    <w:p w14:paraId="76977F45" w14:textId="247DE297" w:rsidR="00A62988" w:rsidRPr="00117237" w:rsidRDefault="00A62988" w:rsidP="00462C12">
      <w:pPr>
        <w:pStyle w:val="ListBullet"/>
        <w:rPr>
          <w:rFonts w:asciiTheme="majorHAnsi" w:hAnsiTheme="majorHAnsi"/>
        </w:rPr>
      </w:pPr>
      <w:r w:rsidRPr="00117237">
        <w:lastRenderedPageBreak/>
        <w:t>Case studies</w:t>
      </w:r>
      <w:r w:rsidRPr="00117237">
        <w:rPr>
          <w:rFonts w:asciiTheme="majorHAnsi" w:hAnsiTheme="majorHAnsi"/>
        </w:rPr>
        <w:t xml:space="preserve"> of the starting conditions in each TAFE to learn and reflect on engagement approaches </w:t>
      </w:r>
    </w:p>
    <w:p w14:paraId="287B7CCC" w14:textId="0495818C" w:rsidR="008A5FDD" w:rsidRPr="00117237" w:rsidRDefault="008A5FDD" w:rsidP="00462C12">
      <w:pPr>
        <w:pStyle w:val="ListBullet"/>
        <w:rPr>
          <w:rFonts w:asciiTheme="majorHAnsi" w:hAnsiTheme="majorHAnsi"/>
        </w:rPr>
      </w:pPr>
      <w:r w:rsidRPr="00117237">
        <w:t>Monthly reflection sessions</w:t>
      </w:r>
    </w:p>
    <w:p w14:paraId="246F70AF" w14:textId="7464B225" w:rsidR="008A5FDD" w:rsidRPr="00117237" w:rsidRDefault="008A5FDD" w:rsidP="00462C12">
      <w:pPr>
        <w:pStyle w:val="ListBullet"/>
      </w:pPr>
      <w:r w:rsidRPr="00117237">
        <w:t xml:space="preserve">Regular post event </w:t>
      </w:r>
      <w:r w:rsidR="005E38F1" w:rsidRPr="00117237">
        <w:t>such as</w:t>
      </w:r>
      <w:r w:rsidRPr="00117237">
        <w:t xml:space="preserve"> working group</w:t>
      </w:r>
      <w:r w:rsidR="00D64F4A" w:rsidRPr="00117237">
        <w:t xml:space="preserve">, </w:t>
      </w:r>
      <w:r w:rsidR="005E38F1" w:rsidRPr="00117237">
        <w:t>communities of practice</w:t>
      </w:r>
      <w:r w:rsidRPr="00117237">
        <w:t xml:space="preserve"> </w:t>
      </w:r>
      <w:r w:rsidR="00D64F4A" w:rsidRPr="00117237">
        <w:t xml:space="preserve">or summit </w:t>
      </w:r>
      <w:r w:rsidRPr="00117237">
        <w:t>reflections sessions</w:t>
      </w:r>
    </w:p>
    <w:p w14:paraId="3901D385" w14:textId="45E73DA7" w:rsidR="007C33F1" w:rsidRPr="00117237" w:rsidRDefault="007C33F1" w:rsidP="00462C12">
      <w:pPr>
        <w:pStyle w:val="ListBullet"/>
      </w:pPr>
      <w:r w:rsidRPr="00117237">
        <w:t xml:space="preserve">Post working group surveys </w:t>
      </w:r>
    </w:p>
    <w:p w14:paraId="47352A01" w14:textId="4F7D8619" w:rsidR="008913EC" w:rsidRPr="00117237" w:rsidRDefault="008913EC" w:rsidP="00462C12">
      <w:pPr>
        <w:pStyle w:val="ListBullet"/>
      </w:pPr>
      <w:r w:rsidRPr="00117237">
        <w:t xml:space="preserve">Registers of learnings, evaluation findings and project adaptations </w:t>
      </w:r>
    </w:p>
    <w:p w14:paraId="31870246" w14:textId="77777777" w:rsidR="008A5FDD" w:rsidRPr="00117237" w:rsidRDefault="008A5FDD" w:rsidP="00462C12">
      <w:pPr>
        <w:pStyle w:val="ListBullet"/>
        <w:rPr>
          <w:rFonts w:asciiTheme="majorHAnsi" w:hAnsiTheme="majorHAnsi"/>
        </w:rPr>
      </w:pPr>
      <w:r w:rsidRPr="00117237">
        <w:t>A mid-term project review workshop</w:t>
      </w:r>
    </w:p>
    <w:p w14:paraId="4127CF08" w14:textId="6B00E9F3" w:rsidR="008A5FDD" w:rsidRPr="00117237" w:rsidRDefault="008A5FDD" w:rsidP="00462C12">
      <w:pPr>
        <w:pStyle w:val="ListBullet"/>
      </w:pPr>
      <w:r w:rsidRPr="00117237">
        <w:t>Integrating learnings into project processes and materials as a result</w:t>
      </w:r>
    </w:p>
    <w:p w14:paraId="62E1C9EE" w14:textId="21CC68B0" w:rsidR="00C240EF" w:rsidRPr="00117237" w:rsidRDefault="00B52FE0" w:rsidP="00C0225A">
      <w:r w:rsidRPr="00117237">
        <w:t xml:space="preserve">Learning </w:t>
      </w:r>
      <w:r w:rsidR="00107163" w:rsidRPr="00117237">
        <w:t xml:space="preserve">more about what works to support TAFEs in primary prevention work was a key outcome </w:t>
      </w:r>
      <w:r w:rsidRPr="00117237">
        <w:t xml:space="preserve">of the project, </w:t>
      </w:r>
      <w:r w:rsidR="00702CCF" w:rsidRPr="00117237">
        <w:t xml:space="preserve">which </w:t>
      </w:r>
      <w:r w:rsidR="00DD7494" w:rsidRPr="00117237">
        <w:t>was strengthened through project team working alongside the internal Our Watch evaluation team.</w:t>
      </w:r>
    </w:p>
    <w:p w14:paraId="76AAAF4B" w14:textId="52AF8065" w:rsidR="00AD4CBE" w:rsidRPr="00117237" w:rsidRDefault="00AD4CBE" w:rsidP="00C0225A">
      <w:r w:rsidRPr="00117237">
        <w:t xml:space="preserve">The following section, ‘Key learnings and future considerations’, covers the key lessons </w:t>
      </w:r>
      <w:r w:rsidR="00654155" w:rsidRPr="00117237">
        <w:t xml:space="preserve">generated through the RET2 project implementation that should be applied to future iterations of this work within Our Watch, and more broadly to working with TAFEs and the VET sector in </w:t>
      </w:r>
      <w:r w:rsidR="00AD6E74" w:rsidRPr="00117237">
        <w:t xml:space="preserve">promoting gender equality and primary prevention. </w:t>
      </w:r>
    </w:p>
    <w:p w14:paraId="017486D2" w14:textId="77777777" w:rsidR="00592CEF" w:rsidRPr="00117237" w:rsidRDefault="00592CEF" w:rsidP="00337579"/>
    <w:p w14:paraId="5FF4DF18" w14:textId="77777777" w:rsidR="00C46BD3" w:rsidRPr="00117237" w:rsidRDefault="00C46BD3">
      <w:pPr>
        <w:spacing w:after="240"/>
        <w:rPr>
          <w:rFonts w:asciiTheme="majorHAnsi" w:hAnsiTheme="majorHAnsi" w:cs="Century Gothic"/>
          <w:color w:val="931B2F" w:themeColor="background2"/>
          <w:sz w:val="54"/>
        </w:rPr>
      </w:pPr>
      <w:r w:rsidRPr="00117237">
        <w:br w:type="page"/>
      </w:r>
    </w:p>
    <w:p w14:paraId="00748F7A" w14:textId="0616E048" w:rsidR="00F216B9" w:rsidRPr="00117237" w:rsidRDefault="000948C1" w:rsidP="00D62DCF">
      <w:pPr>
        <w:pStyle w:val="Heading1"/>
      </w:pPr>
      <w:bookmarkStart w:id="31" w:name="_Toc204168362"/>
      <w:r w:rsidRPr="00117237">
        <w:lastRenderedPageBreak/>
        <w:t>K</w:t>
      </w:r>
      <w:r w:rsidR="00D62DCF" w:rsidRPr="00117237">
        <w:t>ey le</w:t>
      </w:r>
      <w:r w:rsidR="003A737A" w:rsidRPr="00117237">
        <w:t>arnings</w:t>
      </w:r>
      <w:r w:rsidR="00D62DCF" w:rsidRPr="00117237">
        <w:t xml:space="preserve"> and future considerations</w:t>
      </w:r>
      <w:bookmarkEnd w:id="31"/>
      <w:r w:rsidR="003E4910" w:rsidRPr="00117237">
        <w:t xml:space="preserve"> </w:t>
      </w:r>
    </w:p>
    <w:tbl>
      <w:tblPr>
        <w:tblStyle w:val="TableGrid"/>
        <w:tblW w:w="0" w:type="auto"/>
        <w:tblLook w:val="04A0" w:firstRow="1" w:lastRow="0" w:firstColumn="1" w:lastColumn="0" w:noHBand="0" w:noVBand="1"/>
      </w:tblPr>
      <w:tblGrid>
        <w:gridCol w:w="9628"/>
      </w:tblGrid>
      <w:tr w:rsidR="00AA4D69" w:rsidRPr="00117237" w14:paraId="77B4A400" w14:textId="77777777" w:rsidTr="436FB51D">
        <w:tc>
          <w:tcPr>
            <w:tcW w:w="9628" w:type="dxa"/>
            <w:tcBorders>
              <w:top w:val="nil"/>
              <w:left w:val="nil"/>
              <w:bottom w:val="nil"/>
              <w:right w:val="nil"/>
            </w:tcBorders>
            <w:shd w:val="clear" w:color="auto" w:fill="D9D9D9" w:themeFill="background1" w:themeFillShade="D9"/>
          </w:tcPr>
          <w:p w14:paraId="6BC31A9B" w14:textId="6EEE3517" w:rsidR="00AA4D69" w:rsidRPr="00117237" w:rsidRDefault="00AA4D69" w:rsidP="007803DB">
            <w:pPr>
              <w:rPr>
                <w:b/>
              </w:rPr>
            </w:pPr>
            <w:bookmarkStart w:id="32" w:name="_Hlk189666334"/>
            <w:r w:rsidRPr="00117237">
              <w:rPr>
                <w:b/>
              </w:rPr>
              <w:t>Key insights</w:t>
            </w:r>
          </w:p>
          <w:p w14:paraId="71070084" w14:textId="46E27F6F" w:rsidR="00B05A87" w:rsidRPr="00117237" w:rsidRDefault="204041A7" w:rsidP="00462C12">
            <w:pPr>
              <w:pStyle w:val="ListBullet"/>
            </w:pPr>
            <w:r w:rsidRPr="00117237">
              <w:t xml:space="preserve">Engaging </w:t>
            </w:r>
            <w:r w:rsidR="05C6AC94" w:rsidRPr="00117237">
              <w:t xml:space="preserve">successfully </w:t>
            </w:r>
            <w:r w:rsidRPr="00117237">
              <w:t xml:space="preserve">with TAFEs </w:t>
            </w:r>
            <w:r w:rsidR="05C6AC94" w:rsidRPr="00117237">
              <w:t xml:space="preserve">relies on </w:t>
            </w:r>
            <w:r w:rsidRPr="00117237">
              <w:t>a combination of tailored approaches, trust-building, and leadership buy-in.</w:t>
            </w:r>
          </w:p>
          <w:p w14:paraId="6F918C79" w14:textId="33AFEDF6" w:rsidR="00B05A87" w:rsidRPr="00117237" w:rsidRDefault="00B05A87" w:rsidP="00462C12">
            <w:pPr>
              <w:pStyle w:val="ListBullet"/>
            </w:pPr>
            <w:r w:rsidRPr="00117237">
              <w:t>Several approaches appear useful in supporting changes in TAFEs to promote gender equality and prevent violence against women</w:t>
            </w:r>
            <w:r w:rsidR="0091229F" w:rsidRPr="00117237">
              <w:t xml:space="preserve">, including </w:t>
            </w:r>
            <w:r w:rsidR="00A15072" w:rsidRPr="00117237">
              <w:t xml:space="preserve">using principles to establish shared ways of working, and providing backbone support. </w:t>
            </w:r>
          </w:p>
          <w:p w14:paraId="50B8ED3A" w14:textId="017D450E" w:rsidR="00B05A87" w:rsidRPr="00117237" w:rsidRDefault="00B05A87" w:rsidP="00462C12">
            <w:pPr>
              <w:pStyle w:val="ListBullet"/>
            </w:pPr>
            <w:r w:rsidRPr="00117237">
              <w:t>While there are successful approaches, there are also clear challenges to success and sustainability</w:t>
            </w:r>
            <w:r w:rsidR="00A15072" w:rsidRPr="00117237">
              <w:t>, including the need for a clear authorising environment and the resource intensity of backbone support</w:t>
            </w:r>
            <w:r w:rsidRPr="00117237">
              <w:t xml:space="preserve">. </w:t>
            </w:r>
          </w:p>
          <w:p w14:paraId="47DB02D9" w14:textId="77777777" w:rsidR="00B05A87" w:rsidRPr="00117237" w:rsidRDefault="00B05A87" w:rsidP="00462C12">
            <w:pPr>
              <w:pStyle w:val="ListBullet"/>
            </w:pPr>
            <w:r w:rsidRPr="00117237">
              <w:t xml:space="preserve">There is an opportunity to take these learnings and embed them in future work Our Watch does with TAFEs, and in the VET sector more broadly. </w:t>
            </w:r>
          </w:p>
          <w:p w14:paraId="385A351E" w14:textId="6685E53B" w:rsidR="00F70220" w:rsidRPr="00117237" w:rsidRDefault="00B05A87" w:rsidP="00462C12">
            <w:pPr>
              <w:pStyle w:val="ListBullet"/>
            </w:pPr>
            <w:r w:rsidRPr="00117237">
              <w:t xml:space="preserve">Unlocking the full opportunity of this work will require bringing system levels actors on the journey, continuing to develop a robust understanding of the VET sector including cultural differences with higher education and the potential of working with industry through VET. </w:t>
            </w:r>
          </w:p>
        </w:tc>
      </w:tr>
      <w:bookmarkEnd w:id="32"/>
    </w:tbl>
    <w:p w14:paraId="7AD85366" w14:textId="77777777" w:rsidR="00682FF1" w:rsidRPr="00117237" w:rsidRDefault="00682FF1" w:rsidP="00E05830">
      <w:pPr>
        <w:rPr>
          <w:b/>
          <w:color w:val="931B2F" w:themeColor="background2"/>
          <w:sz w:val="24"/>
          <w:szCs w:val="22"/>
        </w:rPr>
      </w:pPr>
    </w:p>
    <w:p w14:paraId="1F11D714" w14:textId="2AC0A08A" w:rsidR="00D824DA" w:rsidRPr="00117237" w:rsidRDefault="00551978" w:rsidP="000C1380">
      <w:pPr>
        <w:pStyle w:val="Heading3Normal"/>
        <w:rPr>
          <w:b w:val="0"/>
          <w:sz w:val="24"/>
          <w:szCs w:val="22"/>
        </w:rPr>
      </w:pPr>
      <w:r w:rsidRPr="00117237">
        <w:t xml:space="preserve">Engaging </w:t>
      </w:r>
      <w:r w:rsidR="00455EB6" w:rsidRPr="00117237">
        <w:rPr>
          <w:bCs/>
          <w:sz w:val="24"/>
          <w:szCs w:val="22"/>
        </w:rPr>
        <w:t>successfully with</w:t>
      </w:r>
      <w:r w:rsidRPr="00117237">
        <w:rPr>
          <w:bCs/>
          <w:sz w:val="24"/>
          <w:szCs w:val="22"/>
        </w:rPr>
        <w:t xml:space="preserve"> TAFEs re</w:t>
      </w:r>
      <w:r w:rsidR="0088759A" w:rsidRPr="00117237">
        <w:rPr>
          <w:bCs/>
          <w:sz w:val="24"/>
          <w:szCs w:val="22"/>
        </w:rPr>
        <w:t>lies on</w:t>
      </w:r>
      <w:r w:rsidRPr="00117237">
        <w:rPr>
          <w:bCs/>
          <w:sz w:val="24"/>
          <w:szCs w:val="22"/>
        </w:rPr>
        <w:t xml:space="preserve"> a combination of tailored approaches, trust-building, and leadership buy-in.</w:t>
      </w:r>
    </w:p>
    <w:p w14:paraId="4AD233EB" w14:textId="4A1917CD" w:rsidR="003D5226" w:rsidRPr="00117237" w:rsidRDefault="003D5226" w:rsidP="00BF0AFD">
      <w:r w:rsidRPr="00117237">
        <w:t xml:space="preserve">Key learnings </w:t>
      </w:r>
      <w:r w:rsidR="000C7C04" w:rsidRPr="00117237">
        <w:t xml:space="preserve">from </w:t>
      </w:r>
      <w:r w:rsidR="009904FF" w:rsidRPr="00117237">
        <w:t xml:space="preserve">the </w:t>
      </w:r>
      <w:r w:rsidR="000C7C04" w:rsidRPr="00117237">
        <w:t xml:space="preserve">RET2 </w:t>
      </w:r>
      <w:r w:rsidR="009904FF" w:rsidRPr="00117237">
        <w:t xml:space="preserve">project </w:t>
      </w:r>
      <w:r w:rsidR="00646218" w:rsidRPr="00117237">
        <w:t xml:space="preserve">include </w:t>
      </w:r>
      <w:r w:rsidR="00BF2FCD" w:rsidRPr="00117237">
        <w:t>when engaging with TAFE</w:t>
      </w:r>
      <w:r w:rsidR="001E20A3" w:rsidRPr="00117237">
        <w:t>s</w:t>
      </w:r>
      <w:r w:rsidR="00BF2FCD" w:rsidRPr="00117237">
        <w:t xml:space="preserve"> future iterations of this work should: </w:t>
      </w:r>
      <w:r w:rsidR="00B12EE0" w:rsidRPr="00117237">
        <w:t xml:space="preserve"> </w:t>
      </w:r>
    </w:p>
    <w:p w14:paraId="55EAE6CC" w14:textId="0EAB0660" w:rsidR="00225E1D" w:rsidRPr="00117237" w:rsidRDefault="002E5753" w:rsidP="00545A05">
      <w:pPr>
        <w:pStyle w:val="ListBullet"/>
      </w:pPr>
      <w:r w:rsidRPr="00117237">
        <w:rPr>
          <w:b/>
        </w:rPr>
        <w:t>Use t</w:t>
      </w:r>
      <w:r w:rsidR="003D5226" w:rsidRPr="00117237">
        <w:rPr>
          <w:b/>
        </w:rPr>
        <w:t>ailored and flexible approaches</w:t>
      </w:r>
      <w:r w:rsidR="003D5226" w:rsidRPr="00117237">
        <w:t xml:space="preserve">. </w:t>
      </w:r>
      <w:r w:rsidR="00C94061" w:rsidRPr="00117237">
        <w:t>Adapting engagement strategies to meet TAFEs where they are in their journey has been critical in the engagement and participation Our Watch has achieved</w:t>
      </w:r>
      <w:r w:rsidR="00DB452D" w:rsidRPr="00117237">
        <w:t>.</w:t>
      </w:r>
    </w:p>
    <w:p w14:paraId="30EEC93B" w14:textId="59985801" w:rsidR="00737675" w:rsidRPr="00117237" w:rsidRDefault="00737675" w:rsidP="00756D65">
      <w:pPr>
        <w:pStyle w:val="ListBullet"/>
        <w:numPr>
          <w:ilvl w:val="1"/>
          <w:numId w:val="36"/>
        </w:numPr>
      </w:pPr>
      <w:r w:rsidRPr="00117237">
        <w:t>TAFE contexts were highly varied,</w:t>
      </w:r>
      <w:r w:rsidR="00540382" w:rsidRPr="00117237">
        <w:t xml:space="preserve"> including both in their standard ways of working (more online versus preferring face-to-face), </w:t>
      </w:r>
      <w:r w:rsidR="0019234C" w:rsidRPr="00117237">
        <w:t>to their experience in primary prevention work.</w:t>
      </w:r>
      <w:r w:rsidRPr="00117237">
        <w:t xml:space="preserve"> </w:t>
      </w:r>
      <w:r w:rsidR="0019234C" w:rsidRPr="00117237">
        <w:t>T</w:t>
      </w:r>
      <w:r w:rsidRPr="00117237">
        <w:t xml:space="preserve">his meant that the way </w:t>
      </w:r>
      <w:r w:rsidR="00C82654" w:rsidRPr="00117237">
        <w:t xml:space="preserve">TAFE participants </w:t>
      </w:r>
      <w:r w:rsidRPr="00117237">
        <w:t xml:space="preserve">approached </w:t>
      </w:r>
      <w:r w:rsidR="0019234C" w:rsidRPr="00117237">
        <w:t xml:space="preserve">the work, how the project team could capture interest and build relationships, and how </w:t>
      </w:r>
      <w:r w:rsidR="00442B3B" w:rsidRPr="00117237">
        <w:t xml:space="preserve">different levels of the TAFE could be brought along </w:t>
      </w:r>
      <w:r w:rsidR="00CA7E5F" w:rsidRPr="00117237">
        <w:t xml:space="preserve">the journey </w:t>
      </w:r>
      <w:r w:rsidR="00442B3B" w:rsidRPr="00117237">
        <w:t xml:space="preserve">were highly varied. </w:t>
      </w:r>
    </w:p>
    <w:p w14:paraId="7D1E8B8C" w14:textId="2AC28724" w:rsidR="003D5226" w:rsidRPr="00117237" w:rsidRDefault="00A847C5" w:rsidP="00756D65">
      <w:pPr>
        <w:pStyle w:val="ListBullet"/>
        <w:numPr>
          <w:ilvl w:val="1"/>
          <w:numId w:val="36"/>
        </w:numPr>
      </w:pPr>
      <w:r w:rsidRPr="00117237">
        <w:t>Our Watch responded to the variation in TAFEs by tailoring materials, shifting timelines, offering alternative modes of delivery, and refining approaches to fit the unique contexts.</w:t>
      </w:r>
      <w:r w:rsidR="00737675" w:rsidRPr="00117237">
        <w:t xml:space="preserve"> </w:t>
      </w:r>
      <w:r w:rsidR="000C65CB" w:rsidRPr="00117237">
        <w:t>This flexibility fostered trust and demonstrated Our Watch’s commitment to supporting TAFEs at their own pace.</w:t>
      </w:r>
    </w:p>
    <w:p w14:paraId="07DF596F" w14:textId="77777777" w:rsidR="00441895" w:rsidRPr="00117237" w:rsidRDefault="003D5226" w:rsidP="00545A05">
      <w:pPr>
        <w:pStyle w:val="ListBullet"/>
      </w:pPr>
      <w:r w:rsidRPr="00117237">
        <w:rPr>
          <w:b/>
        </w:rPr>
        <w:t>Build relationships and trust.</w:t>
      </w:r>
      <w:r w:rsidRPr="00117237">
        <w:t xml:space="preserve"> Establishing strong, trusting relationships with TAFE stakeholders has been foundational</w:t>
      </w:r>
      <w:r w:rsidR="00441895" w:rsidRPr="00117237">
        <w:t xml:space="preserve"> in progressing this work</w:t>
      </w:r>
      <w:r w:rsidRPr="00117237">
        <w:t xml:space="preserve">. </w:t>
      </w:r>
    </w:p>
    <w:p w14:paraId="120019EF" w14:textId="4086A11B" w:rsidR="00910408" w:rsidRPr="00117237" w:rsidRDefault="00910408" w:rsidP="00756D65">
      <w:pPr>
        <w:pStyle w:val="ListBullet"/>
        <w:numPr>
          <w:ilvl w:val="1"/>
          <w:numId w:val="37"/>
        </w:numPr>
      </w:pPr>
      <w:r w:rsidRPr="00117237">
        <w:t xml:space="preserve">Primary prevention can be a confronting topic for all sectors, and we heard that in the TAFE sector specifically there was a higher level of resistance that had been encountered in other settings. </w:t>
      </w:r>
    </w:p>
    <w:p w14:paraId="1D0EEC73" w14:textId="415449E6" w:rsidR="005A5F6C" w:rsidRPr="00117237" w:rsidRDefault="00E32EF8" w:rsidP="00756D65">
      <w:pPr>
        <w:pStyle w:val="ListBullet"/>
        <w:numPr>
          <w:ilvl w:val="1"/>
          <w:numId w:val="37"/>
        </w:numPr>
        <w:tabs>
          <w:tab w:val="num" w:pos="507"/>
        </w:tabs>
      </w:pPr>
      <w:r w:rsidRPr="00117237">
        <w:t>Our Watch were able to work through this by c</w:t>
      </w:r>
      <w:r w:rsidR="000D4759" w:rsidRPr="00117237">
        <w:t xml:space="preserve">ommunicating consistently, showing curiosity and respect, and </w:t>
      </w:r>
      <w:r w:rsidR="00CE41FA" w:rsidRPr="00117237">
        <w:t>being open to the challenges for TAFEs.</w:t>
      </w:r>
      <w:r w:rsidR="00CE08D4" w:rsidRPr="00117237">
        <w:t xml:space="preserve"> Their willingness to adapt, </w:t>
      </w:r>
      <w:r w:rsidR="0088102B" w:rsidRPr="00117237">
        <w:t xml:space="preserve">and </w:t>
      </w:r>
      <w:r w:rsidR="000B7928" w:rsidRPr="00117237">
        <w:t xml:space="preserve">their </w:t>
      </w:r>
      <w:r w:rsidR="0088102B" w:rsidRPr="00117237">
        <w:t xml:space="preserve">commitment to two-way learning, helped </w:t>
      </w:r>
      <w:r w:rsidR="00326871" w:rsidRPr="00117237">
        <w:t xml:space="preserve">TAFE participants build their understanding in a safe environment, and ultimately remain invested in the work. </w:t>
      </w:r>
      <w:r w:rsidR="005A5F6C" w:rsidRPr="00117237">
        <w:rPr>
          <w:rFonts w:ascii="Arial Narrow" w:hAnsi="Arial Narrow" w:cs="Times New Roman"/>
          <w:color w:val="000000"/>
        </w:rPr>
        <w:t>Ensuring there is appropriate resourcing to be able to be flexible is crucial to supporting this approach.</w:t>
      </w:r>
    </w:p>
    <w:p w14:paraId="7D2FECFE" w14:textId="2A7B39B7" w:rsidR="003D5226" w:rsidRPr="00117237" w:rsidRDefault="008B3E62" w:rsidP="00545A05">
      <w:pPr>
        <w:pStyle w:val="ListBullet"/>
      </w:pPr>
      <w:r w:rsidRPr="00117237">
        <w:rPr>
          <w:b/>
          <w:bCs/>
        </w:rPr>
        <w:t>Invest in</w:t>
      </w:r>
      <w:r w:rsidR="002E5753" w:rsidRPr="00117237">
        <w:rPr>
          <w:b/>
        </w:rPr>
        <w:t xml:space="preserve"> l</w:t>
      </w:r>
      <w:r w:rsidR="003D5226" w:rsidRPr="00117237">
        <w:rPr>
          <w:b/>
        </w:rPr>
        <w:t>eadership buy-in.</w:t>
      </w:r>
      <w:r w:rsidR="003D5226" w:rsidRPr="00117237">
        <w:t xml:space="preserve"> </w:t>
      </w:r>
      <w:r w:rsidRPr="00117237">
        <w:t>Investing time and effort in securing</w:t>
      </w:r>
      <w:r w:rsidR="003D5226" w:rsidRPr="00117237">
        <w:t xml:space="preserve"> leadership sponsorship ensures that gender equality initiatives are prioritised across the organisation. </w:t>
      </w:r>
      <w:r w:rsidR="0028382A" w:rsidRPr="00117237">
        <w:t xml:space="preserve">RET2 work was </w:t>
      </w:r>
      <w:r w:rsidR="00B9388F" w:rsidRPr="00117237">
        <w:t xml:space="preserve">progressed in </w:t>
      </w:r>
      <w:r w:rsidR="0084392C" w:rsidRPr="00117237">
        <w:t>all</w:t>
      </w:r>
      <w:r w:rsidR="00B9388F" w:rsidRPr="00117237">
        <w:t xml:space="preserve"> the TAFEs, but those who demonstrated more significant changes (such as changes to policy and practice, not just the work on the action plans), had good leadership buy-in from multiple levels in the organisation. This</w:t>
      </w:r>
      <w:r w:rsidR="003D5226" w:rsidRPr="00117237">
        <w:t xml:space="preserve"> involvement creates an authorising environment that drives strategic communication, resource allocation, and organisational commitment</w:t>
      </w:r>
      <w:r w:rsidR="00B9388F" w:rsidRPr="00117237">
        <w:t>, and is likely to contribute to the sustainability of the work going forward</w:t>
      </w:r>
      <w:r w:rsidR="003D5226" w:rsidRPr="00117237">
        <w:t xml:space="preserve">. </w:t>
      </w:r>
    </w:p>
    <w:p w14:paraId="32A3BD44" w14:textId="3FD26966" w:rsidR="003D5226" w:rsidRPr="00117237" w:rsidRDefault="00D974A9" w:rsidP="00545A05">
      <w:pPr>
        <w:pStyle w:val="ListBullet"/>
      </w:pPr>
      <w:r w:rsidRPr="00117237">
        <w:rPr>
          <w:b/>
          <w:bCs/>
        </w:rPr>
        <w:t>Provide mechanisms for learning and accountability.</w:t>
      </w:r>
      <w:r w:rsidR="003D5226" w:rsidRPr="00117237">
        <w:t xml:space="preserve"> Providing regular touchpoints such as working group meetings, ad hoc support, and CoPs has been effective in scaffolding change efforts.</w:t>
      </w:r>
      <w:r w:rsidR="00770A96" w:rsidRPr="00117237">
        <w:t xml:space="preserve"> The working group meetings and ad hoc support have allowed TAFEs to progress their internal work with clear </w:t>
      </w:r>
      <w:r w:rsidR="006E57F5" w:rsidRPr="00117237">
        <w:t xml:space="preserve">accountability </w:t>
      </w:r>
      <w:r w:rsidR="00770A96" w:rsidRPr="00117237">
        <w:t xml:space="preserve">check-ins, while external connections through CoPs and summits allowed </w:t>
      </w:r>
      <w:r w:rsidR="00943042" w:rsidRPr="00117237">
        <w:t xml:space="preserve">TAFEs </w:t>
      </w:r>
      <w:r w:rsidR="00770A96" w:rsidRPr="00117237">
        <w:t xml:space="preserve">to </w:t>
      </w:r>
      <w:r w:rsidR="00943042" w:rsidRPr="00117237">
        <w:t xml:space="preserve">connect </w:t>
      </w:r>
      <w:r w:rsidR="00943042" w:rsidRPr="00117237">
        <w:lastRenderedPageBreak/>
        <w:t>with others in their sector</w:t>
      </w:r>
      <w:r w:rsidR="00770A96" w:rsidRPr="00117237">
        <w:t>. This was seen to have fostered</w:t>
      </w:r>
      <w:r w:rsidR="003D5226" w:rsidRPr="00117237">
        <w:t xml:space="preserve"> collaboration across jurisdictions, enabling shared problem-solving and idea exchange.</w:t>
      </w:r>
    </w:p>
    <w:p w14:paraId="55CF3AA2" w14:textId="0A793386" w:rsidR="003D5226" w:rsidRPr="00117237" w:rsidRDefault="008F4890" w:rsidP="002F7175">
      <w:pPr>
        <w:pStyle w:val="Heading3Normal"/>
      </w:pPr>
      <w:r w:rsidRPr="00117237">
        <w:t>Several approaches appear useful in s</w:t>
      </w:r>
      <w:r w:rsidR="002F7175" w:rsidRPr="00117237">
        <w:t>upporting changes in TAFEs to promote gender equality and prevent violence against women</w:t>
      </w:r>
      <w:r w:rsidRPr="00117237">
        <w:t>.</w:t>
      </w:r>
    </w:p>
    <w:p w14:paraId="3AFF0C2C" w14:textId="25074935" w:rsidR="00D31490" w:rsidRPr="00117237" w:rsidRDefault="00D31490" w:rsidP="00D31490">
      <w:r w:rsidRPr="00117237">
        <w:t xml:space="preserve">Key learnings in </w:t>
      </w:r>
      <w:r w:rsidR="00B12D96" w:rsidRPr="00117237">
        <w:t xml:space="preserve">the approach necessary to </w:t>
      </w:r>
      <w:r w:rsidRPr="00117237">
        <w:t xml:space="preserve">support changes </w:t>
      </w:r>
      <w:r w:rsidR="00A73F17" w:rsidRPr="00117237">
        <w:t>and achiev</w:t>
      </w:r>
      <w:r w:rsidR="00B12D96" w:rsidRPr="00117237">
        <w:t>e</w:t>
      </w:r>
      <w:r w:rsidR="00A73F17" w:rsidRPr="00117237">
        <w:t xml:space="preserve"> gender equality outcomes in TAFEs include:</w:t>
      </w:r>
    </w:p>
    <w:p w14:paraId="78AEA7DB" w14:textId="37B25CEE" w:rsidR="00A272C3" w:rsidRPr="00117237" w:rsidRDefault="008148D8" w:rsidP="00A272C3">
      <w:pPr>
        <w:pStyle w:val="ListBullet"/>
      </w:pPr>
      <w:r w:rsidRPr="00117237">
        <w:rPr>
          <w:b/>
          <w:bCs/>
        </w:rPr>
        <w:t>Principles as shared ways of working.</w:t>
      </w:r>
      <w:r w:rsidR="00622998" w:rsidRPr="00117237">
        <w:t xml:space="preserve"> The </w:t>
      </w:r>
      <w:r w:rsidR="0085561A" w:rsidRPr="00117237">
        <w:t xml:space="preserve">principles that the RET2 </w:t>
      </w:r>
      <w:r w:rsidR="00415F28" w:rsidRPr="00117237">
        <w:t>project team established have created guidance around ways of working that have supported them to engage effectively with TAFEs</w:t>
      </w:r>
      <w:r w:rsidR="00A16E27" w:rsidRPr="00117237">
        <w:t xml:space="preserve"> and have supported project outcomes</w:t>
      </w:r>
      <w:r w:rsidR="00415F28" w:rsidRPr="00117237">
        <w:t>.</w:t>
      </w:r>
      <w:r w:rsidR="00A272C3" w:rsidRPr="00117237">
        <w:t xml:space="preserve"> These principles align with the RET framework's whole-of-organisation approach by fostering consistency and clarity in how gender equality work is approached.</w:t>
      </w:r>
    </w:p>
    <w:p w14:paraId="7E767B4F" w14:textId="114004AC" w:rsidR="0009688D" w:rsidRPr="00117237" w:rsidRDefault="009422D2" w:rsidP="00756D65">
      <w:pPr>
        <w:pStyle w:val="ListBullet"/>
        <w:numPr>
          <w:ilvl w:val="0"/>
          <w:numId w:val="33"/>
        </w:numPr>
        <w:tabs>
          <w:tab w:val="num" w:pos="2104"/>
        </w:tabs>
        <w:rPr>
          <w:bCs/>
        </w:rPr>
      </w:pPr>
      <w:r w:rsidRPr="00117237">
        <w:t xml:space="preserve">The principles provided a consistent framework for collaboration while allowing flexibility to adapt to the unique contexts of each institution. </w:t>
      </w:r>
      <w:r w:rsidR="00BF461D" w:rsidRPr="00117237">
        <w:t xml:space="preserve">In practice, this helped Our Watch tailor their approach to each TAFE’s specific needs, such as adapting resources for dual-sector institutions or incorporating culturally relevant materials for </w:t>
      </w:r>
      <w:r w:rsidR="006C1E0A" w:rsidRPr="00117237">
        <w:t>First Nations</w:t>
      </w:r>
      <w:r w:rsidR="00BF461D" w:rsidRPr="00117237">
        <w:t xml:space="preserve"> contexts. </w:t>
      </w:r>
      <w:r w:rsidR="00C826B7" w:rsidRPr="00117237">
        <w:t>This adaptability built trust and engagemen</w:t>
      </w:r>
      <w:r w:rsidR="00A272C3" w:rsidRPr="00117237">
        <w:t>t. The principles</w:t>
      </w:r>
      <w:r w:rsidR="0009688D" w:rsidRPr="00117237">
        <w:rPr>
          <w:bCs/>
        </w:rPr>
        <w:t xml:space="preserve"> also prioritised the two-way learning and </w:t>
      </w:r>
      <w:r w:rsidR="009274E5" w:rsidRPr="00117237">
        <w:rPr>
          <w:bCs/>
        </w:rPr>
        <w:t>foundational focus</w:t>
      </w:r>
      <w:r w:rsidR="002E4BE9" w:rsidRPr="00117237">
        <w:rPr>
          <w:bCs/>
        </w:rPr>
        <w:t>, both of which seem to have contributed directly to outcomes.</w:t>
      </w:r>
    </w:p>
    <w:p w14:paraId="56A92EAC" w14:textId="66F088C3" w:rsidR="00110CBA" w:rsidRPr="00117237" w:rsidRDefault="00110CBA" w:rsidP="00756D65">
      <w:pPr>
        <w:pStyle w:val="ListBullet"/>
        <w:numPr>
          <w:ilvl w:val="0"/>
          <w:numId w:val="33"/>
        </w:numPr>
        <w:tabs>
          <w:tab w:val="num" w:pos="2104"/>
        </w:tabs>
        <w:rPr>
          <w:bCs/>
        </w:rPr>
      </w:pPr>
      <w:r w:rsidRPr="00117237">
        <w:rPr>
          <w:bCs/>
        </w:rPr>
        <w:t xml:space="preserve">These principles </w:t>
      </w:r>
      <w:r w:rsidR="006E2D91" w:rsidRPr="00117237">
        <w:rPr>
          <w:bCs/>
        </w:rPr>
        <w:t>themselves may also have applicability to broader prevention work.</w:t>
      </w:r>
    </w:p>
    <w:p w14:paraId="1BEC12C5" w14:textId="4CE61C70" w:rsidR="008430F9" w:rsidRPr="00117237" w:rsidRDefault="00A62FE8" w:rsidP="00462C12">
      <w:pPr>
        <w:pStyle w:val="ListBullet"/>
      </w:pPr>
      <w:r w:rsidRPr="00117237">
        <w:rPr>
          <w:b/>
          <w:bCs/>
        </w:rPr>
        <w:t>Focusing on foundational change.</w:t>
      </w:r>
      <w:r w:rsidR="004742DC" w:rsidRPr="00117237">
        <w:t xml:space="preserve"> </w:t>
      </w:r>
      <w:r w:rsidR="00751956" w:rsidRPr="00117237">
        <w:t>Implementing</w:t>
      </w:r>
      <w:r w:rsidR="008430F9" w:rsidRPr="00117237">
        <w:t xml:space="preserve"> realistic, context-specific goals has helped TAFEs achieve meaningful progress without overextending their capacity. </w:t>
      </w:r>
    </w:p>
    <w:p w14:paraId="61936DC3" w14:textId="5ECD1DA4" w:rsidR="008430F9" w:rsidRPr="00117237" w:rsidRDefault="00113A86" w:rsidP="00756D65">
      <w:pPr>
        <w:pStyle w:val="ListBullet"/>
        <w:numPr>
          <w:ilvl w:val="0"/>
          <w:numId w:val="34"/>
        </w:numPr>
      </w:pPr>
      <w:r w:rsidRPr="00117237">
        <w:t>This</w:t>
      </w:r>
      <w:r w:rsidR="004742DC" w:rsidRPr="00117237">
        <w:t xml:space="preserve"> project </w:t>
      </w:r>
      <w:r w:rsidRPr="00117237">
        <w:t>centred around</w:t>
      </w:r>
      <w:r w:rsidR="004742DC" w:rsidRPr="00117237">
        <w:t xml:space="preserve"> Our Watch supporting TAFEs to implement the RET Framework</w:t>
      </w:r>
      <w:r w:rsidR="007E41B4" w:rsidRPr="00117237">
        <w:t xml:space="preserve">, </w:t>
      </w:r>
      <w:r w:rsidR="00940B2A" w:rsidRPr="00117237">
        <w:t>and</w:t>
      </w:r>
      <w:r w:rsidR="007E41B4" w:rsidRPr="00117237">
        <w:t xml:space="preserve"> developing their action plans</w:t>
      </w:r>
      <w:r w:rsidR="004742DC" w:rsidRPr="00117237">
        <w:t xml:space="preserve">. </w:t>
      </w:r>
      <w:r w:rsidR="00711F4D" w:rsidRPr="00117237">
        <w:t xml:space="preserve">TAFEs found </w:t>
      </w:r>
      <w:r w:rsidR="00940B2A" w:rsidRPr="00117237">
        <w:t>Our Watch’s support stepping them through the</w:t>
      </w:r>
      <w:r w:rsidR="00711F4D" w:rsidRPr="00117237">
        <w:t xml:space="preserve"> process helpful. </w:t>
      </w:r>
    </w:p>
    <w:p w14:paraId="4949F347" w14:textId="203CF643" w:rsidR="00907678" w:rsidRPr="00117237" w:rsidRDefault="003D3B6E" w:rsidP="00756D65">
      <w:pPr>
        <w:pStyle w:val="ListBullet"/>
        <w:numPr>
          <w:ilvl w:val="0"/>
          <w:numId w:val="34"/>
        </w:numPr>
      </w:pPr>
      <w:r w:rsidRPr="00117237">
        <w:t>Our Watch acted as a critical friend for some TAFEs in fostering their enthusiasm but also remaining realistic in what their organisation was ready for and could achieve.</w:t>
      </w:r>
      <w:r w:rsidR="008430F9" w:rsidRPr="00117237">
        <w:t xml:space="preserve"> </w:t>
      </w:r>
      <w:r w:rsidR="00907678" w:rsidRPr="00117237">
        <w:t xml:space="preserve">This approach builds on the tailored and flexible approach needed to work with TAFEs to centre achievable, foundational change. </w:t>
      </w:r>
    </w:p>
    <w:p w14:paraId="07EB9D32" w14:textId="77777777" w:rsidR="004D783D" w:rsidRPr="00117237" w:rsidRDefault="008148D8" w:rsidP="00462C12">
      <w:pPr>
        <w:pStyle w:val="ListBullet"/>
      </w:pPr>
      <w:r w:rsidRPr="00117237">
        <w:rPr>
          <w:b/>
        </w:rPr>
        <w:t xml:space="preserve">Strong </w:t>
      </w:r>
      <w:r w:rsidR="00DC2FED" w:rsidRPr="00117237">
        <w:rPr>
          <w:b/>
          <w:bCs/>
        </w:rPr>
        <w:t>backbone support.</w:t>
      </w:r>
      <w:r w:rsidRPr="00117237">
        <w:t xml:space="preserve"> </w:t>
      </w:r>
      <w:r w:rsidR="000C412D" w:rsidRPr="00117237">
        <w:t>Providing strong backbone support was instrumental in enabling TAFEs to participate effectively in this work despite their resource constraints. In this way, Our Watch’s team played a central role in maintaining momentum and accountability.</w:t>
      </w:r>
      <w:r w:rsidR="004D783D" w:rsidRPr="00117237">
        <w:t xml:space="preserve"> </w:t>
      </w:r>
    </w:p>
    <w:p w14:paraId="64C233B7" w14:textId="1C1A6B38" w:rsidR="003D3B6E" w:rsidRPr="00117237" w:rsidRDefault="004D783D" w:rsidP="00756D65">
      <w:pPr>
        <w:pStyle w:val="ListBullet"/>
        <w:numPr>
          <w:ilvl w:val="0"/>
          <w:numId w:val="35"/>
        </w:numPr>
      </w:pPr>
      <w:r w:rsidRPr="00117237">
        <w:t xml:space="preserve">The project team brought expertise in both gender equality initiatives and the TAFE sector, which allowed them to provide tailored guidance. They facilitated relevant engagements, </w:t>
      </w:r>
      <w:r w:rsidR="00392770" w:rsidRPr="00117237">
        <w:t xml:space="preserve">including handling the logistics and coordination, and delivered these in </w:t>
      </w:r>
      <w:r w:rsidR="00245930" w:rsidRPr="00117237">
        <w:t xml:space="preserve">modes and at times that would best work for different TAFEs’ individual contexts. </w:t>
      </w:r>
    </w:p>
    <w:p w14:paraId="1C952217" w14:textId="11A1D51B" w:rsidR="00D4787F" w:rsidRPr="00117237" w:rsidRDefault="00D4787F" w:rsidP="00756D65">
      <w:pPr>
        <w:pStyle w:val="ListBullet"/>
        <w:numPr>
          <w:ilvl w:val="0"/>
          <w:numId w:val="35"/>
        </w:numPr>
      </w:pPr>
      <w:r w:rsidRPr="00117237">
        <w:t>This support structure enabled busy TAFE staff to engage meaningfully with the projec</w:t>
      </w:r>
      <w:r w:rsidR="00E648ED" w:rsidRPr="00117237">
        <w:t xml:space="preserve">t and </w:t>
      </w:r>
      <w:r w:rsidRPr="00117237">
        <w:t>focus on implementing changes rather than navigating administrative hurdles.</w:t>
      </w:r>
    </w:p>
    <w:p w14:paraId="268D541E" w14:textId="742763DC" w:rsidR="00DC2FED" w:rsidRPr="00117237" w:rsidRDefault="00A2455E" w:rsidP="00B10B2A">
      <w:pPr>
        <w:pStyle w:val="NormalSingleSpacing"/>
      </w:pPr>
      <w:r w:rsidRPr="00117237">
        <w:t>The</w:t>
      </w:r>
      <w:r w:rsidR="00B10B2A" w:rsidRPr="00117237">
        <w:t>se</w:t>
      </w:r>
      <w:r w:rsidRPr="00117237">
        <w:t xml:space="preserve"> successful approaches align closely with the RET framework's whole-of-organisation approach by embedding gender equality initiatives across multiple levels of TAFE operations.</w:t>
      </w:r>
      <w:r w:rsidR="00305FE9" w:rsidRPr="00117237">
        <w:t xml:space="preserve"> </w:t>
      </w:r>
      <w:r w:rsidR="006C422F" w:rsidRPr="00117237">
        <w:t>This included integration across systems enabl</w:t>
      </w:r>
      <w:r w:rsidR="00AB1762" w:rsidRPr="00117237">
        <w:t>ed</w:t>
      </w:r>
      <w:r w:rsidR="006C422F" w:rsidRPr="00117237">
        <w:t xml:space="preserve"> by leadership buy-in</w:t>
      </w:r>
      <w:r w:rsidR="00DC224B" w:rsidRPr="00117237">
        <w:t xml:space="preserve"> and</w:t>
      </w:r>
      <w:r w:rsidR="006C422F" w:rsidRPr="00117237">
        <w:t xml:space="preserve"> </w:t>
      </w:r>
      <w:r w:rsidR="00156374" w:rsidRPr="00117237">
        <w:t>developing collaborative structures such as mechanisms for accountability</w:t>
      </w:r>
      <w:r w:rsidR="00DC224B" w:rsidRPr="00117237">
        <w:t xml:space="preserve">. </w:t>
      </w:r>
      <w:r w:rsidR="003C4141" w:rsidRPr="00117237">
        <w:t xml:space="preserve">Critically, the tailored approach aligns with the RET framework's recognition of diverse organisational contexts, ensuring that strategies are relevant and </w:t>
      </w:r>
      <w:r w:rsidR="00E5122A" w:rsidRPr="00117237">
        <w:t xml:space="preserve">support </w:t>
      </w:r>
      <w:r w:rsidR="003C4141" w:rsidRPr="00117237">
        <w:t>sustainab</w:t>
      </w:r>
      <w:r w:rsidR="00E5122A" w:rsidRPr="00117237">
        <w:t>ility of outcomes</w:t>
      </w:r>
      <w:r w:rsidR="003C4141" w:rsidRPr="00117237">
        <w:t>.</w:t>
      </w:r>
    </w:p>
    <w:p w14:paraId="64BEDA80" w14:textId="2545B5B0" w:rsidR="00A2455E" w:rsidRPr="00117237" w:rsidRDefault="00786B33" w:rsidP="00A2455E">
      <w:pPr>
        <w:pStyle w:val="Heading3Normal"/>
      </w:pPr>
      <w:r w:rsidRPr="00117237">
        <w:t>While there are successful approaches, there are also clear challenges</w:t>
      </w:r>
      <w:r w:rsidR="00E95852" w:rsidRPr="00117237">
        <w:t xml:space="preserve"> t</w:t>
      </w:r>
      <w:r w:rsidR="00E917CE" w:rsidRPr="00117237">
        <w:t>o success and sustainability</w:t>
      </w:r>
      <w:r w:rsidRPr="00117237">
        <w:t xml:space="preserve">. </w:t>
      </w:r>
    </w:p>
    <w:p w14:paraId="49303167" w14:textId="1AD9696E" w:rsidR="00C3096A" w:rsidRPr="00117237" w:rsidRDefault="0071200E" w:rsidP="00471E31">
      <w:pPr>
        <w:pStyle w:val="ListBullet"/>
        <w:numPr>
          <w:ilvl w:val="0"/>
          <w:numId w:val="0"/>
        </w:numPr>
      </w:pPr>
      <w:r w:rsidRPr="00117237">
        <w:t xml:space="preserve">Several challenges—such as the lack of systemic endorsement, over-reliance on individual champions, and resource-intensive processes—highlight areas requiring attention to ensure the long-term sustainability of gender equality efforts in TAFEs. </w:t>
      </w:r>
      <w:r w:rsidR="0091550A" w:rsidRPr="00117237">
        <w:t>These included:</w:t>
      </w:r>
    </w:p>
    <w:p w14:paraId="7A12D243" w14:textId="5572896C" w:rsidR="00874198" w:rsidRPr="00117237" w:rsidRDefault="008E7E8C" w:rsidP="006C218B">
      <w:pPr>
        <w:pStyle w:val="ListBullet"/>
      </w:pPr>
      <w:r w:rsidRPr="00117237">
        <w:rPr>
          <w:b/>
          <w:bCs/>
        </w:rPr>
        <w:t>A</w:t>
      </w:r>
      <w:r w:rsidR="00E917CE" w:rsidRPr="00117237">
        <w:rPr>
          <w:b/>
          <w:bCs/>
        </w:rPr>
        <w:t xml:space="preserve"> lack of broader authorising environment </w:t>
      </w:r>
      <w:r w:rsidR="001365EB" w:rsidRPr="00117237">
        <w:rPr>
          <w:b/>
          <w:bCs/>
        </w:rPr>
        <w:t>can delay</w:t>
      </w:r>
      <w:r w:rsidR="00E917CE" w:rsidRPr="00117237">
        <w:rPr>
          <w:b/>
          <w:bCs/>
        </w:rPr>
        <w:t xml:space="preserve"> progress.</w:t>
      </w:r>
      <w:r w:rsidR="00E917CE" w:rsidRPr="00117237">
        <w:t xml:space="preserve"> </w:t>
      </w:r>
      <w:r w:rsidR="007729CA" w:rsidRPr="00117237">
        <w:t xml:space="preserve">Without clear support from system-level actors (e.g., government bodies), some TAFEs struggled to prioritise this work. </w:t>
      </w:r>
      <w:r w:rsidR="00874198" w:rsidRPr="00117237">
        <w:t xml:space="preserve">Unlike Victorian TAFEs in the RET1 project, which benefited from ministerial directives and legal obligations under the </w:t>
      </w:r>
      <w:r w:rsidR="00874198" w:rsidRPr="00117237">
        <w:rPr>
          <w:i/>
          <w:iCs/>
        </w:rPr>
        <w:t>Gender Equality Act 2020</w:t>
      </w:r>
      <w:r w:rsidR="00874198" w:rsidRPr="00117237">
        <w:t xml:space="preserve">, TAFEs in </w:t>
      </w:r>
      <w:r w:rsidR="00721020" w:rsidRPr="00117237">
        <w:t>RET2</w:t>
      </w:r>
      <w:r w:rsidR="00874198" w:rsidRPr="00117237">
        <w:t xml:space="preserve"> lacked a similar authorising environment. This absence made it challenging for TAFEs to allocate resources and attention to the work</w:t>
      </w:r>
      <w:r w:rsidR="00C10631" w:rsidRPr="00117237">
        <w:t xml:space="preserve">, and delayed the </w:t>
      </w:r>
      <w:r w:rsidR="000658CD" w:rsidRPr="00117237">
        <w:t xml:space="preserve">project. </w:t>
      </w:r>
    </w:p>
    <w:p w14:paraId="6643F4B7" w14:textId="4BA07402" w:rsidR="00EE29E0" w:rsidRPr="00117237" w:rsidRDefault="00EE29E0" w:rsidP="00756D65">
      <w:pPr>
        <w:pStyle w:val="ListBullet"/>
        <w:numPr>
          <w:ilvl w:val="0"/>
          <w:numId w:val="35"/>
        </w:numPr>
        <w:tabs>
          <w:tab w:val="num" w:pos="717"/>
        </w:tabs>
      </w:pPr>
      <w:r w:rsidRPr="00117237">
        <w:lastRenderedPageBreak/>
        <w:t>Our Watch relied on alternative mechanisms, such as M</w:t>
      </w:r>
      <w:r w:rsidR="003825DC" w:rsidRPr="00117237">
        <w:t>oUs</w:t>
      </w:r>
      <w:r w:rsidRPr="00117237">
        <w:t>, to create internal accountability within TAFEs. While effective, these mechanisms were resource-intensive and time-consuming, highlighting the need for systemic endorsement to streamline engagement and prioritisation.</w:t>
      </w:r>
    </w:p>
    <w:p w14:paraId="7EAADD0A" w14:textId="3CB4721B" w:rsidR="00E917CE" w:rsidRPr="00117237" w:rsidRDefault="00E917CE" w:rsidP="00756D65">
      <w:pPr>
        <w:pStyle w:val="ListBullet"/>
        <w:numPr>
          <w:ilvl w:val="0"/>
          <w:numId w:val="35"/>
        </w:numPr>
        <w:tabs>
          <w:tab w:val="num" w:pos="717"/>
        </w:tabs>
      </w:pPr>
      <w:r w:rsidRPr="00117237">
        <w:t xml:space="preserve">Future efforts should </w:t>
      </w:r>
      <w:r w:rsidR="007D30EE" w:rsidRPr="00117237">
        <w:t xml:space="preserve">be supported by </w:t>
      </w:r>
      <w:r w:rsidR="00A65BE8" w:rsidRPr="00117237">
        <w:t>s</w:t>
      </w:r>
      <w:r w:rsidRPr="00117237">
        <w:t xml:space="preserve">ystemic endorsement to create a stronger imperative for action. </w:t>
      </w:r>
    </w:p>
    <w:p w14:paraId="32FAAFEC" w14:textId="0F77C85B" w:rsidR="00652B9A" w:rsidRPr="00117237" w:rsidRDefault="00E917CE" w:rsidP="006C218B">
      <w:pPr>
        <w:pStyle w:val="ListBullet"/>
      </w:pPr>
      <w:r w:rsidRPr="00117237">
        <w:rPr>
          <w:b/>
          <w:bCs/>
        </w:rPr>
        <w:t xml:space="preserve">The work still relies significantly on individual champions. </w:t>
      </w:r>
      <w:r w:rsidR="00CA1C6F" w:rsidRPr="00117237">
        <w:t>Long-term sustainability of this work ultimately needs full leadership buy-in and backbone support through being embedded across TAFEs</w:t>
      </w:r>
      <w:r w:rsidR="00484858" w:rsidRPr="00117237">
        <w:t>`</w:t>
      </w:r>
      <w:r w:rsidR="00CA1C6F" w:rsidRPr="00117237">
        <w:t>.</w:t>
      </w:r>
      <w:r w:rsidR="00CA1C6F" w:rsidRPr="00117237">
        <w:rPr>
          <w:b/>
          <w:bCs/>
        </w:rPr>
        <w:t xml:space="preserve"> </w:t>
      </w:r>
      <w:r w:rsidRPr="00117237">
        <w:t>While individual champions have driven progress, reliance on them creates vulnerabilities if these individuals leave or disengage.</w:t>
      </w:r>
    </w:p>
    <w:p w14:paraId="32E920B5" w14:textId="71978911" w:rsidR="00652B9A" w:rsidRPr="00117237" w:rsidRDefault="007D30EE" w:rsidP="00756D65">
      <w:pPr>
        <w:pStyle w:val="ListBullet"/>
        <w:numPr>
          <w:ilvl w:val="0"/>
          <w:numId w:val="35"/>
        </w:numPr>
      </w:pPr>
      <w:r w:rsidRPr="00117237">
        <w:t xml:space="preserve">This is often outside of Our Watch’s control, </w:t>
      </w:r>
      <w:r w:rsidR="00120775" w:rsidRPr="00117237">
        <w:t xml:space="preserve">but </w:t>
      </w:r>
      <w:r w:rsidR="00B01F12" w:rsidRPr="00117237">
        <w:t xml:space="preserve">speaks to the need to create mechanisms for embedding </w:t>
      </w:r>
      <w:r w:rsidR="00E917CE" w:rsidRPr="00117237">
        <w:t>gender equality work into organisational structures</w:t>
      </w:r>
      <w:r w:rsidR="00FF61F5" w:rsidRPr="00117237">
        <w:t>, which</w:t>
      </w:r>
      <w:r w:rsidR="00E917CE" w:rsidRPr="00117237">
        <w:t xml:space="preserve"> is essential for sustainability.</w:t>
      </w:r>
      <w:r w:rsidR="00652B9A" w:rsidRPr="00117237">
        <w:t xml:space="preserve"> This may involve structuring this work with DEI strategies that are required in TAFEs that guide whole-of-organisation policy. This would future-proof the work and embed it with organisations.  </w:t>
      </w:r>
    </w:p>
    <w:p w14:paraId="1B6AF2F1" w14:textId="11A6267A" w:rsidR="00E917CE" w:rsidRPr="00117237" w:rsidRDefault="00E917CE" w:rsidP="007243A7">
      <w:pPr>
        <w:pStyle w:val="ListBullet"/>
        <w:ind w:left="1071" w:hanging="504"/>
      </w:pPr>
      <w:r w:rsidRPr="00117237">
        <w:rPr>
          <w:b/>
          <w:bCs/>
        </w:rPr>
        <w:t>The resource-intensive nature of this work poses scalability challenges.</w:t>
      </w:r>
      <w:r w:rsidRPr="00117237">
        <w:t xml:space="preserve"> </w:t>
      </w:r>
      <w:r w:rsidR="00EF4071" w:rsidRPr="00117237">
        <w:t>This work is resource-intensive as it involves behavioural change, which requires sufficient time and capacity to effectively engage</w:t>
      </w:r>
      <w:r w:rsidR="00BD13DA" w:rsidRPr="00117237">
        <w:t xml:space="preserve"> people and build trust</w:t>
      </w:r>
      <w:r w:rsidR="00752B8C" w:rsidRPr="00117237">
        <w:t>.</w:t>
      </w:r>
      <w:r w:rsidR="00051C22" w:rsidRPr="00117237">
        <w:t xml:space="preserve"> </w:t>
      </w:r>
      <w:r w:rsidR="00F6708A" w:rsidRPr="00117237">
        <w:t xml:space="preserve">There are ways to streamline and speed up engagement, such as </w:t>
      </w:r>
      <w:r w:rsidR="00994515" w:rsidRPr="00117237">
        <w:t>providing</w:t>
      </w:r>
      <w:r w:rsidR="004F5836" w:rsidRPr="00117237">
        <w:t xml:space="preserve"> an </w:t>
      </w:r>
      <w:r w:rsidR="00994515" w:rsidRPr="00117237">
        <w:t>adequate</w:t>
      </w:r>
      <w:r w:rsidR="004F5836" w:rsidRPr="00117237">
        <w:t xml:space="preserve"> authorising environment </w:t>
      </w:r>
      <w:r w:rsidR="00994515" w:rsidRPr="00117237">
        <w:t>or embedding gender equality initiatives into broader organisational strategies</w:t>
      </w:r>
      <w:r w:rsidR="00E04A4F" w:rsidRPr="00117237">
        <w:t>. However</w:t>
      </w:r>
      <w:r w:rsidR="004F5836" w:rsidRPr="00117237">
        <w:t>, delivering</w:t>
      </w:r>
      <w:r w:rsidR="00051C22" w:rsidRPr="00117237">
        <w:t xml:space="preserve"> the right level of backbone support requires sufficient resourcing of the </w:t>
      </w:r>
      <w:r w:rsidR="004F5836" w:rsidRPr="00117237">
        <w:t>project</w:t>
      </w:r>
      <w:r w:rsidR="00051C22" w:rsidRPr="00117237">
        <w:t xml:space="preserve"> team</w:t>
      </w:r>
      <w:r w:rsidR="003A09B2" w:rsidRPr="00117237">
        <w:t xml:space="preserve">, and without this there </w:t>
      </w:r>
      <w:r w:rsidR="00EF5BDC" w:rsidRPr="00117237">
        <w:t>are risks to success and scaling</w:t>
      </w:r>
      <w:r w:rsidR="00BD13DA" w:rsidRPr="00117237">
        <w:t xml:space="preserve">. </w:t>
      </w:r>
    </w:p>
    <w:p w14:paraId="6E3F3110" w14:textId="05F6F76B" w:rsidR="00E83C05" w:rsidRPr="00117237" w:rsidRDefault="008674C1" w:rsidP="006632C3">
      <w:pPr>
        <w:pStyle w:val="Heading3Normal"/>
      </w:pPr>
      <w:r w:rsidRPr="00117237">
        <w:t>There is a</w:t>
      </w:r>
      <w:r w:rsidR="00770220" w:rsidRPr="00117237">
        <w:t>n</w:t>
      </w:r>
      <w:r w:rsidRPr="00117237">
        <w:t xml:space="preserve"> opportunity to take these learnings and embed them in future work Our Watch does with TAFEs, and in the VET sector</w:t>
      </w:r>
      <w:r w:rsidR="00D06F8D" w:rsidRPr="00117237">
        <w:t xml:space="preserve"> </w:t>
      </w:r>
      <w:r w:rsidR="00E83C05" w:rsidRPr="00117237">
        <w:t xml:space="preserve">more broadly. </w:t>
      </w:r>
    </w:p>
    <w:p w14:paraId="426997FC" w14:textId="3B59797F" w:rsidR="00E917CE" w:rsidRPr="00117237" w:rsidRDefault="00E917CE" w:rsidP="00E917CE">
      <w:r w:rsidRPr="00117237">
        <w:t xml:space="preserve">In working with TAFEs and stepping into the VET sector, Our Watch </w:t>
      </w:r>
      <w:r w:rsidR="00793462" w:rsidRPr="00117237">
        <w:t>took</w:t>
      </w:r>
      <w:r w:rsidRPr="00117237">
        <w:t xml:space="preserve"> the opportunity to step into a setting that is earlier on its primary prevention journey than other settings, and in doing so</w:t>
      </w:r>
      <w:r w:rsidR="00242272" w:rsidRPr="00117237">
        <w:t>, is</w:t>
      </w:r>
      <w:r w:rsidRPr="00117237">
        <w:t xml:space="preserve"> beginning to leverage the scale of the opportunity of doing prevention work in the VET sector. </w:t>
      </w:r>
    </w:p>
    <w:p w14:paraId="510BC33A" w14:textId="77777777" w:rsidR="008A09E8" w:rsidRPr="00117237" w:rsidRDefault="00F86CE7" w:rsidP="00AE3490">
      <w:r w:rsidRPr="00117237">
        <w:t xml:space="preserve">We understand </w:t>
      </w:r>
      <w:r w:rsidR="002675B2" w:rsidRPr="00117237">
        <w:t>the immediate next stage of this work involves scaling to all TAFEs nationally</w:t>
      </w:r>
      <w:r w:rsidR="00403EF1" w:rsidRPr="00117237">
        <w:t>.</w:t>
      </w:r>
      <w:r w:rsidRPr="00117237">
        <w:t xml:space="preserve"> </w:t>
      </w:r>
      <w:r w:rsidR="00403EF1" w:rsidRPr="00117237">
        <w:t>I</w:t>
      </w:r>
      <w:r w:rsidRPr="00117237">
        <w:t xml:space="preserve">t will be </w:t>
      </w:r>
      <w:r w:rsidR="006D54B1" w:rsidRPr="00117237">
        <w:t>important</w:t>
      </w:r>
      <w:r w:rsidRPr="00117237">
        <w:t xml:space="preserve"> to embed the key learnings from RET2 in implementing this phase of the work. </w:t>
      </w:r>
      <w:r w:rsidR="00345444" w:rsidRPr="00117237">
        <w:t>It is important that this work is done well, and is appropriately resourced, planned for and set out with a clear scope</w:t>
      </w:r>
      <w:r w:rsidR="008A09E8" w:rsidRPr="00117237">
        <w:t>. Not doing this may create risks, including:</w:t>
      </w:r>
    </w:p>
    <w:p w14:paraId="1BBE3E75" w14:textId="2148CCBB" w:rsidR="00C70791" w:rsidRPr="00117237" w:rsidRDefault="00C70791" w:rsidP="00756D65">
      <w:pPr>
        <w:pStyle w:val="ListParagraph"/>
        <w:numPr>
          <w:ilvl w:val="0"/>
          <w:numId w:val="43"/>
        </w:numPr>
      </w:pPr>
      <w:r w:rsidRPr="00117237">
        <w:t xml:space="preserve">Limited reach </w:t>
      </w:r>
      <w:r w:rsidR="00560364" w:rsidRPr="00117237">
        <w:t>and engagement due to insufficient capacity for relationship building</w:t>
      </w:r>
    </w:p>
    <w:p w14:paraId="2698AC3D" w14:textId="148B8FCC" w:rsidR="00295BFF" w:rsidRPr="00117237" w:rsidRDefault="00295BFF" w:rsidP="00756D65">
      <w:pPr>
        <w:pStyle w:val="ListParagraph"/>
        <w:numPr>
          <w:ilvl w:val="0"/>
          <w:numId w:val="43"/>
        </w:numPr>
      </w:pPr>
      <w:r w:rsidRPr="00117237">
        <w:t>Superficial or inconsistent implementation that undermines objectives</w:t>
      </w:r>
    </w:p>
    <w:p w14:paraId="56D7F80D" w14:textId="1747B132" w:rsidR="00CD0D79" w:rsidRPr="00117237" w:rsidRDefault="00295BFF" w:rsidP="00756D65">
      <w:pPr>
        <w:pStyle w:val="ListParagraph"/>
        <w:numPr>
          <w:ilvl w:val="0"/>
          <w:numId w:val="43"/>
        </w:numPr>
      </w:pPr>
      <w:r w:rsidRPr="00117237">
        <w:t xml:space="preserve">Inadequate adaptation to context, </w:t>
      </w:r>
      <w:r w:rsidR="00615446" w:rsidRPr="00117237">
        <w:t xml:space="preserve">meaning applicability </w:t>
      </w:r>
      <w:r w:rsidR="005B165B" w:rsidRPr="00117237">
        <w:t xml:space="preserve">of training, resources and engagement </w:t>
      </w:r>
      <w:r w:rsidR="00615446" w:rsidRPr="00117237">
        <w:t>is limite</w:t>
      </w:r>
      <w:r w:rsidR="005B165B" w:rsidRPr="00117237">
        <w:t>d</w:t>
      </w:r>
    </w:p>
    <w:p w14:paraId="1C40B454" w14:textId="6CAD47C2" w:rsidR="00C70791" w:rsidRPr="00117237" w:rsidRDefault="00CD0D79" w:rsidP="00756D65">
      <w:pPr>
        <w:pStyle w:val="ListParagraph"/>
        <w:numPr>
          <w:ilvl w:val="0"/>
          <w:numId w:val="43"/>
        </w:numPr>
      </w:pPr>
      <w:r w:rsidRPr="00117237">
        <w:t>L</w:t>
      </w:r>
      <w:r w:rsidR="002D65F9" w:rsidRPr="00117237">
        <w:t xml:space="preserve">imited monitoring and evaluation hindering </w:t>
      </w:r>
      <w:r w:rsidRPr="00117237">
        <w:t>the ability to refine and learn from engagements and contribute further to understandings of what works in primary prevention in TAFE settings</w:t>
      </w:r>
    </w:p>
    <w:p w14:paraId="4D0A5CBF" w14:textId="1F1FA5A9" w:rsidR="00181D25" w:rsidRPr="00117237" w:rsidRDefault="00FE356D" w:rsidP="00AE3490">
      <w:r w:rsidRPr="00117237">
        <w:t>While we acknowledge the scale of work required to undertake this work with TAFEs nationally, b</w:t>
      </w:r>
      <w:r w:rsidR="002675B2" w:rsidRPr="00117237">
        <w:t>eyond this there is an opportunity for Our Watch to engag</w:t>
      </w:r>
      <w:r w:rsidR="00F74B61" w:rsidRPr="00117237">
        <w:t>e</w:t>
      </w:r>
      <w:r w:rsidR="002675B2" w:rsidRPr="00117237">
        <w:t xml:space="preserve"> RTOs</w:t>
      </w:r>
      <w:r w:rsidR="00F86CE7" w:rsidRPr="00117237">
        <w:t xml:space="preserve"> outside of TAFEs, such as private RTOs</w:t>
      </w:r>
      <w:r w:rsidR="002675B2" w:rsidRPr="00117237">
        <w:t>, who make up a much larger proportion of the VET sector than TAFEs</w:t>
      </w:r>
      <w:r w:rsidR="006F78A7" w:rsidRPr="00117237">
        <w:t xml:space="preserve">, with </w:t>
      </w:r>
      <w:r w:rsidR="00D47F62" w:rsidRPr="00117237">
        <w:t>approximately 80</w:t>
      </w:r>
      <w:r w:rsidR="006F78A7" w:rsidRPr="00117237">
        <w:t xml:space="preserve">% of </w:t>
      </w:r>
      <w:r w:rsidR="005C7A42" w:rsidRPr="00117237">
        <w:t>the students enrolled in nationally recognised training, enrolled at private RTOs.</w:t>
      </w:r>
      <w:r w:rsidR="005C7A42" w:rsidRPr="00117237">
        <w:rPr>
          <w:rStyle w:val="FootnoteReference"/>
        </w:rPr>
        <w:footnoteReference w:id="74"/>
      </w:r>
      <w:r w:rsidR="006F78A7" w:rsidRPr="00117237">
        <w:t xml:space="preserve"> </w:t>
      </w:r>
      <w:r w:rsidR="00C00D99" w:rsidRPr="00117237">
        <w:t>Also where TAFEs of</w:t>
      </w:r>
      <w:r w:rsidR="00BC0414" w:rsidRPr="00117237">
        <w:t>fer</w:t>
      </w:r>
      <w:r w:rsidR="00C00D99" w:rsidRPr="00117237">
        <w:t xml:space="preserve"> programs across many industries</w:t>
      </w:r>
      <w:r w:rsidR="00A46747" w:rsidRPr="00117237">
        <w:t xml:space="preserve">, private </w:t>
      </w:r>
      <w:r w:rsidR="00AB6811" w:rsidRPr="00117237">
        <w:t xml:space="preserve">RTOs </w:t>
      </w:r>
      <w:r w:rsidR="0032479F" w:rsidRPr="00117237">
        <w:t>are</w:t>
      </w:r>
      <w:r w:rsidR="00AB6811" w:rsidRPr="00117237">
        <w:t xml:space="preserve"> more </w:t>
      </w:r>
      <w:r w:rsidR="00A82552" w:rsidRPr="00117237">
        <w:t xml:space="preserve">likely to be </w:t>
      </w:r>
      <w:r w:rsidR="008C3333" w:rsidRPr="00117237">
        <w:t xml:space="preserve">specialised, and focussed on </w:t>
      </w:r>
      <w:r w:rsidR="00AF2171" w:rsidRPr="00117237">
        <w:t>training for a particular industry or training area.</w:t>
      </w:r>
      <w:r w:rsidR="00A37476" w:rsidRPr="00117237">
        <w:rPr>
          <w:rStyle w:val="FootnoteReference"/>
        </w:rPr>
        <w:footnoteReference w:id="75"/>
      </w:r>
      <w:r w:rsidR="008C3333" w:rsidRPr="00117237">
        <w:t xml:space="preserve"> </w:t>
      </w:r>
    </w:p>
    <w:p w14:paraId="55707C5C" w14:textId="4B449854" w:rsidR="00C10060" w:rsidRPr="00117237" w:rsidRDefault="00BD799B" w:rsidP="00AE3490">
      <w:r w:rsidRPr="00117237">
        <w:t xml:space="preserve">This provides the opportunity for Our Watch to work with RTOs who </w:t>
      </w:r>
      <w:r w:rsidR="00364EB5" w:rsidRPr="00117237">
        <w:t xml:space="preserve">deliver training for traditionally male dominated industries </w:t>
      </w:r>
      <w:r w:rsidR="004C513A" w:rsidRPr="00117237">
        <w:t>such as mining</w:t>
      </w:r>
      <w:r w:rsidR="00682290" w:rsidRPr="00117237">
        <w:t xml:space="preserve"> and c</w:t>
      </w:r>
      <w:r w:rsidR="004C513A" w:rsidRPr="00117237">
        <w:t>onstruction</w:t>
      </w:r>
      <w:r w:rsidR="00702364" w:rsidRPr="00117237">
        <w:t>, which research demonstrates are more likely to strongly reinforce masculine norms and behaviours that emphasise sexism, homophobia, disrespect and violence against women</w:t>
      </w:r>
      <w:r w:rsidR="00682290" w:rsidRPr="00117237">
        <w:t>.</w:t>
      </w:r>
      <w:r w:rsidR="00682290" w:rsidRPr="00117237">
        <w:rPr>
          <w:rStyle w:val="FootnoteReference"/>
        </w:rPr>
        <w:footnoteReference w:id="76"/>
      </w:r>
      <w:r w:rsidR="00B25DDB" w:rsidRPr="00117237">
        <w:t xml:space="preserve"> </w:t>
      </w:r>
      <w:r w:rsidR="00FC4F3C" w:rsidRPr="00117237">
        <w:t>For example</w:t>
      </w:r>
      <w:r w:rsidR="00D9376C" w:rsidRPr="00117237">
        <w:t>,</w:t>
      </w:r>
      <w:r w:rsidR="00FC4F3C" w:rsidRPr="00117237">
        <w:t xml:space="preserve"> </w:t>
      </w:r>
      <w:r w:rsidR="00B662A0" w:rsidRPr="00117237">
        <w:t>in December 2024</w:t>
      </w:r>
      <w:r w:rsidR="008D0A69" w:rsidRPr="00117237">
        <w:t>,</w:t>
      </w:r>
      <w:r w:rsidR="00D9376C" w:rsidRPr="00117237">
        <w:t xml:space="preserve"> a class action lawsuit was launched against</w:t>
      </w:r>
      <w:r w:rsidR="00CB0A02" w:rsidRPr="00117237">
        <w:t xml:space="preserve"> mining companies</w:t>
      </w:r>
      <w:r w:rsidR="00D9376C" w:rsidRPr="00117237">
        <w:t xml:space="preserve"> </w:t>
      </w:r>
      <w:r w:rsidR="00CB0A02" w:rsidRPr="00117237">
        <w:t>Rio Tin</w:t>
      </w:r>
      <w:r w:rsidR="00933D42" w:rsidRPr="00117237">
        <w:t>t</w:t>
      </w:r>
      <w:r w:rsidR="00CB0A02" w:rsidRPr="00117237">
        <w:t xml:space="preserve">o and BHP, </w:t>
      </w:r>
      <w:r w:rsidR="00972EBF" w:rsidRPr="00117237">
        <w:t xml:space="preserve">for systemic </w:t>
      </w:r>
      <w:r w:rsidR="00E444C1" w:rsidRPr="00117237">
        <w:t xml:space="preserve">sexual </w:t>
      </w:r>
      <w:r w:rsidR="00972EBF" w:rsidRPr="00117237">
        <w:t>harassment and gender discrimination across their operation</w:t>
      </w:r>
      <w:r w:rsidR="00CB0A02" w:rsidRPr="00117237">
        <w:t>.</w:t>
      </w:r>
      <w:r w:rsidR="0054366E" w:rsidRPr="00117237">
        <w:rPr>
          <w:rStyle w:val="FootnoteReference"/>
        </w:rPr>
        <w:footnoteReference w:id="77"/>
      </w:r>
      <w:r w:rsidR="00CB0A02" w:rsidRPr="00117237">
        <w:t xml:space="preserve"> </w:t>
      </w:r>
      <w:r w:rsidR="005040B3" w:rsidRPr="00117237">
        <w:t xml:space="preserve">Our Watch could consider working with </w:t>
      </w:r>
      <w:r w:rsidR="00F556B0" w:rsidRPr="00117237">
        <w:t xml:space="preserve">private RTO MINRES who is the largest </w:t>
      </w:r>
      <w:r w:rsidR="00F27578" w:rsidRPr="00117237">
        <w:t>RTO in the resources sector</w:t>
      </w:r>
      <w:r w:rsidR="00A8660B" w:rsidRPr="00117237">
        <w:t>.</w:t>
      </w:r>
      <w:r w:rsidR="004777FB" w:rsidRPr="00117237">
        <w:rPr>
          <w:rStyle w:val="FootnoteReference"/>
        </w:rPr>
        <w:footnoteReference w:id="78"/>
      </w:r>
    </w:p>
    <w:p w14:paraId="00180D84" w14:textId="3FDB31BD" w:rsidR="005A7D47" w:rsidRPr="00117237" w:rsidRDefault="00472D9A" w:rsidP="00472D9A">
      <w:r w:rsidRPr="00117237">
        <w:lastRenderedPageBreak/>
        <w:t xml:space="preserve">Working with RTOs offers a commercial opportunity to provide training and support that helps them fulfill their legal obligations under the positive duty provisions of the </w:t>
      </w:r>
      <w:r w:rsidRPr="00117237">
        <w:rPr>
          <w:i/>
          <w:iCs/>
        </w:rPr>
        <w:t>Sex Discrimination Act</w:t>
      </w:r>
      <w:r w:rsidRPr="00117237">
        <w:t>.</w:t>
      </w:r>
      <w:r w:rsidR="00491D79" w:rsidRPr="00117237">
        <w:rPr>
          <w:rStyle w:val="FootnoteReference"/>
        </w:rPr>
        <w:footnoteReference w:id="79"/>
      </w:r>
      <w:r w:rsidRPr="00117237">
        <w:t xml:space="preserve"> This duty requires proactive measures to prevent unlawful conduct, such as discrimination and sexual harassment, in workplaces or work-related contexts. Many RTOs value training that enables them to meet these responsibilities effectively, fostering safer and more inclusive environments. </w:t>
      </w:r>
    </w:p>
    <w:p w14:paraId="13D37546" w14:textId="4CB41B3C" w:rsidR="00472D9A" w:rsidRPr="00117237" w:rsidRDefault="00472D9A" w:rsidP="00472D9A">
      <w:r w:rsidRPr="00117237">
        <w:t>This work is evolving, with increasing structural and regulatory support creating further opportunities for expansion. For example, the introduction of a new national code addressing gender-based violence at universities highlights the growing emphasis on prevention and accountability.</w:t>
      </w:r>
      <w:r w:rsidR="005A7D47" w:rsidRPr="00117237">
        <w:rPr>
          <w:rStyle w:val="FootnoteReference"/>
        </w:rPr>
        <w:t xml:space="preserve"> </w:t>
      </w:r>
      <w:r w:rsidR="005A7D47" w:rsidRPr="00117237">
        <w:rPr>
          <w:rStyle w:val="FootnoteReference"/>
        </w:rPr>
        <w:footnoteReference w:id="80"/>
      </w:r>
      <w:r w:rsidRPr="00117237">
        <w:t xml:space="preserve"> Although this code currently excludes the VET sector, it reflects a shifting landscape that could present future opportunities for similar initiatives in VET.</w:t>
      </w:r>
    </w:p>
    <w:p w14:paraId="694A273D" w14:textId="5D09C4F9" w:rsidR="00E84AD0" w:rsidRPr="00117237" w:rsidRDefault="002F38FE" w:rsidP="00A6558C">
      <w:pPr>
        <w:pStyle w:val="Heading3Normal"/>
      </w:pPr>
      <w:r w:rsidRPr="00117237">
        <w:t xml:space="preserve">Unlocking the full opportunity of this work </w:t>
      </w:r>
      <w:r w:rsidR="00CA7E66" w:rsidRPr="00117237">
        <w:t xml:space="preserve">will require </w:t>
      </w:r>
      <w:r w:rsidR="00E84AD0" w:rsidRPr="00117237">
        <w:t xml:space="preserve">leveraging learnings, engaging system-level actors, expanding Our Watch’s presence in the VET sector and continuing to enhance internal capability. </w:t>
      </w:r>
    </w:p>
    <w:p w14:paraId="16427D40" w14:textId="12E888D9" w:rsidR="00290B62" w:rsidRPr="00117237" w:rsidRDefault="000B5AA6" w:rsidP="00FE18A2">
      <w:pPr>
        <w:tabs>
          <w:tab w:val="left" w:pos="2456"/>
        </w:tabs>
      </w:pPr>
      <w:r w:rsidRPr="00117237">
        <w:t xml:space="preserve">The following elements </w:t>
      </w:r>
      <w:r w:rsidR="00FE18A2" w:rsidRPr="00117237">
        <w:t>will be important elements to take forward in future iterations of this work and Our Watch continuing to work in the VET sector</w:t>
      </w:r>
      <w:r w:rsidR="00BF1802" w:rsidRPr="00117237">
        <w:t>.</w:t>
      </w:r>
      <w:r w:rsidR="00585997" w:rsidRPr="00117237">
        <w:t xml:space="preserve"> </w:t>
      </w:r>
    </w:p>
    <w:p w14:paraId="3314502B" w14:textId="124AE9F2" w:rsidR="002A6900" w:rsidRPr="00117237" w:rsidRDefault="00033E75" w:rsidP="00FE18A2">
      <w:pPr>
        <w:tabs>
          <w:tab w:val="left" w:pos="2456"/>
        </w:tabs>
      </w:pPr>
      <w:r w:rsidRPr="00117237">
        <w:t xml:space="preserve">To </w:t>
      </w:r>
      <w:r w:rsidR="00FB181D" w:rsidRPr="00117237">
        <w:t>unlock the broader opportunity</w:t>
      </w:r>
      <w:r w:rsidRPr="00117237">
        <w:t xml:space="preserve"> we recommend Our Watch: </w:t>
      </w:r>
    </w:p>
    <w:p w14:paraId="3C05A0E9" w14:textId="3CB3CDE6" w:rsidR="00E64F00" w:rsidRPr="00117237" w:rsidRDefault="00E64F00" w:rsidP="00756D65">
      <w:pPr>
        <w:pStyle w:val="ListParagraph"/>
        <w:numPr>
          <w:ilvl w:val="0"/>
          <w:numId w:val="20"/>
        </w:numPr>
        <w:rPr>
          <w:b/>
          <w:bCs/>
        </w:rPr>
      </w:pPr>
      <w:r w:rsidRPr="00117237">
        <w:rPr>
          <w:b/>
          <w:bCs/>
        </w:rPr>
        <w:t>Leverage learnings from RET2</w:t>
      </w:r>
      <w:r w:rsidR="00EA0251" w:rsidRPr="00117237">
        <w:rPr>
          <w:b/>
          <w:bCs/>
        </w:rPr>
        <w:t xml:space="preserve"> in future iterations of this work</w:t>
      </w:r>
      <w:r w:rsidR="00AD535A" w:rsidRPr="00117237">
        <w:rPr>
          <w:b/>
          <w:bCs/>
        </w:rPr>
        <w:t xml:space="preserve">. </w:t>
      </w:r>
      <w:r w:rsidR="00C70558" w:rsidRPr="00117237">
        <w:t xml:space="preserve">In </w:t>
      </w:r>
      <w:r w:rsidR="008308D6" w:rsidRPr="00117237">
        <w:t>taking</w:t>
      </w:r>
      <w:r w:rsidR="00C70558" w:rsidRPr="00117237">
        <w:t xml:space="preserve"> this work</w:t>
      </w:r>
      <w:r w:rsidR="008308D6" w:rsidRPr="00117237">
        <w:t xml:space="preserve"> forward</w:t>
      </w:r>
      <w:r w:rsidR="00C70558" w:rsidRPr="00117237">
        <w:t xml:space="preserve">, either with TAFEs or the VET sector more broadly, it will be important to embed the key learnings from RET2 project to leverage what </w:t>
      </w:r>
      <w:r w:rsidR="0000704B" w:rsidRPr="00117237">
        <w:t xml:space="preserve">has worked best for engaging with TAFEs to support primary prevention work. </w:t>
      </w:r>
    </w:p>
    <w:p w14:paraId="260B454A" w14:textId="77777777" w:rsidR="00CF72B0" w:rsidRPr="00117237" w:rsidRDefault="00CF72B0" w:rsidP="00CF72B0">
      <w:pPr>
        <w:pStyle w:val="ListParagraph"/>
        <w:numPr>
          <w:ilvl w:val="0"/>
          <w:numId w:val="0"/>
        </w:numPr>
        <w:ind w:left="720"/>
        <w:rPr>
          <w:b/>
          <w:bCs/>
        </w:rPr>
      </w:pPr>
    </w:p>
    <w:p w14:paraId="79E1977B" w14:textId="02379FC4" w:rsidR="00F118D2" w:rsidRPr="00117237" w:rsidRDefault="00DB0D47" w:rsidP="00756D65">
      <w:pPr>
        <w:pStyle w:val="ListParagraph"/>
        <w:numPr>
          <w:ilvl w:val="0"/>
          <w:numId w:val="20"/>
        </w:numPr>
      </w:pPr>
      <w:r w:rsidRPr="00117237">
        <w:rPr>
          <w:b/>
          <w:bCs/>
        </w:rPr>
        <w:t>Bring system level actors on the journey</w:t>
      </w:r>
      <w:r w:rsidR="008D501B" w:rsidRPr="00117237">
        <w:rPr>
          <w:b/>
          <w:bCs/>
        </w:rPr>
        <w:t xml:space="preserve">. </w:t>
      </w:r>
      <w:r w:rsidRPr="00117237">
        <w:t xml:space="preserve">As this work scales to a national level, it is important to bring system level actors along the journey. Our Watch should seek </w:t>
      </w:r>
      <w:r w:rsidR="00F1185D" w:rsidRPr="00117237">
        <w:t xml:space="preserve">to engage and share learnings </w:t>
      </w:r>
      <w:r w:rsidRPr="00117237">
        <w:t xml:space="preserve">with </w:t>
      </w:r>
      <w:r w:rsidR="0029003F" w:rsidRPr="00117237">
        <w:t>state, territory</w:t>
      </w:r>
      <w:r w:rsidRPr="00117237">
        <w:t xml:space="preserve"> actors</w:t>
      </w:r>
      <w:r w:rsidR="0029003F" w:rsidRPr="00117237">
        <w:t xml:space="preserve"> such as state skills departments, and state regulators and where relevant national stakeholders such as the Department of Employment and Workplace Relations (DEWR), J</w:t>
      </w:r>
      <w:r w:rsidR="00E03494" w:rsidRPr="00117237">
        <w:t>SCs</w:t>
      </w:r>
      <w:r w:rsidR="0029003F" w:rsidRPr="00117237">
        <w:t xml:space="preserve">, and regulatory bodies such as ASQA and </w:t>
      </w:r>
      <w:r w:rsidR="00E03494" w:rsidRPr="00117237">
        <w:t>the</w:t>
      </w:r>
      <w:r w:rsidR="0029003F" w:rsidRPr="00117237">
        <w:t xml:space="preserve"> Tertiary Education Quality and Standards Agency (TEQSA)</w:t>
      </w:r>
      <w:r w:rsidRPr="00117237">
        <w:t xml:space="preserve">. </w:t>
      </w:r>
      <w:r w:rsidR="00F118D2" w:rsidRPr="00117237">
        <w:t>Supported by sufficient resources, this strategy may enable Our Watch to champion system-level change, such as policy reform and regulatory and legislative amendments to support primary prevention work.</w:t>
      </w:r>
    </w:p>
    <w:p w14:paraId="75AB4231" w14:textId="77777777" w:rsidR="00CF72B0" w:rsidRPr="00117237" w:rsidRDefault="00CF72B0" w:rsidP="00CF72B0">
      <w:pPr>
        <w:pStyle w:val="ListParagraph"/>
        <w:numPr>
          <w:ilvl w:val="0"/>
          <w:numId w:val="0"/>
        </w:numPr>
        <w:ind w:left="360"/>
      </w:pPr>
    </w:p>
    <w:p w14:paraId="25E380BD" w14:textId="72DBECBE" w:rsidR="00BA62DB" w:rsidRPr="00117237" w:rsidRDefault="00EA0251" w:rsidP="00756D65">
      <w:pPr>
        <w:pStyle w:val="ListParagraph"/>
        <w:numPr>
          <w:ilvl w:val="0"/>
          <w:numId w:val="20"/>
        </w:numPr>
        <w:rPr>
          <w:b/>
          <w:bCs/>
        </w:rPr>
      </w:pPr>
      <w:r w:rsidRPr="00117237">
        <w:rPr>
          <w:b/>
          <w:bCs/>
        </w:rPr>
        <w:t>Continue to build Our Watch’s footprint in the VET sector</w:t>
      </w:r>
      <w:r w:rsidR="0049419B" w:rsidRPr="00117237">
        <w:rPr>
          <w:b/>
          <w:bCs/>
        </w:rPr>
        <w:t xml:space="preserve">. </w:t>
      </w:r>
      <w:r w:rsidR="00831042" w:rsidRPr="00117237">
        <w:t xml:space="preserve">This </w:t>
      </w:r>
      <w:r w:rsidR="002E64DB" w:rsidRPr="00117237">
        <w:t>will</w:t>
      </w:r>
      <w:r w:rsidR="00E2210A" w:rsidRPr="00117237">
        <w:t xml:space="preserve"> leverage the opportunity to</w:t>
      </w:r>
      <w:r w:rsidR="002E64DB" w:rsidRPr="00117237">
        <w:t xml:space="preserve"> build upon the work of RET1 and RET2 </w:t>
      </w:r>
      <w:r w:rsidR="003445C0" w:rsidRPr="00117237">
        <w:t xml:space="preserve">and continue to </w:t>
      </w:r>
      <w:r w:rsidR="002E64DB" w:rsidRPr="00117237">
        <w:t>support</w:t>
      </w:r>
      <w:r w:rsidR="00831042" w:rsidRPr="00117237">
        <w:t xml:space="preserve"> building credibility</w:t>
      </w:r>
      <w:r w:rsidR="00EE606B" w:rsidRPr="00117237">
        <w:t xml:space="preserve"> and trust in Our Watch </w:t>
      </w:r>
      <w:r w:rsidR="001B692F" w:rsidRPr="00117237">
        <w:t>among VET stakeholders</w:t>
      </w:r>
      <w:r w:rsidR="000379C0" w:rsidRPr="00117237">
        <w:t xml:space="preserve">. </w:t>
      </w:r>
      <w:r w:rsidR="00344D16" w:rsidRPr="00117237">
        <w:t xml:space="preserve">This may include: </w:t>
      </w:r>
    </w:p>
    <w:p w14:paraId="0E1D20B7" w14:textId="065DC434" w:rsidR="00344D16" w:rsidRPr="00117237" w:rsidRDefault="00344D16" w:rsidP="00545A05">
      <w:pPr>
        <w:pStyle w:val="ListBullet"/>
        <w:tabs>
          <w:tab w:val="clear" w:pos="360"/>
          <w:tab w:val="num" w:pos="1074"/>
        </w:tabs>
        <w:ind w:left="1638"/>
      </w:pPr>
      <w:r w:rsidRPr="00117237">
        <w:t>Continu</w:t>
      </w:r>
      <w:r w:rsidR="00D25951" w:rsidRPr="00117237">
        <w:t>ing</w:t>
      </w:r>
      <w:r w:rsidRPr="00117237">
        <w:t xml:space="preserve"> to build k</w:t>
      </w:r>
      <w:r w:rsidR="00D55BB0" w:rsidRPr="00117237">
        <w:t xml:space="preserve">nowledge </w:t>
      </w:r>
      <w:r w:rsidRPr="00117237">
        <w:t>on how to</w:t>
      </w:r>
      <w:r w:rsidR="00D55BB0" w:rsidRPr="00117237">
        <w:t xml:space="preserve"> contribute effectively to the VET space</w:t>
      </w:r>
      <w:r w:rsidR="00243C3B" w:rsidRPr="00117237">
        <w:t xml:space="preserve">, to support with </w:t>
      </w:r>
      <w:r w:rsidR="0086442B" w:rsidRPr="00117237">
        <w:t>government relations, policy and advocacy efforts</w:t>
      </w:r>
    </w:p>
    <w:p w14:paraId="59F5C488" w14:textId="6C872DA1" w:rsidR="00344D16" w:rsidRPr="00117237" w:rsidRDefault="00344D16" w:rsidP="00545A05">
      <w:pPr>
        <w:pStyle w:val="ListBullet"/>
        <w:tabs>
          <w:tab w:val="clear" w:pos="360"/>
          <w:tab w:val="num" w:pos="717"/>
        </w:tabs>
        <w:ind w:left="1638"/>
      </w:pPr>
      <w:r w:rsidRPr="00117237">
        <w:t>Remain</w:t>
      </w:r>
      <w:r w:rsidR="000F210A" w:rsidRPr="00117237">
        <w:t>ing</w:t>
      </w:r>
      <w:r w:rsidRPr="00117237">
        <w:t xml:space="preserve"> aware of ongoing TAFE and VET policy reform, in order to make submissions </w:t>
      </w:r>
      <w:r w:rsidR="00D70DEF" w:rsidRPr="00117237">
        <w:t xml:space="preserve">to policy processes </w:t>
      </w:r>
      <w:r w:rsidRPr="00117237">
        <w:t>and advocate to system level actors</w:t>
      </w:r>
    </w:p>
    <w:p w14:paraId="2C624A3C" w14:textId="553B0792" w:rsidR="000F7BEA" w:rsidRPr="00117237" w:rsidRDefault="000F7BEA" w:rsidP="00545A05">
      <w:pPr>
        <w:pStyle w:val="ListBullet"/>
        <w:tabs>
          <w:tab w:val="clear" w:pos="360"/>
          <w:tab w:val="num" w:pos="717"/>
        </w:tabs>
        <w:ind w:left="1638"/>
      </w:pPr>
      <w:r w:rsidRPr="00117237">
        <w:t>Emphasis</w:t>
      </w:r>
      <w:r w:rsidR="00CC485F" w:rsidRPr="00117237">
        <w:t>ing</w:t>
      </w:r>
      <w:r w:rsidRPr="00117237">
        <w:t xml:space="preserve"> the significant strategic opportunity the VET sector provides for the primary prevention sector, both internally within Our Watch and externally </w:t>
      </w:r>
    </w:p>
    <w:p w14:paraId="19212441" w14:textId="16EF6293" w:rsidR="00D55BB0" w:rsidRPr="00117237" w:rsidRDefault="002E2D1B" w:rsidP="00545A05">
      <w:pPr>
        <w:pStyle w:val="ListBullet"/>
        <w:tabs>
          <w:tab w:val="clear" w:pos="360"/>
          <w:tab w:val="num" w:pos="717"/>
        </w:tabs>
        <w:ind w:left="1638"/>
      </w:pPr>
      <w:r w:rsidRPr="00117237">
        <w:t xml:space="preserve">Ensuring </w:t>
      </w:r>
      <w:r w:rsidR="000F7BEA" w:rsidRPr="00117237">
        <w:t xml:space="preserve">the VET sector </w:t>
      </w:r>
      <w:r w:rsidRPr="00117237">
        <w:t>remains a</w:t>
      </w:r>
      <w:r w:rsidR="000F7BEA" w:rsidRPr="00117237">
        <w:t xml:space="preserve"> key priority setting internally, including through investing resourcing, and collaborati</w:t>
      </w:r>
      <w:r w:rsidR="00D07F7F" w:rsidRPr="00117237">
        <w:t>ng</w:t>
      </w:r>
      <w:r w:rsidR="000F7BEA" w:rsidRPr="00117237">
        <w:t xml:space="preserve"> with relevant directorates to work together on leveraging the opportunity the VET sector provides</w:t>
      </w:r>
    </w:p>
    <w:p w14:paraId="7C4B6900" w14:textId="77777777" w:rsidR="00CF72B0" w:rsidRPr="00117237" w:rsidRDefault="00CF72B0" w:rsidP="00CF72B0">
      <w:pPr>
        <w:pStyle w:val="ListParagraph"/>
        <w:numPr>
          <w:ilvl w:val="0"/>
          <w:numId w:val="0"/>
        </w:numPr>
        <w:ind w:left="360"/>
        <w:rPr>
          <w:b/>
          <w:bCs/>
        </w:rPr>
      </w:pPr>
    </w:p>
    <w:p w14:paraId="0DB8D605" w14:textId="70282018" w:rsidR="00EA0251" w:rsidRPr="00117237" w:rsidRDefault="00C01C28" w:rsidP="00756D65">
      <w:pPr>
        <w:pStyle w:val="ListParagraph"/>
        <w:numPr>
          <w:ilvl w:val="0"/>
          <w:numId w:val="20"/>
        </w:numPr>
        <w:rPr>
          <w:b/>
          <w:bCs/>
        </w:rPr>
      </w:pPr>
      <w:r w:rsidRPr="00117237">
        <w:rPr>
          <w:b/>
          <w:bCs/>
        </w:rPr>
        <w:t>Continue to build internal capability for TAFE and VET sector engagement</w:t>
      </w:r>
      <w:r w:rsidR="003D5BFA" w:rsidRPr="00117237">
        <w:rPr>
          <w:b/>
          <w:bCs/>
        </w:rPr>
        <w:t xml:space="preserve">. </w:t>
      </w:r>
      <w:r w:rsidR="003D5BFA" w:rsidRPr="00117237">
        <w:t xml:space="preserve">As Our Watch continues working with TAFEs and in the VET sector it will be important </w:t>
      </w:r>
      <w:r w:rsidR="00980B7E" w:rsidRPr="00117237">
        <w:t>to continue to</w:t>
      </w:r>
      <w:r w:rsidR="003D5BFA" w:rsidRPr="00117237">
        <w:t xml:space="preserve"> build internal VET capability and understanding. This may include:</w:t>
      </w:r>
    </w:p>
    <w:p w14:paraId="25E46DE5" w14:textId="6F552334" w:rsidR="00344D16" w:rsidRPr="00117237" w:rsidRDefault="00344D16" w:rsidP="00545A05">
      <w:pPr>
        <w:pStyle w:val="ListBullet"/>
        <w:tabs>
          <w:tab w:val="clear" w:pos="360"/>
          <w:tab w:val="num" w:pos="1074"/>
        </w:tabs>
        <w:ind w:left="1638"/>
      </w:pPr>
      <w:r w:rsidRPr="00117237">
        <w:t>Continu</w:t>
      </w:r>
      <w:r w:rsidR="002B2FF2" w:rsidRPr="00117237">
        <w:t>ing to</w:t>
      </w:r>
      <w:r w:rsidRPr="00117237">
        <w:t xml:space="preserve"> develop organisational knowledge around the complexity of the VET sector, and the key differences </w:t>
      </w:r>
      <w:r w:rsidR="004B5675" w:rsidRPr="00117237">
        <w:t>between VET and</w:t>
      </w:r>
      <w:r w:rsidRPr="00117237">
        <w:t xml:space="preserve"> other sectors Our Watch works wit</w:t>
      </w:r>
      <w:r w:rsidR="000F7BEA" w:rsidRPr="00117237">
        <w:t>h</w:t>
      </w:r>
      <w:r w:rsidR="00747D52" w:rsidRPr="00117237">
        <w:t>.</w:t>
      </w:r>
      <w:r w:rsidR="004B5675" w:rsidRPr="00117237">
        <w:t xml:space="preserve"> </w:t>
      </w:r>
    </w:p>
    <w:p w14:paraId="59910925" w14:textId="1A87B5D0" w:rsidR="00DB0D47" w:rsidRPr="00117237" w:rsidRDefault="009366FB" w:rsidP="00756D65">
      <w:pPr>
        <w:pStyle w:val="ListBullet"/>
        <w:numPr>
          <w:ilvl w:val="0"/>
          <w:numId w:val="32"/>
        </w:numPr>
      </w:pPr>
      <w:r w:rsidRPr="00117237">
        <w:t>For example, c</w:t>
      </w:r>
      <w:r w:rsidR="003D5BFA" w:rsidRPr="00117237">
        <w:t>ontinu</w:t>
      </w:r>
      <w:r w:rsidR="00FA0225" w:rsidRPr="00117237">
        <w:t>ing to</w:t>
      </w:r>
      <w:r w:rsidR="003D5BFA" w:rsidRPr="00117237">
        <w:t xml:space="preserve"> build understanding</w:t>
      </w:r>
      <w:r w:rsidR="009F5964" w:rsidRPr="00117237">
        <w:t xml:space="preserve"> of the</w:t>
      </w:r>
      <w:r w:rsidR="003D5BFA" w:rsidRPr="00117237">
        <w:t xml:space="preserve"> structural and cultural differences between higher education and VET sector</w:t>
      </w:r>
      <w:r w:rsidR="002549E9" w:rsidRPr="00117237">
        <w:t>. This can be leveraged from the key learnings of the RET2 project team and from continue</w:t>
      </w:r>
      <w:r w:rsidR="00404B62" w:rsidRPr="00117237">
        <w:t>d</w:t>
      </w:r>
      <w:r w:rsidR="002549E9" w:rsidRPr="00117237">
        <w:t xml:space="preserve"> mutual engagement with TAFE and VET stakeholders. </w:t>
      </w:r>
      <w:r w:rsidR="002549E9" w:rsidRPr="00117237">
        <w:lastRenderedPageBreak/>
        <w:t>A robust internal Our Watch understanding of the key differences between VET and higher education would support future project teams to adapt their engagement approach to be fit-for-purpose.</w:t>
      </w:r>
    </w:p>
    <w:p w14:paraId="60F5563E" w14:textId="251E565A" w:rsidR="002549E9" w:rsidRPr="00117237" w:rsidRDefault="002549E9" w:rsidP="00545A05">
      <w:pPr>
        <w:pStyle w:val="ListBullet"/>
        <w:tabs>
          <w:tab w:val="clear" w:pos="360"/>
          <w:tab w:val="num" w:pos="1074"/>
        </w:tabs>
        <w:ind w:left="1638"/>
      </w:pPr>
      <w:r w:rsidRPr="00117237">
        <w:t>Understand</w:t>
      </w:r>
      <w:r w:rsidR="00E97C04" w:rsidRPr="00117237">
        <w:t>ing</w:t>
      </w:r>
      <w:r w:rsidRPr="00117237">
        <w:t xml:space="preserve"> and unlock</w:t>
      </w:r>
      <w:r w:rsidR="00E97C04" w:rsidRPr="00117237">
        <w:t>ing</w:t>
      </w:r>
      <w:r w:rsidRPr="00117237">
        <w:t xml:space="preserve"> the opportunity of working with industry. As outlined above, working in the VET sector is likely to unlock and require work with industry, due to the alignment between VET and industry. This will create opportunities that may require a different approach to working within the VET sector. </w:t>
      </w:r>
    </w:p>
    <w:p w14:paraId="2610CA94" w14:textId="61AA481F" w:rsidR="00C6349E" w:rsidRPr="00117237" w:rsidRDefault="007A3552" w:rsidP="005B335A">
      <w:pPr>
        <w:pStyle w:val="BodyTextAfterBullets"/>
        <w:rPr>
          <w:rFonts w:eastAsia="Century Gothic"/>
          <w:spacing w:val="0"/>
          <w:sz w:val="22"/>
          <w:szCs w:val="20"/>
        </w:rPr>
      </w:pPr>
      <w:r w:rsidRPr="00117237">
        <w:rPr>
          <w:rFonts w:eastAsia="Century Gothic"/>
          <w:spacing w:val="0"/>
          <w:sz w:val="22"/>
          <w:szCs w:val="20"/>
        </w:rPr>
        <w:t xml:space="preserve">While Our Watch has an opportunity to expand its presence in the VET sector and continue building internal capability, elements of success sit outside of the organisation's remit. </w:t>
      </w:r>
      <w:r w:rsidR="00C6349E" w:rsidRPr="00117237">
        <w:rPr>
          <w:rFonts w:eastAsia="Century Gothic"/>
          <w:spacing w:val="0"/>
          <w:sz w:val="22"/>
          <w:szCs w:val="20"/>
        </w:rPr>
        <w:t xml:space="preserve">There is a critical role for system-level actors, including funders, in support this work. </w:t>
      </w:r>
      <w:r w:rsidR="00EE52B8" w:rsidRPr="00117237">
        <w:rPr>
          <w:rFonts w:eastAsia="Century Gothic"/>
          <w:spacing w:val="0"/>
          <w:sz w:val="22"/>
          <w:szCs w:val="20"/>
        </w:rPr>
        <w:t>This includes</w:t>
      </w:r>
      <w:r w:rsidR="00EA0884" w:rsidRPr="00117237">
        <w:rPr>
          <w:rFonts w:eastAsia="Century Gothic"/>
          <w:spacing w:val="0"/>
          <w:sz w:val="22"/>
          <w:szCs w:val="20"/>
        </w:rPr>
        <w:t xml:space="preserve"> funders</w:t>
      </w:r>
      <w:r w:rsidR="00EE52B8" w:rsidRPr="00117237">
        <w:rPr>
          <w:rFonts w:eastAsia="Century Gothic"/>
          <w:spacing w:val="0"/>
          <w:sz w:val="22"/>
          <w:szCs w:val="20"/>
        </w:rPr>
        <w:t xml:space="preserve"> </w:t>
      </w:r>
      <w:r w:rsidR="00EA0884" w:rsidRPr="00117237">
        <w:rPr>
          <w:rFonts w:eastAsia="Century Gothic"/>
          <w:spacing w:val="0"/>
          <w:sz w:val="22"/>
          <w:szCs w:val="20"/>
        </w:rPr>
        <w:t>creating the enabling environment required to deliver on objectives, such as:</w:t>
      </w:r>
    </w:p>
    <w:p w14:paraId="63175727" w14:textId="0B036CA7" w:rsidR="00252C8B" w:rsidRPr="00117237" w:rsidRDefault="00252C8B" w:rsidP="00756D65">
      <w:pPr>
        <w:pStyle w:val="BodyTextAfterBullets"/>
        <w:numPr>
          <w:ilvl w:val="0"/>
          <w:numId w:val="42"/>
        </w:numPr>
        <w:rPr>
          <w:rFonts w:eastAsia="Century Gothic"/>
          <w:spacing w:val="0"/>
          <w:sz w:val="22"/>
          <w:szCs w:val="20"/>
        </w:rPr>
      </w:pPr>
      <w:r w:rsidRPr="00117237">
        <w:rPr>
          <w:rFonts w:eastAsia="Century Gothic"/>
          <w:spacing w:val="0"/>
          <w:sz w:val="22"/>
          <w:szCs w:val="20"/>
        </w:rPr>
        <w:t xml:space="preserve">Funding future projects </w:t>
      </w:r>
    </w:p>
    <w:p w14:paraId="1850D28D" w14:textId="525A08FB" w:rsidR="00EA0884" w:rsidRPr="00117237" w:rsidRDefault="00EA0884" w:rsidP="00756D65">
      <w:pPr>
        <w:pStyle w:val="BodyTextAfterBullets"/>
        <w:numPr>
          <w:ilvl w:val="0"/>
          <w:numId w:val="42"/>
        </w:numPr>
        <w:rPr>
          <w:rFonts w:eastAsia="Century Gothic"/>
          <w:spacing w:val="0"/>
          <w:sz w:val="22"/>
          <w:szCs w:val="20"/>
        </w:rPr>
      </w:pPr>
      <w:r w:rsidRPr="00117237">
        <w:rPr>
          <w:rFonts w:eastAsia="Century Gothic"/>
          <w:spacing w:val="0"/>
          <w:sz w:val="22"/>
          <w:szCs w:val="20"/>
        </w:rPr>
        <w:t>Delivering an appropriate, clear authorising environment</w:t>
      </w:r>
    </w:p>
    <w:p w14:paraId="06341636" w14:textId="77777777" w:rsidR="00711D5F" w:rsidRPr="00117237" w:rsidRDefault="00711D5F" w:rsidP="00756D65">
      <w:pPr>
        <w:pStyle w:val="BodyTextAfterBullets"/>
        <w:numPr>
          <w:ilvl w:val="0"/>
          <w:numId w:val="42"/>
        </w:numPr>
        <w:rPr>
          <w:rFonts w:eastAsia="Century Gothic"/>
          <w:spacing w:val="0"/>
          <w:sz w:val="22"/>
          <w:szCs w:val="20"/>
        </w:rPr>
      </w:pPr>
      <w:r w:rsidRPr="00117237">
        <w:rPr>
          <w:rFonts w:eastAsia="Century Gothic"/>
          <w:spacing w:val="0"/>
          <w:sz w:val="22"/>
          <w:szCs w:val="20"/>
        </w:rPr>
        <w:t>Ensuring the policy levers necessary for success are in place</w:t>
      </w:r>
    </w:p>
    <w:p w14:paraId="78632A7A" w14:textId="1A435946" w:rsidR="0060213E" w:rsidRPr="00117237" w:rsidRDefault="00252C8B" w:rsidP="00756D65">
      <w:pPr>
        <w:pStyle w:val="BodyTextAfterBullets"/>
        <w:numPr>
          <w:ilvl w:val="0"/>
          <w:numId w:val="42"/>
        </w:numPr>
        <w:rPr>
          <w:rFonts w:eastAsia="Century Gothic"/>
          <w:spacing w:val="0"/>
          <w:sz w:val="22"/>
          <w:szCs w:val="20"/>
        </w:rPr>
      </w:pPr>
      <w:r w:rsidRPr="00117237">
        <w:rPr>
          <w:rFonts w:eastAsia="Century Gothic"/>
          <w:spacing w:val="0"/>
          <w:sz w:val="22"/>
          <w:szCs w:val="20"/>
        </w:rPr>
        <w:t xml:space="preserve">Supporting the work throughout the life of engagements  </w:t>
      </w:r>
    </w:p>
    <w:p w14:paraId="2D458A08" w14:textId="268216B7" w:rsidR="00377D4B" w:rsidRPr="00117237" w:rsidRDefault="006E6FB7" w:rsidP="0060213E">
      <w:pPr>
        <w:pStyle w:val="BodyTextAfterBullets"/>
        <w:rPr>
          <w:rFonts w:eastAsia="Century Gothic"/>
          <w:spacing w:val="0"/>
          <w:sz w:val="22"/>
          <w:szCs w:val="20"/>
        </w:rPr>
        <w:sectPr w:rsidR="00377D4B" w:rsidRPr="00117237" w:rsidSect="003368C4">
          <w:footerReference w:type="default" r:id="rId28"/>
          <w:footerReference w:type="first" r:id="rId29"/>
          <w:pgSz w:w="11906" w:h="16838" w:code="9"/>
          <w:pgMar w:top="720" w:right="1134" w:bottom="720" w:left="1134" w:header="567" w:footer="567" w:gutter="0"/>
          <w:cols w:space="708"/>
          <w:docGrid w:linePitch="360"/>
        </w:sectPr>
      </w:pPr>
      <w:r w:rsidRPr="00117237">
        <w:rPr>
          <w:rFonts w:eastAsia="Century Gothic"/>
          <w:spacing w:val="0"/>
          <w:sz w:val="22"/>
          <w:szCs w:val="20"/>
        </w:rPr>
        <w:t xml:space="preserve">Fundamentally, the success of this initiative depends on a collaborative effort between Our Watch, VET institutions, industry partners, and government bodies to create a comprehensive approach to embedding gender equality and primary prevention in the VET sector. </w:t>
      </w:r>
    </w:p>
    <w:p w14:paraId="1901C09B" w14:textId="1F5BE5D7" w:rsidR="00D62DCF" w:rsidRPr="00117237" w:rsidRDefault="00D62DCF" w:rsidP="00D62DCF">
      <w:pPr>
        <w:pStyle w:val="Heading1"/>
      </w:pPr>
      <w:bookmarkStart w:id="33" w:name="_Toc204168363"/>
      <w:r w:rsidRPr="00117237">
        <w:lastRenderedPageBreak/>
        <w:t>Appendices</w:t>
      </w:r>
      <w:bookmarkEnd w:id="33"/>
      <w:r w:rsidRPr="00117237">
        <w:t xml:space="preserve"> </w:t>
      </w:r>
    </w:p>
    <w:p w14:paraId="081546D4" w14:textId="77777777" w:rsidR="00BC7B92" w:rsidRPr="00117237" w:rsidRDefault="00D62DCF" w:rsidP="00845F17">
      <w:pPr>
        <w:pStyle w:val="Heading2"/>
        <w:numPr>
          <w:ilvl w:val="0"/>
          <w:numId w:val="0"/>
        </w:numPr>
      </w:pPr>
      <w:bookmarkStart w:id="34" w:name="_Toc204168364"/>
      <w:r w:rsidRPr="00117237">
        <w:t xml:space="preserve">Appendix A: </w:t>
      </w:r>
      <w:r w:rsidR="00BC7B92" w:rsidRPr="00117237">
        <w:t>Data sources</w:t>
      </w:r>
      <w:bookmarkEnd w:id="34"/>
    </w:p>
    <w:tbl>
      <w:tblPr>
        <w:tblStyle w:val="TableGrid"/>
        <w:tblW w:w="0" w:type="auto"/>
        <w:tblLook w:val="04A0" w:firstRow="1" w:lastRow="0" w:firstColumn="1" w:lastColumn="0" w:noHBand="0" w:noVBand="1"/>
      </w:tblPr>
      <w:tblGrid>
        <w:gridCol w:w="4814"/>
        <w:gridCol w:w="4814"/>
      </w:tblGrid>
      <w:tr w:rsidR="00BC7B92" w:rsidRPr="00117237" w14:paraId="27A7F4C6" w14:textId="77777777" w:rsidTr="00BC7B92">
        <w:tc>
          <w:tcPr>
            <w:tcW w:w="4814" w:type="dxa"/>
            <w:shd w:val="clear" w:color="auto" w:fill="931B2F" w:themeFill="background2"/>
          </w:tcPr>
          <w:p w14:paraId="0DBA6573" w14:textId="530E56E1" w:rsidR="00BC7B92" w:rsidRPr="00117237" w:rsidRDefault="00BC7B92" w:rsidP="00BC7B92">
            <w:pPr>
              <w:rPr>
                <w:b/>
                <w:bCs/>
                <w:color w:val="FFFFFF" w:themeColor="background1"/>
              </w:rPr>
            </w:pPr>
            <w:r w:rsidRPr="00117237">
              <w:rPr>
                <w:b/>
                <w:bCs/>
                <w:color w:val="FFFFFF" w:themeColor="background1"/>
              </w:rPr>
              <w:t>Chapter</w:t>
            </w:r>
          </w:p>
        </w:tc>
        <w:tc>
          <w:tcPr>
            <w:tcW w:w="4814" w:type="dxa"/>
            <w:shd w:val="clear" w:color="auto" w:fill="931B2F" w:themeFill="background2"/>
          </w:tcPr>
          <w:p w14:paraId="42D2AF9D" w14:textId="7DE31275" w:rsidR="00BC7B92" w:rsidRPr="00117237" w:rsidRDefault="00BC7B92" w:rsidP="00BC7B92">
            <w:pPr>
              <w:rPr>
                <w:b/>
                <w:bCs/>
                <w:color w:val="FFFFFF" w:themeColor="background1"/>
              </w:rPr>
            </w:pPr>
            <w:r w:rsidRPr="00117237">
              <w:rPr>
                <w:b/>
                <w:bCs/>
                <w:color w:val="FFFFFF" w:themeColor="background1"/>
              </w:rPr>
              <w:t xml:space="preserve">Data sources </w:t>
            </w:r>
          </w:p>
        </w:tc>
      </w:tr>
      <w:tr w:rsidR="00A220D0" w:rsidRPr="00117237" w14:paraId="3C77F439" w14:textId="77777777" w:rsidTr="00BC7B92">
        <w:tc>
          <w:tcPr>
            <w:tcW w:w="4814" w:type="dxa"/>
          </w:tcPr>
          <w:p w14:paraId="1D61580E" w14:textId="71E50435" w:rsidR="00A220D0" w:rsidRPr="00117237" w:rsidRDefault="00A220D0" w:rsidP="00BC7B92">
            <w:r w:rsidRPr="00117237">
              <w:t xml:space="preserve">Introduction </w:t>
            </w:r>
          </w:p>
        </w:tc>
        <w:tc>
          <w:tcPr>
            <w:tcW w:w="4814" w:type="dxa"/>
          </w:tcPr>
          <w:p w14:paraId="3A7BDA71" w14:textId="6BA74650" w:rsidR="00A220D0" w:rsidRPr="00117237" w:rsidRDefault="00075C67" w:rsidP="00BC7B92">
            <w:r w:rsidRPr="00117237">
              <w:t>This section draws on RET2 project documentation including the project plan</w:t>
            </w:r>
            <w:r w:rsidR="0004713F" w:rsidRPr="00117237">
              <w:t xml:space="preserve"> and</w:t>
            </w:r>
            <w:r w:rsidRPr="00117237">
              <w:t xml:space="preserve"> underspend proposals. It also draws on the RET1 evaluation</w:t>
            </w:r>
            <w:r w:rsidR="0004713F" w:rsidRPr="00117237">
              <w:t xml:space="preserve"> findings. In outlining information about this evaluation</w:t>
            </w:r>
            <w:r w:rsidR="005C740D" w:rsidRPr="00117237">
              <w:t>,</w:t>
            </w:r>
            <w:r w:rsidR="0004713F" w:rsidRPr="00117237">
              <w:t xml:space="preserve"> we drew on our evaluation plan. </w:t>
            </w:r>
          </w:p>
        </w:tc>
      </w:tr>
      <w:tr w:rsidR="00BC7B92" w:rsidRPr="00117237" w14:paraId="7C2FC17B" w14:textId="77777777" w:rsidTr="00BC7B92">
        <w:tc>
          <w:tcPr>
            <w:tcW w:w="4814" w:type="dxa"/>
          </w:tcPr>
          <w:p w14:paraId="7166287E" w14:textId="44BFA732" w:rsidR="00BC7B92" w:rsidRPr="00117237" w:rsidRDefault="00AF1F57" w:rsidP="00BC7B92">
            <w:r w:rsidRPr="00117237">
              <w:t xml:space="preserve"> </w:t>
            </w:r>
            <w:r w:rsidR="00A220D0" w:rsidRPr="00117237">
              <w:t xml:space="preserve">Problem definition, program rationale and design </w:t>
            </w:r>
          </w:p>
        </w:tc>
        <w:tc>
          <w:tcPr>
            <w:tcW w:w="4814" w:type="dxa"/>
          </w:tcPr>
          <w:p w14:paraId="772C5E6F" w14:textId="6986AB7B" w:rsidR="00BC7B92" w:rsidRPr="00117237" w:rsidRDefault="00A220D0" w:rsidP="00BC7B92">
            <w:r w:rsidRPr="00117237">
              <w:t xml:space="preserve">This section draws on evidence from desktop </w:t>
            </w:r>
            <w:r w:rsidR="00DA43F5" w:rsidRPr="00117237">
              <w:t>analysis</w:t>
            </w:r>
            <w:r w:rsidRPr="00117237">
              <w:t xml:space="preserve"> on the VET sector and TAFEs within that, from Our Watch resources and evidence</w:t>
            </w:r>
            <w:r w:rsidR="005877DB" w:rsidRPr="00117237">
              <w:t>-</w:t>
            </w:r>
            <w:r w:rsidRPr="00117237">
              <w:t xml:space="preserve">based frameworks, research on whole-of-institution approaches and documentation from the RET2 project and evaluation teams including but not limited to the RET2 Project Plan and original Evaluation Plan, Activity Work Plans, the RET1 Evaluation report and stakeholder interviews with Our Watch and TAFE stakeholders. </w:t>
            </w:r>
          </w:p>
        </w:tc>
      </w:tr>
      <w:tr w:rsidR="00BC7B92" w:rsidRPr="00117237" w14:paraId="6B4E74F0" w14:textId="77777777" w:rsidTr="00BC7B92">
        <w:tc>
          <w:tcPr>
            <w:tcW w:w="4814" w:type="dxa"/>
          </w:tcPr>
          <w:p w14:paraId="4F1E80F2" w14:textId="121000BE" w:rsidR="00BC7B92" w:rsidRPr="00117237" w:rsidRDefault="00A220D0" w:rsidP="00BC7B92">
            <w:r w:rsidRPr="00117237">
              <w:t>Program delivery</w:t>
            </w:r>
          </w:p>
        </w:tc>
        <w:tc>
          <w:tcPr>
            <w:tcW w:w="4814" w:type="dxa"/>
          </w:tcPr>
          <w:p w14:paraId="6045A817" w14:textId="661FF3EF" w:rsidR="00BC7B92" w:rsidRPr="00117237" w:rsidRDefault="00A85F4C" w:rsidP="00BC7B92">
            <w:r w:rsidRPr="00117237">
              <w:rPr>
                <w:bCs/>
              </w:rPr>
              <w:t>This section d</w:t>
            </w:r>
            <w:r w:rsidR="007B42CA" w:rsidRPr="00117237">
              <w:rPr>
                <w:bCs/>
              </w:rPr>
              <w:t xml:space="preserve">raws on evidence from </w:t>
            </w:r>
            <w:r w:rsidR="00A76C41" w:rsidRPr="00117237">
              <w:rPr>
                <w:bCs/>
              </w:rPr>
              <w:t xml:space="preserve">desktop </w:t>
            </w:r>
            <w:r w:rsidR="00DA43F5" w:rsidRPr="00117237">
              <w:rPr>
                <w:bCs/>
              </w:rPr>
              <w:t xml:space="preserve">analysis </w:t>
            </w:r>
            <w:r w:rsidR="005F6F55" w:rsidRPr="00117237">
              <w:rPr>
                <w:bCs/>
              </w:rPr>
              <w:t>on the TAFEs included in the RET2 project</w:t>
            </w:r>
            <w:r w:rsidR="002D2475" w:rsidRPr="00117237">
              <w:rPr>
                <w:bCs/>
              </w:rPr>
              <w:t xml:space="preserve">, </w:t>
            </w:r>
            <w:r w:rsidR="0065289A" w:rsidRPr="00117237">
              <w:rPr>
                <w:bCs/>
              </w:rPr>
              <w:t xml:space="preserve">Our Watch </w:t>
            </w:r>
            <w:r w:rsidR="00751B46" w:rsidRPr="00117237">
              <w:rPr>
                <w:bCs/>
              </w:rPr>
              <w:t>resources</w:t>
            </w:r>
            <w:r w:rsidR="0065289A" w:rsidRPr="00117237">
              <w:rPr>
                <w:bCs/>
              </w:rPr>
              <w:t xml:space="preserve"> and evidence- based frameworks, interviews </w:t>
            </w:r>
            <w:r w:rsidR="005877DB" w:rsidRPr="00117237">
              <w:rPr>
                <w:bCs/>
              </w:rPr>
              <w:t>with</w:t>
            </w:r>
            <w:r w:rsidR="0065289A" w:rsidRPr="00117237">
              <w:rPr>
                <w:bCs/>
              </w:rPr>
              <w:t xml:space="preserve"> Our Watch and TAFE </w:t>
            </w:r>
            <w:r w:rsidR="005877DB" w:rsidRPr="00117237">
              <w:rPr>
                <w:bCs/>
              </w:rPr>
              <w:t>s</w:t>
            </w:r>
            <w:r w:rsidR="0065289A" w:rsidRPr="00117237">
              <w:rPr>
                <w:bCs/>
              </w:rPr>
              <w:t>takeholders, and Our Watch internal project documentation</w:t>
            </w:r>
            <w:r w:rsidR="00F1704F" w:rsidRPr="00117237">
              <w:rPr>
                <w:bCs/>
              </w:rPr>
              <w:t xml:space="preserve">, including </w:t>
            </w:r>
            <w:r w:rsidR="005877DB" w:rsidRPr="00117237">
              <w:rPr>
                <w:bCs/>
              </w:rPr>
              <w:t xml:space="preserve">but not limited to </w:t>
            </w:r>
            <w:r w:rsidR="00F1704F" w:rsidRPr="00117237">
              <w:rPr>
                <w:bCs/>
              </w:rPr>
              <w:t xml:space="preserve">Asana updates, </w:t>
            </w:r>
            <w:r w:rsidR="00751B46" w:rsidRPr="00117237">
              <w:rPr>
                <w:bCs/>
              </w:rPr>
              <w:t xml:space="preserve">case studies and </w:t>
            </w:r>
            <w:r w:rsidR="005877DB" w:rsidRPr="00117237">
              <w:rPr>
                <w:bCs/>
              </w:rPr>
              <w:t xml:space="preserve">records of projects reflections. </w:t>
            </w:r>
          </w:p>
        </w:tc>
      </w:tr>
      <w:tr w:rsidR="00BC7B92" w:rsidRPr="00117237" w14:paraId="7EF9B90E" w14:textId="77777777" w:rsidTr="00BC7B92">
        <w:tc>
          <w:tcPr>
            <w:tcW w:w="4814" w:type="dxa"/>
          </w:tcPr>
          <w:p w14:paraId="3BE8FB52" w14:textId="2020BC1D" w:rsidR="00BC7B92" w:rsidRPr="00117237" w:rsidRDefault="00A220D0" w:rsidP="00BC7B92">
            <w:r w:rsidRPr="00117237">
              <w:t xml:space="preserve">Program impact </w:t>
            </w:r>
          </w:p>
        </w:tc>
        <w:tc>
          <w:tcPr>
            <w:tcW w:w="4814" w:type="dxa"/>
          </w:tcPr>
          <w:p w14:paraId="73FE546C" w14:textId="1799DFAF" w:rsidR="00BC7B92" w:rsidRPr="00117237" w:rsidRDefault="00A220D0" w:rsidP="00BC7B92">
            <w:r w:rsidRPr="00117237">
              <w:t>This section draws on evidence from stakeholder interviews with Our Watch and TAFE stakeholders and documentation from the RET2 project and evaluation teams including but not limited to monthly monitoring and reflection documents, reflections after project events such as working groups, CoPs and Summits and evaluation reflection summaries drafted by the Our Watch evaluation team.</w:t>
            </w:r>
          </w:p>
        </w:tc>
      </w:tr>
      <w:tr w:rsidR="00BC7B92" w:rsidRPr="00117237" w14:paraId="01EB9BDF" w14:textId="77777777" w:rsidTr="00BC7B92">
        <w:tc>
          <w:tcPr>
            <w:tcW w:w="4814" w:type="dxa"/>
          </w:tcPr>
          <w:p w14:paraId="4D3D37A9" w14:textId="265A96D2" w:rsidR="00BC7B92" w:rsidRPr="00117237" w:rsidRDefault="00A220D0" w:rsidP="00BC7B92">
            <w:r w:rsidRPr="00117237">
              <w:t xml:space="preserve">Key learnings and future considerations </w:t>
            </w:r>
          </w:p>
        </w:tc>
        <w:tc>
          <w:tcPr>
            <w:tcW w:w="4814" w:type="dxa"/>
          </w:tcPr>
          <w:p w14:paraId="408D25B0" w14:textId="64AEF59B" w:rsidR="00BC7B92" w:rsidRPr="00117237" w:rsidRDefault="007F0465" w:rsidP="00BC7B92">
            <w:r w:rsidRPr="00117237">
              <w:t xml:space="preserve">This section draws on </w:t>
            </w:r>
            <w:r w:rsidR="00FF4223" w:rsidRPr="00117237">
              <w:t xml:space="preserve">evidence from desktop analysis, </w:t>
            </w:r>
            <w:r w:rsidR="00F0666C" w:rsidRPr="00117237">
              <w:t>stakeholder interviews with Our Watch and TAFE stakeholders</w:t>
            </w:r>
            <w:r w:rsidR="005C740D" w:rsidRPr="00117237">
              <w:t>,</w:t>
            </w:r>
            <w:r w:rsidR="00F0666C" w:rsidRPr="00117237">
              <w:t xml:space="preserve"> and dandolo’s exper</w:t>
            </w:r>
            <w:r w:rsidR="00024DF7" w:rsidRPr="00117237">
              <w:t xml:space="preserve">tise. </w:t>
            </w:r>
          </w:p>
        </w:tc>
      </w:tr>
    </w:tbl>
    <w:p w14:paraId="090A92C6" w14:textId="0BA2B4CF" w:rsidR="00BC7B92" w:rsidRPr="00117237" w:rsidRDefault="00BC7B92" w:rsidP="00BC7B92">
      <w:pPr>
        <w:sectPr w:rsidR="00BC7B92" w:rsidRPr="00117237" w:rsidSect="00BC7B92">
          <w:pgSz w:w="11906" w:h="16838" w:code="9"/>
          <w:pgMar w:top="720" w:right="1134" w:bottom="720" w:left="1134" w:header="567" w:footer="567" w:gutter="0"/>
          <w:cols w:space="708"/>
          <w:docGrid w:linePitch="360"/>
        </w:sectPr>
      </w:pPr>
    </w:p>
    <w:p w14:paraId="7A313B7E" w14:textId="12514206" w:rsidR="00BC7B92" w:rsidRPr="00117237" w:rsidRDefault="00BC7B92" w:rsidP="00671852">
      <w:pPr>
        <w:pStyle w:val="BodyTextAfterBullets"/>
      </w:pPr>
    </w:p>
    <w:p w14:paraId="67D2CB4F" w14:textId="04D4FB3D" w:rsidR="001A029F" w:rsidRPr="00117237" w:rsidRDefault="00D62DCF" w:rsidP="00845F17">
      <w:pPr>
        <w:pStyle w:val="Heading2"/>
        <w:numPr>
          <w:ilvl w:val="0"/>
          <w:numId w:val="0"/>
        </w:numPr>
        <w:ind w:left="567" w:hanging="567"/>
      </w:pPr>
      <w:bookmarkStart w:id="35" w:name="_Toc204168365"/>
      <w:r w:rsidRPr="00117237">
        <w:t xml:space="preserve">Appendix </w:t>
      </w:r>
      <w:r w:rsidR="00BC7B92" w:rsidRPr="00117237">
        <w:t>B</w:t>
      </w:r>
      <w:r w:rsidRPr="00117237">
        <w:t xml:space="preserve">: </w:t>
      </w:r>
      <w:r w:rsidR="001A029F" w:rsidRPr="00117237">
        <w:t>R</w:t>
      </w:r>
      <w:r w:rsidR="00C066A4">
        <w:t xml:space="preserve">espect and </w:t>
      </w:r>
      <w:r w:rsidR="001A029F" w:rsidRPr="00117237">
        <w:t>E</w:t>
      </w:r>
      <w:r w:rsidR="00C066A4">
        <w:t xml:space="preserve">quality in </w:t>
      </w:r>
      <w:r w:rsidR="001A029F" w:rsidRPr="00117237">
        <w:t>T</w:t>
      </w:r>
      <w:r w:rsidR="00C066A4">
        <w:t>AFE</w:t>
      </w:r>
      <w:r w:rsidR="001A029F" w:rsidRPr="00117237">
        <w:t xml:space="preserve"> Framework</w:t>
      </w:r>
      <w:bookmarkEnd w:id="35"/>
    </w:p>
    <w:p w14:paraId="1966798D" w14:textId="3D1FE636" w:rsidR="00043D2E" w:rsidRPr="00117237" w:rsidRDefault="0025565D" w:rsidP="0025565D">
      <w:pPr>
        <w:pStyle w:val="Caption"/>
      </w:pPr>
      <w:bookmarkStart w:id="36" w:name="_Toc204168063"/>
      <w:r>
        <w:t xml:space="preserve">Figure </w:t>
      </w:r>
      <w:fldSimple w:instr=" SEQ Figure \* ARABIC ">
        <w:r w:rsidR="00E3688B">
          <w:rPr>
            <w:noProof/>
          </w:rPr>
          <w:t>9</w:t>
        </w:r>
      </w:fldSimple>
      <w:bookmarkEnd w:id="36"/>
      <w:r w:rsidR="00043D2E" w:rsidRPr="00117237">
        <w:t>: RET Framework</w:t>
      </w:r>
    </w:p>
    <w:p w14:paraId="3FE15B2B" w14:textId="0B7A428F" w:rsidR="0082038C" w:rsidRPr="00117237" w:rsidRDefault="0082038C" w:rsidP="00227A27">
      <w:pPr>
        <w:sectPr w:rsidR="0082038C" w:rsidRPr="00117237" w:rsidSect="001A029F">
          <w:pgSz w:w="16838" w:h="11906" w:orient="landscape" w:code="9"/>
          <w:pgMar w:top="1134" w:right="720" w:bottom="1134" w:left="720" w:header="567" w:footer="567" w:gutter="0"/>
          <w:cols w:space="708"/>
          <w:docGrid w:linePitch="360"/>
        </w:sectPr>
      </w:pPr>
      <w:r w:rsidRPr="00117237">
        <w:rPr>
          <w:noProof/>
        </w:rPr>
        <w:drawing>
          <wp:inline distT="0" distB="0" distL="0" distR="0" wp14:anchorId="625FFD49" wp14:editId="12CDE7DF">
            <wp:extent cx="9358685" cy="4983269"/>
            <wp:effectExtent l="0" t="0" r="0" b="8255"/>
            <wp:docPr id="178170772" name="Picture 12" descr="The image presents a detailed table of the Respect and Equality in TAFE (RET) framework, outlining eight sequential steps for promoting gender equality within TAFE institutions. Each step is represented as a distinct column, with structured rows beneath detailing key activities and relevant supporting resources.&#10;&#10;    The top row labels each stage, starting from connecting staff and aligning objectives, gathering gender equality information, completing a self-assessment, developing action and monitoring plans, establishing partnerships, implementing the action plan, and finally monitoring and revising plans.&#10;&#10;    The activities row provides specific actions for each step, such as forming a taskforce, collecting and reviewing gender data, assessing current practices, planning strategies, setting up partnerships with stakeholders, implementing change, and ongoing review and adaptation.&#10;&#10;    The resources row cites practical tools and guides (e.g., action plan templates, self-assessment tools, monitoring guides) made available by Our Watch to support the process at each stage.&#10;&#10;The table is color-coded for clarity, with systematic alignment across steps to help institutions understand not just what actions to take, but also which resources are available at every point in the RET framework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772" name="Picture 12" descr="The image presents a detailed table of the Respect and Equality in TAFE (RET) framework, outlining eight sequential steps for promoting gender equality within TAFE institutions. Each step is represented as a distinct column, with structured rows beneath detailing key activities and relevant supporting resources.&#10;&#10;    The top row labels each stage, starting from connecting staff and aligning objectives, gathering gender equality information, completing a self-assessment, developing action and monitoring plans, establishing partnerships, implementing the action plan, and finally monitoring and revising plans.&#10;&#10;    The activities row provides specific actions for each step, such as forming a taskforce, collecting and reviewing gender data, assessing current practices, planning strategies, setting up partnerships with stakeholders, implementing change, and ongoing review and adaptation.&#10;&#10;    The resources row cites practical tools and guides (e.g., action plan templates, self-assessment tools, monitoring guides) made available by Our Watch to support the process at each stage.&#10;&#10;The table is color-coded for clarity, with systematic alignment across steps to help institutions understand not just what actions to take, but also which resources are available at every point in the RET framework implement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77482" cy="4993278"/>
                    </a:xfrm>
                    <a:prstGeom prst="rect">
                      <a:avLst/>
                    </a:prstGeom>
                    <a:noFill/>
                  </pic:spPr>
                </pic:pic>
              </a:graphicData>
            </a:graphic>
          </wp:inline>
        </w:drawing>
      </w:r>
    </w:p>
    <w:p w14:paraId="2F0508E3" w14:textId="5E454964" w:rsidR="00FC0C7B" w:rsidRPr="00117237" w:rsidRDefault="00ED24CE" w:rsidP="00845F17">
      <w:pPr>
        <w:pStyle w:val="Heading2"/>
        <w:numPr>
          <w:ilvl w:val="0"/>
          <w:numId w:val="0"/>
        </w:numPr>
        <w:ind w:left="567" w:hanging="567"/>
      </w:pPr>
      <w:bookmarkStart w:id="37" w:name="_Toc204168366"/>
      <w:r w:rsidRPr="00117237">
        <w:lastRenderedPageBreak/>
        <w:t xml:space="preserve">Appendix </w:t>
      </w:r>
      <w:r w:rsidR="00BC7B92" w:rsidRPr="00117237">
        <w:t>C</w:t>
      </w:r>
      <w:r w:rsidRPr="00117237">
        <w:t xml:space="preserve">: </w:t>
      </w:r>
      <w:r w:rsidR="00D12B23" w:rsidRPr="00117237">
        <w:t>T</w:t>
      </w:r>
      <w:r w:rsidR="00286491">
        <w:t xml:space="preserve">heory </w:t>
      </w:r>
      <w:r w:rsidR="00D12B23" w:rsidRPr="00117237">
        <w:t>o</w:t>
      </w:r>
      <w:r w:rsidR="00286491">
        <w:t xml:space="preserve">f </w:t>
      </w:r>
      <w:r w:rsidR="00D12B23" w:rsidRPr="00117237">
        <w:t>C</w:t>
      </w:r>
      <w:r w:rsidR="00286491">
        <w:t>hange (</w:t>
      </w:r>
      <w:proofErr w:type="spellStart"/>
      <w:r w:rsidR="00286491">
        <w:t>ToC</w:t>
      </w:r>
      <w:proofErr w:type="spellEnd"/>
      <w:r w:rsidR="00286491">
        <w:t>)</w:t>
      </w:r>
      <w:bookmarkEnd w:id="37"/>
      <w:r w:rsidRPr="00117237">
        <w:t xml:space="preserve"> </w:t>
      </w:r>
    </w:p>
    <w:p w14:paraId="5A02DB8C" w14:textId="76DB93E2" w:rsidR="00287F89" w:rsidRDefault="00287F89" w:rsidP="008D615E">
      <w:pPr>
        <w:pStyle w:val="Caption"/>
        <w:keepNext/>
      </w:pPr>
      <w:r>
        <w:t xml:space="preserve">Figure </w:t>
      </w:r>
      <w:fldSimple w:instr=" SEQ Figure \* ARABIC ">
        <w:r w:rsidR="00E3688B">
          <w:rPr>
            <w:noProof/>
          </w:rPr>
          <w:t>10</w:t>
        </w:r>
      </w:fldSimple>
      <w:r>
        <w:t>: Theory of Change</w:t>
      </w:r>
    </w:p>
    <w:p w14:paraId="5751EDBA" w14:textId="6AB5896E" w:rsidR="00666503" w:rsidRPr="00117237" w:rsidRDefault="00666503" w:rsidP="00227A27">
      <w:pPr>
        <w:sectPr w:rsidR="00666503" w:rsidRPr="00117237" w:rsidSect="00FC0C7B">
          <w:pgSz w:w="16838" w:h="11906" w:orient="landscape" w:code="9"/>
          <w:pgMar w:top="1134" w:right="720" w:bottom="1134" w:left="720" w:header="567" w:footer="567" w:gutter="0"/>
          <w:cols w:space="708"/>
          <w:docGrid w:linePitch="360"/>
        </w:sectPr>
      </w:pPr>
      <w:r w:rsidRPr="00117237">
        <w:rPr>
          <w:noProof/>
        </w:rPr>
        <w:drawing>
          <wp:inline distT="0" distB="0" distL="0" distR="0" wp14:anchorId="2656F544" wp14:editId="28A268B3">
            <wp:extent cx="9587345" cy="5337859"/>
            <wp:effectExtent l="0" t="0" r="1270" b="0"/>
            <wp:docPr id="825710186" name="Picture 13" descr="This image presents a detailed flowchart illustrating the iterative process for promoting gender equality and preventing violence against women within TAFE (Technical and Further Education) institutions. The chart is divided into distinct phases—Discover (inception), Engage (foundational), Active (short-term), and Lead (medium-term)—with each phase spanning specified timeframes (within 12 months, 6-12 months, within two years, and within five years).&#10;&#10;The process begins with developing internal frameworks and securing TAFE engagement, followed by engaging with changemakers to raise awareness and build commitment. As the flow progresses, outcomes are tracked at both TAFE level and system level, including increased understanding, actions taken on gender equality, and recognition of key roles across stakeholders. The process culminates in medium-term impacts such as changed policies, ongoing financial support, and increased capacity to further gender equality initiatives. At the bottom, a highlighted statement summarises the overall outcome: a greater understanding of effective strategies to support changes in TAFEs for gender equality and violenc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10186" name="Picture 13" descr="This image presents a detailed flowchart illustrating the iterative process for promoting gender equality and preventing violence against women within TAFE (Technical and Further Education) institutions. The chart is divided into distinct phases—Discover (inception), Engage (foundational), Active (short-term), and Lead (medium-term)—with each phase spanning specified timeframes (within 12 months, 6-12 months, within two years, and within five years).&#10;&#10;The process begins with developing internal frameworks and securing TAFE engagement, followed by engaging with changemakers to raise awareness and build commitment. As the flow progresses, outcomes are tracked at both TAFE level and system level, including increased understanding, actions taken on gender equality, and recognition of key roles across stakeholders. The process culminates in medium-term impacts such as changed policies, ongoing financial support, and increased capacity to further gender equality initiatives. At the bottom, a highlighted statement summarises the overall outcome: a greater understanding of effective strategies to support changes in TAFEs for gender equality and violence preven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97959" cy="5343769"/>
                    </a:xfrm>
                    <a:prstGeom prst="rect">
                      <a:avLst/>
                    </a:prstGeom>
                    <a:noFill/>
                  </pic:spPr>
                </pic:pic>
              </a:graphicData>
            </a:graphic>
          </wp:inline>
        </w:drawing>
      </w:r>
    </w:p>
    <w:p w14:paraId="5A24629D" w14:textId="1ABB20EB" w:rsidR="0074096C" w:rsidRPr="00117237" w:rsidRDefault="0074096C" w:rsidP="00845F17">
      <w:pPr>
        <w:pStyle w:val="Heading2"/>
        <w:numPr>
          <w:ilvl w:val="0"/>
          <w:numId w:val="0"/>
        </w:numPr>
        <w:ind w:left="567" w:hanging="567"/>
      </w:pPr>
      <w:bookmarkStart w:id="38" w:name="_Toc204168367"/>
      <w:r w:rsidRPr="00117237">
        <w:lastRenderedPageBreak/>
        <w:t xml:space="preserve">Appendix </w:t>
      </w:r>
      <w:r w:rsidR="00BC7B92" w:rsidRPr="00117237">
        <w:t>D</w:t>
      </w:r>
      <w:r w:rsidRPr="00117237">
        <w:t xml:space="preserve">: </w:t>
      </w:r>
      <w:r w:rsidR="00C066A4" w:rsidRPr="00117237">
        <w:t>R</w:t>
      </w:r>
      <w:r w:rsidR="00C066A4">
        <w:t xml:space="preserve">espect and </w:t>
      </w:r>
      <w:r w:rsidR="00C066A4" w:rsidRPr="00117237">
        <w:t>E</w:t>
      </w:r>
      <w:r w:rsidR="00C066A4">
        <w:t xml:space="preserve">quality in </w:t>
      </w:r>
      <w:r w:rsidR="00C066A4" w:rsidRPr="00117237">
        <w:t>T</w:t>
      </w:r>
      <w:r w:rsidR="00C066A4">
        <w:t>AFE</w:t>
      </w:r>
      <w:r w:rsidR="00C066A4" w:rsidRPr="00117237">
        <w:t xml:space="preserve"> </w:t>
      </w:r>
      <w:r w:rsidRPr="00117237">
        <w:t>2 Project model</w:t>
      </w:r>
      <w:bookmarkEnd w:id="38"/>
      <w:r w:rsidRPr="00117237">
        <w:t xml:space="preserve"> </w:t>
      </w:r>
    </w:p>
    <w:p w14:paraId="21929264" w14:textId="6A6C2704" w:rsidR="00B50F76" w:rsidRPr="00117237" w:rsidRDefault="0025565D" w:rsidP="0025565D">
      <w:pPr>
        <w:pStyle w:val="Caption"/>
        <w:rPr>
          <w:b w:val="0"/>
          <w:iCs w:val="0"/>
          <w:szCs w:val="20"/>
        </w:rPr>
      </w:pPr>
      <w:bookmarkStart w:id="39" w:name="_Toc204168064"/>
      <w:r>
        <w:t xml:space="preserve">Figure </w:t>
      </w:r>
      <w:fldSimple w:instr=" SEQ Figure \* ARABIC ">
        <w:r w:rsidR="00E3688B">
          <w:rPr>
            <w:noProof/>
          </w:rPr>
          <w:t>11</w:t>
        </w:r>
      </w:fldSimple>
      <w:r w:rsidR="005F469B" w:rsidRPr="00117237">
        <w:t>: RET2 Project Model</w:t>
      </w:r>
      <w:bookmarkEnd w:id="39"/>
      <w:r w:rsidR="005050D3" w:rsidRPr="00117237">
        <w:rPr>
          <w:b w:val="0"/>
          <w:iCs w:val="0"/>
          <w:szCs w:val="20"/>
        </w:rPr>
        <w:t xml:space="preserve"> </w:t>
      </w:r>
    </w:p>
    <w:p w14:paraId="15EEAE5A" w14:textId="3A79561F" w:rsidR="002343A4" w:rsidRPr="00117237" w:rsidRDefault="002343A4" w:rsidP="002343A4">
      <w:r w:rsidRPr="00117237">
        <w:rPr>
          <w:noProof/>
        </w:rPr>
        <w:drawing>
          <wp:inline distT="0" distB="0" distL="0" distR="0" wp14:anchorId="1AA71439" wp14:editId="0A7D9B5A">
            <wp:extent cx="9693275" cy="5200650"/>
            <wp:effectExtent l="0" t="0" r="3175" b="0"/>
            <wp:docPr id="2128443510" name="Picture 14" descr="The image shows a structured project workflow table outlining four key phases in the rollout of a gender equality initiative with TAFE (Technical and Further Education) institutions.&#10;&#10;    The Inception / pre-engagement phase section on the left details early activities such as reaching out to government ministers, engaging TAFE staff (including those responsible for leadership and inclusion), refining project frameworks, and planning. It lists specific tasks: developing and signing MOUs (Memoranda of Understanding), meeting stakeholders, mapping gender equality against TAFE priorities, and arranging meetings between CEOs and project leads.&#10;&#10;    The MOU signing column describes the formalization step, including the signing of MOUs and celebratory events at each TAFE to mark this milestone.&#10;&#10;    The Post-MOU signing / engagement phase – Implementation of the framework segment describes regular collaborative activities. This comprises working with TAFE contacts (project leads or sponsors), facilitating working groups to support action plan delivery, running quarterly online Community of Practice (COP) meetings, and holding two national summits. Summits are highlighted separately: Summit 1.0 (a two-day event in Adelaide for five TAFEs) and Summit 2.0 (held in Melbourne, for all TAFEs nationwide).&#10;&#10;    The Project end completion of action plan box, at the far right, marks the conclusion point: each TAFE finalising their gender equality action plan and related project activities.&#10;&#10;The chart uses distinct shaded cells and clear headers to present progression through each stage, emphasizing key tasks, milestones, collaborative mechanisms, and end goals of th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43510" name="Picture 14" descr="The image shows a structured project workflow table outlining four key phases in the rollout of a gender equality initiative with TAFE (Technical and Further Education) institutions.&#10;&#10;    The Inception / pre-engagement phase section on the left details early activities such as reaching out to government ministers, engaging TAFE staff (including those responsible for leadership and inclusion), refining project frameworks, and planning. It lists specific tasks: developing and signing MOUs (Memoranda of Understanding), meeting stakeholders, mapping gender equality against TAFE priorities, and arranging meetings between CEOs and project leads.&#10;&#10;    The MOU signing column describes the formalization step, including the signing of MOUs and celebratory events at each TAFE to mark this milestone.&#10;&#10;    The Post-MOU signing / engagement phase – Implementation of the framework segment describes regular collaborative activities. This comprises working with TAFE contacts (project leads or sponsors), facilitating working groups to support action plan delivery, running quarterly online Community of Practice (COP) meetings, and holding two national summits. Summits are highlighted separately: Summit 1.0 (a two-day event in Adelaide for five TAFEs) and Summit 2.0 (held in Melbourne, for all TAFEs nationwide).&#10;&#10;    The Project end completion of action plan box, at the far right, marks the conclusion point: each TAFE finalising their gender equality action plan and related project activities.&#10;&#10;The chart uses distinct shaded cells and clear headers to present progression through each stage, emphasizing key tasks, milestones, collaborative mechanisms, and end goals of the initiati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93275" cy="5200650"/>
                    </a:xfrm>
                    <a:prstGeom prst="rect">
                      <a:avLst/>
                    </a:prstGeom>
                    <a:noFill/>
                  </pic:spPr>
                </pic:pic>
              </a:graphicData>
            </a:graphic>
          </wp:inline>
        </w:drawing>
      </w:r>
    </w:p>
    <w:p w14:paraId="7BC5EEEE" w14:textId="77777777" w:rsidR="002343A4" w:rsidRPr="00117237" w:rsidRDefault="002343A4" w:rsidP="002343A4"/>
    <w:p w14:paraId="4018A269" w14:textId="172EB571" w:rsidR="00B50F76" w:rsidRPr="00117237" w:rsidRDefault="00B50F76" w:rsidP="00B50F76">
      <w:pPr>
        <w:pStyle w:val="Heading3Normal"/>
        <w:sectPr w:rsidR="00B50F76" w:rsidRPr="00117237" w:rsidSect="00B50F76">
          <w:pgSz w:w="16838" w:h="11906" w:orient="landscape" w:code="9"/>
          <w:pgMar w:top="1134" w:right="720" w:bottom="1134" w:left="720" w:header="567" w:footer="567" w:gutter="0"/>
          <w:cols w:space="708"/>
          <w:docGrid w:linePitch="360"/>
        </w:sectPr>
      </w:pPr>
    </w:p>
    <w:p w14:paraId="78882644" w14:textId="771BFA11" w:rsidR="00435325" w:rsidRPr="00117237" w:rsidRDefault="001A029F" w:rsidP="00845F17">
      <w:pPr>
        <w:pStyle w:val="Heading2"/>
        <w:numPr>
          <w:ilvl w:val="0"/>
          <w:numId w:val="0"/>
        </w:numPr>
        <w:ind w:left="567" w:hanging="567"/>
      </w:pPr>
      <w:bookmarkStart w:id="40" w:name="_Toc204168368"/>
      <w:r w:rsidRPr="00117237">
        <w:lastRenderedPageBreak/>
        <w:t xml:space="preserve">Appendix </w:t>
      </w:r>
      <w:r w:rsidR="00BC7B92" w:rsidRPr="00117237">
        <w:t>E</w:t>
      </w:r>
      <w:r w:rsidR="002A1ABA" w:rsidRPr="00117237">
        <w:t>:</w:t>
      </w:r>
      <w:r w:rsidRPr="00117237">
        <w:t xml:space="preserve"> </w:t>
      </w:r>
      <w:r w:rsidR="00D62DCF" w:rsidRPr="00117237">
        <w:t>Evaluation framework</w:t>
      </w:r>
      <w:bookmarkEnd w:id="40"/>
    </w:p>
    <w:p w14:paraId="4DF16B70" w14:textId="77777777" w:rsidR="006C6AA7" w:rsidRPr="00117237" w:rsidRDefault="006C6AA7" w:rsidP="006C6AA7">
      <w:pPr>
        <w:spacing w:line="276" w:lineRule="auto"/>
      </w:pPr>
      <w:r w:rsidRPr="00117237">
        <w:t>The evaluation of RET2 sets out to answer the following four evaluation questions:</w:t>
      </w:r>
    </w:p>
    <w:p w14:paraId="41B3886C" w14:textId="77777777" w:rsidR="006C6AA7" w:rsidRPr="00117237" w:rsidRDefault="006C6AA7" w:rsidP="00756D65">
      <w:pPr>
        <w:pStyle w:val="ListParagraph"/>
        <w:numPr>
          <w:ilvl w:val="0"/>
          <w:numId w:val="19"/>
        </w:numPr>
        <w:spacing w:line="276" w:lineRule="auto"/>
      </w:pPr>
      <w:r w:rsidRPr="00117237">
        <w:rPr>
          <w:b/>
          <w:bCs/>
        </w:rPr>
        <w:t>Implementation:</w:t>
      </w:r>
      <w:r w:rsidRPr="00117237">
        <w:t xml:space="preserve"> How are we implementing the project, including responding to the different context in each jurisdiction?</w:t>
      </w:r>
    </w:p>
    <w:p w14:paraId="1F855DD2" w14:textId="77777777" w:rsidR="006C6AA7" w:rsidRPr="00117237" w:rsidRDefault="006C6AA7" w:rsidP="00756D65">
      <w:pPr>
        <w:pStyle w:val="ListParagraph"/>
        <w:numPr>
          <w:ilvl w:val="0"/>
          <w:numId w:val="19"/>
        </w:numPr>
        <w:spacing w:line="276" w:lineRule="auto"/>
      </w:pPr>
      <w:r w:rsidRPr="00117237">
        <w:rPr>
          <w:b/>
          <w:bCs/>
        </w:rPr>
        <w:t>Principles:</w:t>
      </w:r>
      <w:r w:rsidRPr="00117237">
        <w:t xml:space="preserve"> How are the project principles influencing project implementation and outcomes? </w:t>
      </w:r>
    </w:p>
    <w:p w14:paraId="5A6CF8CF" w14:textId="77777777" w:rsidR="006C6AA7" w:rsidRPr="00117237" w:rsidRDefault="006C6AA7" w:rsidP="00756D65">
      <w:pPr>
        <w:pStyle w:val="ListParagraph"/>
        <w:numPr>
          <w:ilvl w:val="0"/>
          <w:numId w:val="19"/>
        </w:numPr>
        <w:spacing w:line="276" w:lineRule="auto"/>
      </w:pPr>
      <w:r w:rsidRPr="00117237">
        <w:rPr>
          <w:b/>
          <w:bCs/>
        </w:rPr>
        <w:t>Learning:</w:t>
      </w:r>
      <w:r w:rsidRPr="00117237">
        <w:t xml:space="preserve"> To what extent are we learning about what works to support changes to promote gender equality and prevent violence against women in TAFEs? </w:t>
      </w:r>
    </w:p>
    <w:p w14:paraId="21920DE5" w14:textId="77777777" w:rsidR="006C6AA7" w:rsidRPr="00117237" w:rsidRDefault="006C6AA7" w:rsidP="00756D65">
      <w:pPr>
        <w:pStyle w:val="ListParagraph"/>
        <w:numPr>
          <w:ilvl w:val="0"/>
          <w:numId w:val="19"/>
        </w:numPr>
        <w:spacing w:line="276" w:lineRule="auto"/>
      </w:pPr>
      <w:r w:rsidRPr="00117237">
        <w:rPr>
          <w:b/>
          <w:bCs/>
        </w:rPr>
        <w:t>Changes:</w:t>
      </w:r>
      <w:r w:rsidRPr="00117237">
        <w:t xml:space="preserve"> What type and level of changes are we contributing to?</w:t>
      </w:r>
    </w:p>
    <w:p w14:paraId="7B2BC4DB" w14:textId="77777777" w:rsidR="006C6AA7" w:rsidRPr="00117237" w:rsidRDefault="006C6AA7" w:rsidP="006C6AA7">
      <w:pPr>
        <w:spacing w:line="276" w:lineRule="auto"/>
      </w:pPr>
      <w:r w:rsidRPr="00117237">
        <w:t>Note the ‘we’ in evaluation questions 1 and 2 refer to the Our Watch team who were responsible for project implementation, including the development of the project principles.  The ‘we’ in evaluation questions 3 and 4 refer to the Our Watch project implementation team, as well as the actors the team was working with at TAFE and system levels in each jurisdiction.</w:t>
      </w:r>
    </w:p>
    <w:p w14:paraId="592C0E60" w14:textId="07F0FC4B" w:rsidR="006C6AA7" w:rsidRPr="00117237" w:rsidRDefault="006C6AA7" w:rsidP="006C6AA7">
      <w:pPr>
        <w:spacing w:line="276" w:lineRule="auto"/>
      </w:pPr>
      <w:r w:rsidRPr="00117237">
        <w:t xml:space="preserve">Under each evaluation question are ‘lines of enquiry’ </w:t>
      </w:r>
      <w:r w:rsidR="00DF47A1" w:rsidRPr="00117237">
        <w:t>that were</w:t>
      </w:r>
      <w:r w:rsidRPr="00117237">
        <w:t xml:space="preserve"> explored at both the earlier phases and later phases of the project - see </w:t>
      </w:r>
      <w:r w:rsidR="00C946AC" w:rsidRPr="00117237">
        <w:t xml:space="preserve">Figure </w:t>
      </w:r>
      <w:r w:rsidR="00AB1BCE" w:rsidRPr="00117237">
        <w:t>1</w:t>
      </w:r>
      <w:r w:rsidR="00512F8D">
        <w:t>2</w:t>
      </w:r>
      <w:r w:rsidRPr="00117237">
        <w:t xml:space="preserve"> and </w:t>
      </w:r>
      <w:r w:rsidR="00C946AC" w:rsidRPr="00117237">
        <w:t xml:space="preserve">Figure </w:t>
      </w:r>
      <w:r w:rsidR="00AB1BCE" w:rsidRPr="00117237">
        <w:t>1</w:t>
      </w:r>
      <w:r w:rsidR="00512F8D">
        <w:t>3</w:t>
      </w:r>
      <w:r w:rsidR="00C946AC" w:rsidRPr="00117237">
        <w:t>.</w:t>
      </w:r>
      <w:r w:rsidRPr="00117237">
        <w:t xml:space="preserve"> This structure accounts for the implementation and testing nature of the overall project, and the differing emphasis of project activities and expected changes at different implementation stages. The intention was that what was being explored through the evaluation was tailored to be the most appropriate and useful to the stage of project implementation, with findings from the evaluation being able to inform ongoing refinement and testing of approaches. dandolo </w:t>
      </w:r>
      <w:r w:rsidR="00C946AC" w:rsidRPr="00117237">
        <w:t>explored</w:t>
      </w:r>
      <w:r w:rsidRPr="00117237">
        <w:t xml:space="preserve"> supplementary questions </w:t>
      </w:r>
      <w:r w:rsidR="0084392C" w:rsidRPr="00117237">
        <w:t>to</w:t>
      </w:r>
      <w:r w:rsidRPr="00117237">
        <w:t xml:space="preserve"> answer key evaluation questions, these are listed in </w:t>
      </w:r>
      <w:r w:rsidR="00C946AC" w:rsidRPr="00117237">
        <w:t xml:space="preserve">Figure </w:t>
      </w:r>
      <w:r w:rsidR="00AB1BCE" w:rsidRPr="00117237">
        <w:t>1</w:t>
      </w:r>
      <w:r w:rsidR="00512F8D">
        <w:t>4</w:t>
      </w:r>
      <w:r w:rsidR="00AB1BCE" w:rsidRPr="00117237">
        <w:t>.</w:t>
      </w:r>
    </w:p>
    <w:p w14:paraId="4115DFEE" w14:textId="77777777" w:rsidR="00C946AC" w:rsidRPr="00117237" w:rsidRDefault="00C946AC" w:rsidP="006C6AA7">
      <w:pPr>
        <w:spacing w:line="276" w:lineRule="auto"/>
        <w:sectPr w:rsidR="00C946AC" w:rsidRPr="00117237" w:rsidSect="003368C4">
          <w:pgSz w:w="11906" w:h="16838" w:code="9"/>
          <w:pgMar w:top="720" w:right="1134" w:bottom="720" w:left="1134" w:header="567" w:footer="567" w:gutter="0"/>
          <w:cols w:space="708"/>
          <w:docGrid w:linePitch="360"/>
        </w:sectPr>
      </w:pPr>
    </w:p>
    <w:p w14:paraId="20FC48DA" w14:textId="7241A0C1" w:rsidR="00481C30" w:rsidRPr="00117237" w:rsidRDefault="009D644E" w:rsidP="009D644E">
      <w:pPr>
        <w:pStyle w:val="Caption"/>
      </w:pPr>
      <w:bookmarkStart w:id="41" w:name="_Toc204168065"/>
      <w:r>
        <w:lastRenderedPageBreak/>
        <w:t xml:space="preserve">Figure </w:t>
      </w:r>
      <w:fldSimple w:instr=" SEQ Figure \* ARABIC ">
        <w:r w:rsidR="00E3688B">
          <w:rPr>
            <w:noProof/>
          </w:rPr>
          <w:t>12</w:t>
        </w:r>
      </w:fldSimple>
      <w:r w:rsidR="00481C30" w:rsidRPr="00117237">
        <w:t>: Evaluation questions and lines of inquiry - Earlier Phase of Project</w:t>
      </w:r>
      <w:bookmarkEnd w:id="41"/>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15" w:type="dxa"/>
          <w:bottom w:w="100" w:type="dxa"/>
          <w:right w:w="115" w:type="dxa"/>
        </w:tblCellMar>
        <w:tblLook w:val="0600" w:firstRow="0" w:lastRow="0" w:firstColumn="0" w:lastColumn="0" w:noHBand="1" w:noVBand="1"/>
      </w:tblPr>
      <w:tblGrid>
        <w:gridCol w:w="4063"/>
        <w:gridCol w:w="3107"/>
        <w:gridCol w:w="4469"/>
        <w:gridCol w:w="3849"/>
      </w:tblGrid>
      <w:tr w:rsidR="00C34137" w:rsidRPr="00117237" w14:paraId="0A1F3049" w14:textId="77777777" w:rsidTr="00C46BD3">
        <w:trPr>
          <w:tblHeader/>
        </w:trPr>
        <w:tc>
          <w:tcPr>
            <w:tcW w:w="0" w:type="auto"/>
            <w:shd w:val="clear" w:color="auto" w:fill="931B2F" w:themeFill="background2"/>
            <w:tcMar>
              <w:top w:w="100" w:type="dxa"/>
              <w:left w:w="100" w:type="dxa"/>
              <w:bottom w:w="100" w:type="dxa"/>
              <w:right w:w="100" w:type="dxa"/>
            </w:tcMar>
            <w:vAlign w:val="center"/>
          </w:tcPr>
          <w:p w14:paraId="09839E47" w14:textId="77777777" w:rsidR="00481C30" w:rsidRPr="00117237" w:rsidRDefault="00481C30" w:rsidP="00C46BD3">
            <w:pPr>
              <w:widowControl w:val="0"/>
              <w:spacing w:after="0"/>
              <w:contextualSpacing/>
              <w:jc w:val="center"/>
              <w:rPr>
                <w:b/>
                <w:color w:val="FFFFFF"/>
                <w:szCs w:val="24"/>
              </w:rPr>
            </w:pPr>
            <w:r w:rsidRPr="00117237">
              <w:rPr>
                <w:b/>
                <w:color w:val="FFFFFF"/>
                <w:szCs w:val="24"/>
              </w:rPr>
              <w:t>1. Implementation:</w:t>
            </w:r>
          </w:p>
          <w:p w14:paraId="195BBD6C" w14:textId="77777777" w:rsidR="00481C30" w:rsidRPr="00117237" w:rsidRDefault="00481C30" w:rsidP="00C46BD3">
            <w:pPr>
              <w:widowControl w:val="0"/>
              <w:spacing w:after="0"/>
              <w:contextualSpacing/>
              <w:jc w:val="center"/>
              <w:rPr>
                <w:b/>
                <w:i/>
                <w:color w:val="FFFFFF"/>
                <w:szCs w:val="24"/>
              </w:rPr>
            </w:pPr>
            <w:r w:rsidRPr="00117237">
              <w:rPr>
                <w:b/>
                <w:i/>
                <w:color w:val="FFFFFF"/>
                <w:szCs w:val="24"/>
              </w:rPr>
              <w:t>How are we implementing the project, including responding to the different context in each jurisdiction?</w:t>
            </w:r>
          </w:p>
        </w:tc>
        <w:tc>
          <w:tcPr>
            <w:tcW w:w="0" w:type="auto"/>
            <w:shd w:val="clear" w:color="auto" w:fill="931B2F" w:themeFill="background2"/>
            <w:tcMar>
              <w:top w:w="100" w:type="dxa"/>
              <w:left w:w="100" w:type="dxa"/>
              <w:bottom w:w="100" w:type="dxa"/>
              <w:right w:w="100" w:type="dxa"/>
            </w:tcMar>
            <w:vAlign w:val="center"/>
          </w:tcPr>
          <w:p w14:paraId="6F7E917A" w14:textId="77777777" w:rsidR="00481C30" w:rsidRPr="00117237" w:rsidRDefault="00481C30" w:rsidP="00C46BD3">
            <w:pPr>
              <w:widowControl w:val="0"/>
              <w:spacing w:after="0"/>
              <w:contextualSpacing/>
              <w:jc w:val="center"/>
              <w:rPr>
                <w:b/>
                <w:color w:val="FFFFFF"/>
                <w:szCs w:val="24"/>
              </w:rPr>
            </w:pPr>
            <w:r w:rsidRPr="00117237">
              <w:rPr>
                <w:b/>
                <w:color w:val="FFFFFF" w:themeColor="background1"/>
                <w:szCs w:val="24"/>
              </w:rPr>
              <w:t xml:space="preserve">2. Principles: </w:t>
            </w:r>
          </w:p>
          <w:p w14:paraId="659FECD4" w14:textId="77777777" w:rsidR="00481C30" w:rsidRPr="00117237" w:rsidRDefault="00481C30" w:rsidP="00C46BD3">
            <w:pPr>
              <w:widowControl w:val="0"/>
              <w:spacing w:after="0"/>
              <w:contextualSpacing/>
              <w:jc w:val="center"/>
              <w:rPr>
                <w:b/>
                <w:i/>
                <w:color w:val="FFFFFF"/>
                <w:szCs w:val="24"/>
              </w:rPr>
            </w:pPr>
            <w:r w:rsidRPr="00117237">
              <w:rPr>
                <w:b/>
                <w:i/>
                <w:color w:val="FFFFFF" w:themeColor="background1"/>
                <w:szCs w:val="24"/>
              </w:rPr>
              <w:t>How are the project principles influencing project implementation and outcomes?</w:t>
            </w:r>
          </w:p>
        </w:tc>
        <w:tc>
          <w:tcPr>
            <w:tcW w:w="0" w:type="auto"/>
            <w:shd w:val="clear" w:color="auto" w:fill="931B2F" w:themeFill="background2"/>
            <w:tcMar>
              <w:top w:w="100" w:type="dxa"/>
              <w:left w:w="100" w:type="dxa"/>
              <w:bottom w:w="100" w:type="dxa"/>
              <w:right w:w="100" w:type="dxa"/>
            </w:tcMar>
            <w:vAlign w:val="center"/>
          </w:tcPr>
          <w:p w14:paraId="434D766E" w14:textId="77777777" w:rsidR="00481C30" w:rsidRPr="00117237" w:rsidRDefault="00481C30" w:rsidP="00C46BD3">
            <w:pPr>
              <w:widowControl w:val="0"/>
              <w:pBdr>
                <w:top w:val="nil"/>
                <w:left w:val="nil"/>
                <w:bottom w:val="nil"/>
                <w:right w:val="nil"/>
                <w:between w:val="nil"/>
              </w:pBdr>
              <w:spacing w:after="0"/>
              <w:contextualSpacing/>
              <w:jc w:val="center"/>
              <w:rPr>
                <w:b/>
                <w:color w:val="FFFFFF"/>
                <w:szCs w:val="24"/>
              </w:rPr>
            </w:pPr>
            <w:r w:rsidRPr="00117237">
              <w:rPr>
                <w:b/>
                <w:color w:val="FFFFFF"/>
                <w:szCs w:val="24"/>
              </w:rPr>
              <w:t xml:space="preserve">3. Learning: </w:t>
            </w:r>
          </w:p>
          <w:p w14:paraId="0DC525A4" w14:textId="77777777" w:rsidR="00481C30" w:rsidRPr="00117237" w:rsidRDefault="00481C30" w:rsidP="00C46BD3">
            <w:pPr>
              <w:widowControl w:val="0"/>
              <w:pBdr>
                <w:top w:val="nil"/>
                <w:left w:val="nil"/>
                <w:bottom w:val="nil"/>
                <w:right w:val="nil"/>
                <w:between w:val="nil"/>
              </w:pBdr>
              <w:spacing w:after="0"/>
              <w:contextualSpacing/>
              <w:jc w:val="center"/>
              <w:rPr>
                <w:b/>
                <w:color w:val="FFFFFF"/>
                <w:szCs w:val="24"/>
              </w:rPr>
            </w:pPr>
            <w:r w:rsidRPr="00117237">
              <w:rPr>
                <w:b/>
                <w:i/>
                <w:color w:val="FFFFFF"/>
                <w:szCs w:val="24"/>
              </w:rPr>
              <w:t xml:space="preserve">To what extent are we learning about what works to support changes to promote gender equality and prevent violence against women in TAFEs? </w:t>
            </w:r>
          </w:p>
        </w:tc>
        <w:tc>
          <w:tcPr>
            <w:tcW w:w="0" w:type="auto"/>
            <w:shd w:val="clear" w:color="auto" w:fill="931B2F" w:themeFill="background2"/>
            <w:tcMar>
              <w:top w:w="100" w:type="dxa"/>
              <w:left w:w="100" w:type="dxa"/>
              <w:bottom w:w="100" w:type="dxa"/>
              <w:right w:w="100" w:type="dxa"/>
            </w:tcMar>
            <w:vAlign w:val="center"/>
          </w:tcPr>
          <w:p w14:paraId="5F41C996" w14:textId="77777777" w:rsidR="00481C30" w:rsidRPr="00117237" w:rsidRDefault="00481C30" w:rsidP="00C46BD3">
            <w:pPr>
              <w:widowControl w:val="0"/>
              <w:pBdr>
                <w:top w:val="nil"/>
                <w:left w:val="nil"/>
                <w:bottom w:val="nil"/>
                <w:right w:val="nil"/>
                <w:between w:val="nil"/>
              </w:pBdr>
              <w:spacing w:after="0"/>
              <w:contextualSpacing/>
              <w:jc w:val="center"/>
              <w:rPr>
                <w:b/>
                <w:color w:val="FFFFFF"/>
                <w:szCs w:val="24"/>
              </w:rPr>
            </w:pPr>
            <w:r w:rsidRPr="00117237">
              <w:rPr>
                <w:b/>
                <w:color w:val="FFFFFF"/>
                <w:szCs w:val="24"/>
              </w:rPr>
              <w:t>4. Changes</w:t>
            </w:r>
          </w:p>
          <w:p w14:paraId="79DF647E" w14:textId="77777777" w:rsidR="00481C30" w:rsidRPr="00117237" w:rsidRDefault="00481C30" w:rsidP="00C46BD3">
            <w:pPr>
              <w:widowControl w:val="0"/>
              <w:pBdr>
                <w:top w:val="nil"/>
                <w:left w:val="nil"/>
                <w:bottom w:val="nil"/>
                <w:right w:val="nil"/>
                <w:between w:val="nil"/>
              </w:pBdr>
              <w:spacing w:after="0"/>
              <w:contextualSpacing/>
              <w:jc w:val="center"/>
              <w:rPr>
                <w:b/>
                <w:i/>
                <w:color w:val="FFFFFF"/>
                <w:szCs w:val="24"/>
              </w:rPr>
            </w:pPr>
            <w:r w:rsidRPr="00117237">
              <w:rPr>
                <w:b/>
                <w:i/>
                <w:color w:val="FFFFFF" w:themeColor="background1"/>
                <w:szCs w:val="24"/>
              </w:rPr>
              <w:t>What type and level of changes are we contributing to?</w:t>
            </w:r>
          </w:p>
        </w:tc>
      </w:tr>
      <w:tr w:rsidR="003E0C10" w:rsidRPr="00117237" w14:paraId="19E15499" w14:textId="77777777" w:rsidTr="00C46BD3">
        <w:trPr>
          <w:trHeight w:val="5144"/>
        </w:trPr>
        <w:tc>
          <w:tcPr>
            <w:tcW w:w="0" w:type="auto"/>
            <w:tcMar>
              <w:top w:w="100" w:type="dxa"/>
              <w:left w:w="100" w:type="dxa"/>
              <w:bottom w:w="100" w:type="dxa"/>
              <w:right w:w="100" w:type="dxa"/>
            </w:tcMar>
            <w:vAlign w:val="center"/>
          </w:tcPr>
          <w:p w14:paraId="698C1365" w14:textId="77777777" w:rsidR="00481C30" w:rsidRPr="00117237" w:rsidRDefault="00481C30" w:rsidP="00756D65">
            <w:pPr>
              <w:pStyle w:val="ListBullet"/>
              <w:numPr>
                <w:ilvl w:val="0"/>
                <w:numId w:val="22"/>
              </w:numPr>
              <w:spacing w:after="0"/>
              <w:contextualSpacing/>
            </w:pPr>
            <w:r w:rsidRPr="00117237">
              <w:t>What are the starting conditions for change for each jurisdiction?</w:t>
            </w:r>
          </w:p>
          <w:p w14:paraId="3DD0F058" w14:textId="77777777" w:rsidR="00481C30" w:rsidRPr="00117237" w:rsidRDefault="00481C30" w:rsidP="00756D65">
            <w:pPr>
              <w:pStyle w:val="ListBullet"/>
              <w:numPr>
                <w:ilvl w:val="0"/>
                <w:numId w:val="22"/>
              </w:numPr>
              <w:spacing w:after="0"/>
              <w:contextualSpacing/>
            </w:pPr>
            <w:r w:rsidRPr="00117237">
              <w:t>Which entry points</w:t>
            </w:r>
            <w:r w:rsidRPr="00117237">
              <w:rPr>
                <w:vertAlign w:val="superscript"/>
              </w:rPr>
              <w:footnoteReference w:id="81"/>
            </w:r>
            <w:r w:rsidRPr="00117237">
              <w:t xml:space="preserve">  and levers</w:t>
            </w:r>
            <w:r w:rsidRPr="00117237">
              <w:rPr>
                <w:vertAlign w:val="superscript"/>
              </w:rPr>
              <w:footnoteReference w:id="82"/>
            </w:r>
            <w:r w:rsidRPr="00117237">
              <w:t xml:space="preserve"> have been identified for influencing change at both the TAFE organisational level and the system level?</w:t>
            </w:r>
          </w:p>
          <w:p w14:paraId="13A133F7" w14:textId="77777777" w:rsidR="00481C30" w:rsidRPr="00117237" w:rsidRDefault="00481C30" w:rsidP="00756D65">
            <w:pPr>
              <w:pStyle w:val="ListBullet"/>
              <w:numPr>
                <w:ilvl w:val="0"/>
                <w:numId w:val="22"/>
              </w:numPr>
              <w:spacing w:after="0"/>
              <w:contextualSpacing/>
            </w:pPr>
            <w:r w:rsidRPr="00117237">
              <w:t xml:space="preserve">How is the choice of entry points influencing the way we are working across jurisdictions? </w:t>
            </w:r>
          </w:p>
          <w:p w14:paraId="2A5355F6" w14:textId="77777777" w:rsidR="00481C30" w:rsidRPr="00117237" w:rsidRDefault="00481C30" w:rsidP="00756D65">
            <w:pPr>
              <w:pStyle w:val="ListBullet"/>
              <w:numPr>
                <w:ilvl w:val="0"/>
                <w:numId w:val="22"/>
              </w:numPr>
              <w:spacing w:after="0"/>
              <w:contextualSpacing/>
            </w:pPr>
            <w:r w:rsidRPr="00117237">
              <w:t>How effective has our engagement been with actors at a TAFE and system level?</w:t>
            </w:r>
          </w:p>
          <w:p w14:paraId="5A157FEE" w14:textId="77777777" w:rsidR="00481C30" w:rsidRPr="00117237" w:rsidRDefault="00481C30" w:rsidP="00756D65">
            <w:pPr>
              <w:pStyle w:val="ListBullet"/>
              <w:numPr>
                <w:ilvl w:val="0"/>
                <w:numId w:val="22"/>
              </w:numPr>
              <w:spacing w:after="0"/>
              <w:contextualSpacing/>
            </w:pPr>
            <w:r w:rsidRPr="00117237">
              <w:t xml:space="preserve">What enablers and challenges are emerging for actors at a TAFE and system level, and how are we responding to these? </w:t>
            </w:r>
          </w:p>
          <w:p w14:paraId="05D9A4D5" w14:textId="77777777" w:rsidR="00481C30" w:rsidRPr="00117237" w:rsidRDefault="00481C30" w:rsidP="00756D65">
            <w:pPr>
              <w:pStyle w:val="ListBullet"/>
              <w:numPr>
                <w:ilvl w:val="0"/>
                <w:numId w:val="22"/>
              </w:numPr>
              <w:spacing w:after="0"/>
              <w:contextualSpacing/>
            </w:pPr>
            <w:r w:rsidRPr="00117237">
              <w:t>How can we enhance what is working well, and improve what is not?</w:t>
            </w:r>
          </w:p>
        </w:tc>
        <w:tc>
          <w:tcPr>
            <w:tcW w:w="0" w:type="auto"/>
            <w:tcMar>
              <w:top w:w="100" w:type="dxa"/>
              <w:left w:w="100" w:type="dxa"/>
              <w:bottom w:w="100" w:type="dxa"/>
              <w:right w:w="100" w:type="dxa"/>
            </w:tcMar>
            <w:vAlign w:val="center"/>
          </w:tcPr>
          <w:p w14:paraId="09952AEA" w14:textId="77777777" w:rsidR="00481C30" w:rsidRPr="00117237" w:rsidRDefault="00481C30" w:rsidP="00756D65">
            <w:pPr>
              <w:pStyle w:val="ListBullet"/>
              <w:numPr>
                <w:ilvl w:val="0"/>
                <w:numId w:val="22"/>
              </w:numPr>
              <w:spacing w:after="0"/>
              <w:contextualSpacing/>
              <w:rPr>
                <w:color w:val="000000"/>
              </w:rPr>
            </w:pPr>
            <w:r w:rsidRPr="00117237">
              <w:rPr>
                <w:color w:val="000000"/>
              </w:rPr>
              <w:t>How, and to what extent, are the project principles being applied and ‘showing up’ in the project?</w:t>
            </w:r>
          </w:p>
        </w:tc>
        <w:tc>
          <w:tcPr>
            <w:tcW w:w="0" w:type="auto"/>
            <w:tcMar>
              <w:top w:w="100" w:type="dxa"/>
              <w:left w:w="100" w:type="dxa"/>
              <w:bottom w:w="100" w:type="dxa"/>
              <w:right w:w="100" w:type="dxa"/>
            </w:tcMar>
            <w:vAlign w:val="center"/>
          </w:tcPr>
          <w:p w14:paraId="3A9C1AF1" w14:textId="77777777" w:rsidR="00481C30" w:rsidRPr="00117237" w:rsidRDefault="00481C30" w:rsidP="00756D65">
            <w:pPr>
              <w:pStyle w:val="ListBullet"/>
              <w:numPr>
                <w:ilvl w:val="0"/>
                <w:numId w:val="22"/>
              </w:numPr>
              <w:spacing w:after="0"/>
              <w:contextualSpacing/>
              <w:rPr>
                <w:color w:val="000000"/>
              </w:rPr>
            </w:pPr>
            <w:r w:rsidRPr="00117237">
              <w:rPr>
                <w:color w:val="000000"/>
              </w:rPr>
              <w:t>In what ways have we embedded learning processes across and within jurisdictions for this project?</w:t>
            </w:r>
          </w:p>
          <w:p w14:paraId="11C2516A" w14:textId="77777777" w:rsidR="00481C30" w:rsidRPr="00117237" w:rsidRDefault="00481C30" w:rsidP="00756D65">
            <w:pPr>
              <w:pStyle w:val="ListBullet"/>
              <w:numPr>
                <w:ilvl w:val="0"/>
                <w:numId w:val="22"/>
              </w:numPr>
              <w:spacing w:after="0"/>
              <w:contextualSpacing/>
              <w:rPr>
                <w:color w:val="000000"/>
              </w:rPr>
            </w:pPr>
            <w:r w:rsidRPr="00117237">
              <w:rPr>
                <w:color w:val="000000"/>
              </w:rPr>
              <w:t>How is Our Watch able to use its expertise, learning, tools, resources and prior experience to inform and influence the actions taken by actors at a TAFE and system level?</w:t>
            </w:r>
          </w:p>
          <w:p w14:paraId="66BA1C62" w14:textId="77777777" w:rsidR="00481C30" w:rsidRPr="00117237" w:rsidRDefault="00481C30" w:rsidP="005B7ACC"/>
        </w:tc>
        <w:tc>
          <w:tcPr>
            <w:tcW w:w="0" w:type="auto"/>
            <w:tcMar>
              <w:top w:w="100" w:type="dxa"/>
              <w:left w:w="100" w:type="dxa"/>
              <w:bottom w:w="100" w:type="dxa"/>
              <w:right w:w="100" w:type="dxa"/>
            </w:tcMar>
            <w:vAlign w:val="center"/>
          </w:tcPr>
          <w:p w14:paraId="0CDFC361" w14:textId="77777777" w:rsidR="00481C30" w:rsidRPr="00117237" w:rsidRDefault="00481C30" w:rsidP="00756D65">
            <w:pPr>
              <w:pStyle w:val="ListBullet"/>
              <w:numPr>
                <w:ilvl w:val="0"/>
                <w:numId w:val="22"/>
              </w:numPr>
              <w:spacing w:after="0"/>
              <w:contextualSpacing/>
              <w:rPr>
                <w:color w:val="000000"/>
              </w:rPr>
            </w:pPr>
            <w:r w:rsidRPr="00117237">
              <w:rPr>
                <w:color w:val="000000"/>
              </w:rPr>
              <w:t>To what extent have TAFE leaders, change makers and system actors been able to identify their goals for change during the project?</w:t>
            </w:r>
          </w:p>
          <w:p w14:paraId="7F5729AA" w14:textId="77777777" w:rsidR="00481C30" w:rsidRPr="00117237" w:rsidRDefault="00481C30" w:rsidP="00756D65">
            <w:pPr>
              <w:pStyle w:val="ListBullet"/>
              <w:numPr>
                <w:ilvl w:val="0"/>
                <w:numId w:val="22"/>
              </w:numPr>
              <w:spacing w:after="0"/>
              <w:contextualSpacing/>
              <w:rPr>
                <w:color w:val="000000"/>
              </w:rPr>
            </w:pPr>
            <w:r w:rsidRPr="00117237">
              <w:t xml:space="preserve">To what extent are the </w:t>
            </w:r>
            <w:r w:rsidRPr="00117237">
              <w:rPr>
                <w:color w:val="000000"/>
              </w:rPr>
              <w:t>types of changes identified aligning to particular domains in the RET framework?</w:t>
            </w:r>
          </w:p>
          <w:p w14:paraId="4DE65F42" w14:textId="77777777" w:rsidR="00481C30" w:rsidRPr="00117237" w:rsidRDefault="00481C30" w:rsidP="005B7ACC"/>
        </w:tc>
      </w:tr>
    </w:tbl>
    <w:p w14:paraId="5D95607E" w14:textId="77777777" w:rsidR="00C946AC" w:rsidRPr="00117237" w:rsidRDefault="00C946AC" w:rsidP="006C6AA7">
      <w:pPr>
        <w:spacing w:line="276" w:lineRule="auto"/>
      </w:pPr>
    </w:p>
    <w:p w14:paraId="6DA591B8" w14:textId="77777777" w:rsidR="00481C30" w:rsidRPr="00117237" w:rsidRDefault="00481C30" w:rsidP="006C6AA7">
      <w:pPr>
        <w:spacing w:line="276" w:lineRule="auto"/>
      </w:pPr>
    </w:p>
    <w:p w14:paraId="43358C99" w14:textId="77777777" w:rsidR="009D644E" w:rsidRDefault="009D644E" w:rsidP="009D644E">
      <w:pPr>
        <w:pStyle w:val="Caption"/>
      </w:pPr>
    </w:p>
    <w:p w14:paraId="0A23DFDB" w14:textId="77777777" w:rsidR="009D644E" w:rsidRDefault="009D644E" w:rsidP="009D644E">
      <w:pPr>
        <w:pStyle w:val="Caption"/>
      </w:pPr>
    </w:p>
    <w:p w14:paraId="0F2E126D" w14:textId="77777777" w:rsidR="009D644E" w:rsidRDefault="009D644E" w:rsidP="009D644E">
      <w:pPr>
        <w:pStyle w:val="Caption"/>
      </w:pPr>
    </w:p>
    <w:p w14:paraId="5F5DFC54" w14:textId="25E5A3AB" w:rsidR="0053745E" w:rsidRPr="00117237" w:rsidRDefault="009D644E" w:rsidP="009D644E">
      <w:pPr>
        <w:pStyle w:val="Caption"/>
      </w:pPr>
      <w:bookmarkStart w:id="42" w:name="_Toc204168066"/>
      <w:r>
        <w:lastRenderedPageBreak/>
        <w:t xml:space="preserve">Figure </w:t>
      </w:r>
      <w:fldSimple w:instr=" SEQ Figure \* ARABIC ">
        <w:r w:rsidR="00E3688B">
          <w:rPr>
            <w:noProof/>
          </w:rPr>
          <w:t>13</w:t>
        </w:r>
      </w:fldSimple>
      <w:r w:rsidR="0053745E" w:rsidRPr="00117237">
        <w:t>: Evaluation questions and lines of inquiry - Later Phase of Project</w:t>
      </w:r>
      <w:bookmarkEnd w:id="42"/>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31B2F" w:themeFill="background2"/>
        <w:tblCellMar>
          <w:top w:w="100" w:type="dxa"/>
          <w:left w:w="115" w:type="dxa"/>
          <w:bottom w:w="100" w:type="dxa"/>
          <w:right w:w="115" w:type="dxa"/>
        </w:tblCellMar>
        <w:tblLook w:val="0600" w:firstRow="0" w:lastRow="0" w:firstColumn="0" w:lastColumn="0" w:noHBand="1" w:noVBand="1"/>
      </w:tblPr>
      <w:tblGrid>
        <w:gridCol w:w="4337"/>
        <w:gridCol w:w="2836"/>
        <w:gridCol w:w="3715"/>
        <w:gridCol w:w="4490"/>
      </w:tblGrid>
      <w:tr w:rsidR="00DE6CF6" w:rsidRPr="00117237" w14:paraId="69BAEB8F" w14:textId="77777777" w:rsidTr="00C46BD3">
        <w:trPr>
          <w:trHeight w:val="1600"/>
        </w:trPr>
        <w:tc>
          <w:tcPr>
            <w:tcW w:w="0" w:type="auto"/>
            <w:tcBorders>
              <w:top w:val="single" w:sz="8" w:space="0" w:color="000000"/>
              <w:left w:val="single" w:sz="8" w:space="0" w:color="000000"/>
              <w:bottom w:val="single" w:sz="8" w:space="0" w:color="000000"/>
              <w:right w:val="single" w:sz="8" w:space="0" w:color="000000"/>
            </w:tcBorders>
            <w:shd w:val="clear" w:color="auto" w:fill="931B2F" w:themeFill="background2"/>
            <w:tcMar>
              <w:top w:w="100" w:type="dxa"/>
              <w:left w:w="100" w:type="dxa"/>
              <w:bottom w:w="100" w:type="dxa"/>
              <w:right w:w="100" w:type="dxa"/>
            </w:tcMar>
            <w:vAlign w:val="center"/>
          </w:tcPr>
          <w:p w14:paraId="33A60D70" w14:textId="77777777" w:rsidR="0053745E" w:rsidRPr="00117237" w:rsidRDefault="0053745E" w:rsidP="00C46BD3">
            <w:pPr>
              <w:widowControl w:val="0"/>
              <w:spacing w:after="0"/>
              <w:contextualSpacing/>
              <w:jc w:val="center"/>
              <w:rPr>
                <w:b/>
                <w:color w:val="FFFFFF"/>
                <w:szCs w:val="24"/>
              </w:rPr>
            </w:pPr>
            <w:r w:rsidRPr="00117237">
              <w:rPr>
                <w:b/>
                <w:color w:val="FFFFFF"/>
                <w:szCs w:val="24"/>
              </w:rPr>
              <w:t>1. Implementation:</w:t>
            </w:r>
          </w:p>
          <w:p w14:paraId="045E6340" w14:textId="77777777" w:rsidR="0053745E" w:rsidRPr="00117237" w:rsidRDefault="0053745E" w:rsidP="00C46BD3">
            <w:pPr>
              <w:spacing w:after="0"/>
              <w:contextualSpacing/>
              <w:rPr>
                <w:szCs w:val="24"/>
              </w:rPr>
            </w:pPr>
            <w:r w:rsidRPr="00117237">
              <w:rPr>
                <w:b/>
                <w:i/>
                <w:color w:val="FFFFFF"/>
                <w:szCs w:val="24"/>
              </w:rPr>
              <w:t>How are we implementing the project, including responding to the different context in each jurisdiction?</w:t>
            </w:r>
          </w:p>
        </w:tc>
        <w:tc>
          <w:tcPr>
            <w:tcW w:w="0" w:type="auto"/>
            <w:tcBorders>
              <w:top w:val="single" w:sz="8" w:space="0" w:color="000000"/>
              <w:left w:val="single" w:sz="8" w:space="0" w:color="000000"/>
              <w:bottom w:val="single" w:sz="8" w:space="0" w:color="000000"/>
              <w:right w:val="single" w:sz="8" w:space="0" w:color="000000"/>
            </w:tcBorders>
            <w:shd w:val="clear" w:color="auto" w:fill="931B2F" w:themeFill="background2"/>
            <w:tcMar>
              <w:top w:w="100" w:type="dxa"/>
              <w:left w:w="100" w:type="dxa"/>
              <w:bottom w:w="100" w:type="dxa"/>
              <w:right w:w="100" w:type="dxa"/>
            </w:tcMar>
            <w:vAlign w:val="center"/>
          </w:tcPr>
          <w:p w14:paraId="34122E65" w14:textId="77777777" w:rsidR="0053745E" w:rsidRPr="00117237" w:rsidRDefault="0053745E" w:rsidP="00C46BD3">
            <w:pPr>
              <w:widowControl w:val="0"/>
              <w:spacing w:after="0"/>
              <w:contextualSpacing/>
              <w:jc w:val="center"/>
              <w:rPr>
                <w:b/>
                <w:color w:val="FFFFFF"/>
                <w:szCs w:val="24"/>
              </w:rPr>
            </w:pPr>
            <w:r w:rsidRPr="00117237">
              <w:rPr>
                <w:b/>
                <w:color w:val="FFFFFF" w:themeColor="background1"/>
                <w:szCs w:val="24"/>
              </w:rPr>
              <w:t xml:space="preserve">2. Principles: </w:t>
            </w:r>
          </w:p>
          <w:p w14:paraId="388AAF9C" w14:textId="77777777" w:rsidR="0053745E" w:rsidRPr="00117237" w:rsidRDefault="0053745E" w:rsidP="00C46BD3">
            <w:pPr>
              <w:spacing w:after="0"/>
              <w:contextualSpacing/>
              <w:rPr>
                <w:color w:val="000000"/>
                <w:szCs w:val="24"/>
              </w:rPr>
            </w:pPr>
            <w:r w:rsidRPr="00117237">
              <w:rPr>
                <w:b/>
                <w:i/>
                <w:color w:val="FFFFFF" w:themeColor="background1"/>
                <w:szCs w:val="24"/>
              </w:rPr>
              <w:t>How are the project principles influencing project implementation and outcomes?</w:t>
            </w:r>
          </w:p>
        </w:tc>
        <w:tc>
          <w:tcPr>
            <w:tcW w:w="0" w:type="auto"/>
            <w:tcBorders>
              <w:top w:val="single" w:sz="8" w:space="0" w:color="000000"/>
              <w:left w:val="single" w:sz="8" w:space="0" w:color="000000"/>
              <w:bottom w:val="single" w:sz="8" w:space="0" w:color="000000"/>
              <w:right w:val="single" w:sz="8" w:space="0" w:color="000000"/>
            </w:tcBorders>
            <w:shd w:val="clear" w:color="auto" w:fill="931B2F" w:themeFill="background2"/>
            <w:tcMar>
              <w:top w:w="100" w:type="dxa"/>
              <w:left w:w="100" w:type="dxa"/>
              <w:bottom w:w="100" w:type="dxa"/>
              <w:right w:w="100" w:type="dxa"/>
            </w:tcMar>
            <w:vAlign w:val="center"/>
          </w:tcPr>
          <w:p w14:paraId="3B7FC21F" w14:textId="77777777" w:rsidR="0053745E" w:rsidRPr="00117237" w:rsidRDefault="0053745E" w:rsidP="00C46BD3">
            <w:pPr>
              <w:widowControl w:val="0"/>
              <w:pBdr>
                <w:top w:val="nil"/>
                <w:left w:val="nil"/>
                <w:bottom w:val="nil"/>
                <w:right w:val="nil"/>
                <w:between w:val="nil"/>
              </w:pBdr>
              <w:spacing w:after="0"/>
              <w:contextualSpacing/>
              <w:jc w:val="center"/>
              <w:rPr>
                <w:b/>
                <w:color w:val="FFFFFF"/>
                <w:szCs w:val="24"/>
              </w:rPr>
            </w:pPr>
            <w:r w:rsidRPr="00117237">
              <w:rPr>
                <w:b/>
                <w:color w:val="FFFFFF"/>
                <w:szCs w:val="24"/>
              </w:rPr>
              <w:t xml:space="preserve">3. Learning: </w:t>
            </w:r>
          </w:p>
          <w:p w14:paraId="2F46FFEC" w14:textId="77777777" w:rsidR="0053745E" w:rsidRPr="00117237" w:rsidRDefault="0053745E" w:rsidP="00C46BD3">
            <w:pPr>
              <w:spacing w:after="0"/>
              <w:contextualSpacing/>
              <w:rPr>
                <w:color w:val="000000"/>
                <w:szCs w:val="24"/>
              </w:rPr>
            </w:pPr>
            <w:r w:rsidRPr="00117237">
              <w:rPr>
                <w:b/>
                <w:i/>
                <w:color w:val="FFFFFF"/>
                <w:szCs w:val="24"/>
              </w:rPr>
              <w:t xml:space="preserve">To what extent are we learning about what works to support changes to promote gender equality and prevent violence against women in TAFEs? </w:t>
            </w:r>
          </w:p>
        </w:tc>
        <w:tc>
          <w:tcPr>
            <w:tcW w:w="0" w:type="auto"/>
            <w:tcBorders>
              <w:top w:val="single" w:sz="8" w:space="0" w:color="000000"/>
              <w:left w:val="single" w:sz="8" w:space="0" w:color="000000"/>
              <w:bottom w:val="single" w:sz="8" w:space="0" w:color="000000"/>
              <w:right w:val="single" w:sz="8" w:space="0" w:color="000000"/>
            </w:tcBorders>
            <w:shd w:val="clear" w:color="auto" w:fill="931B2F" w:themeFill="background2"/>
            <w:tcMar>
              <w:top w:w="100" w:type="dxa"/>
              <w:left w:w="100" w:type="dxa"/>
              <w:bottom w:w="100" w:type="dxa"/>
              <w:right w:w="100" w:type="dxa"/>
            </w:tcMar>
            <w:vAlign w:val="center"/>
          </w:tcPr>
          <w:p w14:paraId="51D4C059" w14:textId="77777777" w:rsidR="0053745E" w:rsidRPr="00117237" w:rsidRDefault="0053745E" w:rsidP="00C46BD3">
            <w:pPr>
              <w:widowControl w:val="0"/>
              <w:pBdr>
                <w:top w:val="nil"/>
                <w:left w:val="nil"/>
                <w:bottom w:val="nil"/>
                <w:right w:val="nil"/>
                <w:between w:val="nil"/>
              </w:pBdr>
              <w:spacing w:after="0"/>
              <w:contextualSpacing/>
              <w:jc w:val="center"/>
              <w:rPr>
                <w:b/>
                <w:color w:val="FFFFFF"/>
                <w:szCs w:val="24"/>
              </w:rPr>
            </w:pPr>
            <w:r w:rsidRPr="00117237">
              <w:rPr>
                <w:b/>
                <w:color w:val="FFFFFF"/>
                <w:szCs w:val="24"/>
              </w:rPr>
              <w:t>4. Changes</w:t>
            </w:r>
          </w:p>
          <w:p w14:paraId="69E3F856" w14:textId="77777777" w:rsidR="0053745E" w:rsidRPr="00117237" w:rsidRDefault="0053745E" w:rsidP="00C46BD3">
            <w:pPr>
              <w:spacing w:after="0"/>
              <w:contextualSpacing/>
              <w:rPr>
                <w:color w:val="000000"/>
                <w:szCs w:val="24"/>
              </w:rPr>
            </w:pPr>
            <w:r w:rsidRPr="00117237">
              <w:rPr>
                <w:b/>
                <w:i/>
                <w:color w:val="FFFFFF" w:themeColor="background1"/>
                <w:szCs w:val="24"/>
              </w:rPr>
              <w:t>What type and level of changes are we contributing to?</w:t>
            </w:r>
          </w:p>
        </w:tc>
      </w:tr>
      <w:tr w:rsidR="00DE6CF6" w:rsidRPr="00117237" w14:paraId="30CA5277" w14:textId="77777777">
        <w:trPr>
          <w:trHeight w:val="48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BB181" w14:textId="77777777" w:rsidR="0053745E" w:rsidRPr="00117237" w:rsidRDefault="0053745E" w:rsidP="004C6847">
            <w:pPr>
              <w:pStyle w:val="ListBullet"/>
              <w:spacing w:after="0"/>
              <w:ind w:left="714"/>
              <w:contextualSpacing/>
            </w:pPr>
            <w:r w:rsidRPr="00117237">
              <w:t xml:space="preserve">To what extent are we responding and adapting the way we work, including how we support the implementation of the RET framework, to the RET framework and the way we work to differing contexts </w:t>
            </w:r>
          </w:p>
          <w:p w14:paraId="6705728F" w14:textId="77777777" w:rsidR="0053745E" w:rsidRPr="00117237" w:rsidRDefault="0053745E" w:rsidP="004C6847">
            <w:pPr>
              <w:pStyle w:val="ListBullet"/>
              <w:spacing w:after="0"/>
              <w:ind w:left="714"/>
              <w:contextualSpacing/>
            </w:pPr>
            <w:r w:rsidRPr="00117237">
              <w:t>To what extent, and in what ways is Our Watch supporting TAFEs to achieve their goals?</w:t>
            </w:r>
          </w:p>
          <w:p w14:paraId="5708C9D7" w14:textId="77777777" w:rsidR="0053745E" w:rsidRPr="00117237" w:rsidRDefault="0053745E" w:rsidP="004C6847">
            <w:pPr>
              <w:pStyle w:val="ListBullet"/>
              <w:spacing w:after="0"/>
              <w:ind w:left="714"/>
              <w:contextualSpacing/>
            </w:pPr>
            <w:r w:rsidRPr="00117237">
              <w:t>What about the implementation process is appearing the most effective, for whom and why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341A8B" w14:textId="77777777" w:rsidR="0053745E" w:rsidRPr="00117237" w:rsidRDefault="0053745E" w:rsidP="004C6847">
            <w:pPr>
              <w:pStyle w:val="ListBullet"/>
              <w:ind w:left="714"/>
            </w:pPr>
            <w:r w:rsidRPr="00117237">
              <w:t>To what extent are the project principles contributing to the changes being seen in the project?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EB0D60" w14:textId="77777777" w:rsidR="0053745E" w:rsidRPr="00117237" w:rsidRDefault="0053745E" w:rsidP="004C6847">
            <w:pPr>
              <w:pStyle w:val="ListBullet"/>
              <w:spacing w:after="0"/>
              <w:ind w:left="714"/>
              <w:contextualSpacing/>
              <w:rPr>
                <w:color w:val="000000"/>
              </w:rPr>
            </w:pPr>
            <w:r w:rsidRPr="00117237">
              <w:rPr>
                <w:color w:val="000000"/>
              </w:rPr>
              <w:t>What are we learning about what it takes to create and sustain engagement with actors at a TAFE and system level?</w:t>
            </w:r>
          </w:p>
          <w:p w14:paraId="786D15A1" w14:textId="77777777" w:rsidR="0053745E" w:rsidRPr="00117237" w:rsidRDefault="0053745E" w:rsidP="004C6847">
            <w:pPr>
              <w:pStyle w:val="ListBullet"/>
              <w:spacing w:after="0"/>
              <w:ind w:left="714"/>
              <w:contextualSpacing/>
              <w:rPr>
                <w:color w:val="000000"/>
              </w:rPr>
            </w:pPr>
            <w:r w:rsidRPr="00117237">
              <w:rPr>
                <w:color w:val="000000"/>
              </w:rPr>
              <w:t xml:space="preserve">What approaches are working best to support changes in TAFEs to promote gender equality and prevent violence against women? (within and across jurisdictions) </w:t>
            </w:r>
          </w:p>
          <w:p w14:paraId="0BE3C823" w14:textId="77777777" w:rsidR="0053745E" w:rsidRPr="00117237" w:rsidRDefault="0053745E" w:rsidP="004C6847">
            <w:pPr>
              <w:pStyle w:val="ListBullet"/>
              <w:spacing w:after="0"/>
              <w:ind w:left="714"/>
              <w:contextualSpacing/>
              <w:rPr>
                <w:color w:val="000000"/>
              </w:rPr>
            </w:pPr>
            <w:r w:rsidRPr="00117237">
              <w:rPr>
                <w:color w:val="000000"/>
              </w:rPr>
              <w:t>How, if at all, do these successful approaches align with the whole-of-organisation approach outlined in the RET framework?</w:t>
            </w:r>
          </w:p>
          <w:p w14:paraId="3C81A9ED" w14:textId="77777777" w:rsidR="0053745E" w:rsidRPr="00117237" w:rsidRDefault="0053745E" w:rsidP="004C6847">
            <w:pPr>
              <w:pStyle w:val="ListBullet"/>
              <w:spacing w:after="0"/>
              <w:ind w:left="714"/>
              <w:contextualSpacing/>
              <w:rPr>
                <w:color w:val="000000"/>
              </w:rPr>
            </w:pPr>
            <w:r w:rsidRPr="00117237">
              <w:rPr>
                <w:color w:val="000000"/>
              </w:rPr>
              <w:t>What approaches haven’t been working, and why?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60C050" w14:textId="77777777" w:rsidR="0053745E" w:rsidRPr="00117237" w:rsidRDefault="0053745E" w:rsidP="004C6847">
            <w:pPr>
              <w:pStyle w:val="ListBullet"/>
              <w:spacing w:after="0"/>
              <w:ind w:left="714"/>
              <w:contextualSpacing/>
              <w:rPr>
                <w:color w:val="000000"/>
              </w:rPr>
            </w:pPr>
            <w:r w:rsidRPr="00117237">
              <w:rPr>
                <w:color w:val="000000"/>
              </w:rPr>
              <w:t xml:space="preserve">How do TAFE leaders, change makers and system actors understand their role in promoting gender equality and preventing violence against women at TAFE, and has this changed since the start of the project? </w:t>
            </w:r>
          </w:p>
          <w:p w14:paraId="7BBEA762" w14:textId="77777777" w:rsidR="0053745E" w:rsidRPr="00117237" w:rsidRDefault="0053745E" w:rsidP="004C6847">
            <w:pPr>
              <w:pStyle w:val="ListBullet"/>
              <w:spacing w:after="0"/>
              <w:ind w:left="714"/>
              <w:contextualSpacing/>
              <w:rPr>
                <w:color w:val="000000"/>
              </w:rPr>
            </w:pPr>
            <w:r w:rsidRPr="00117237">
              <w:rPr>
                <w:color w:val="000000"/>
              </w:rPr>
              <w:t xml:space="preserve">To what extent have the engaged TAFEs been successful in achieving their goals for change during the project? </w:t>
            </w:r>
          </w:p>
          <w:p w14:paraId="5C285123" w14:textId="77777777" w:rsidR="0053745E" w:rsidRPr="00117237" w:rsidRDefault="0053745E" w:rsidP="004C6847">
            <w:pPr>
              <w:pStyle w:val="ListBullet"/>
              <w:spacing w:after="0"/>
              <w:ind w:left="714"/>
              <w:contextualSpacing/>
              <w:rPr>
                <w:color w:val="000000"/>
              </w:rPr>
            </w:pPr>
            <w:r w:rsidRPr="00117237">
              <w:rPr>
                <w:color w:val="000000"/>
              </w:rPr>
              <w:t xml:space="preserve">What enabled or prevented these goals being achieved? </w:t>
            </w:r>
          </w:p>
          <w:p w14:paraId="11BD9358" w14:textId="77777777" w:rsidR="0053745E" w:rsidRPr="00117237" w:rsidRDefault="0053745E" w:rsidP="004C6847">
            <w:pPr>
              <w:pStyle w:val="ListBullet"/>
              <w:spacing w:after="0"/>
              <w:ind w:left="714"/>
              <w:contextualSpacing/>
              <w:rPr>
                <w:color w:val="000000"/>
              </w:rPr>
            </w:pPr>
            <w:r w:rsidRPr="00117237">
              <w:rPr>
                <w:color w:val="000000"/>
              </w:rPr>
              <w:t xml:space="preserve">What (if any) evidence is there that the engaged actors at a TAFE and system level will be able to sustain their commitment to promote gender equality and prevent violence against women in TAFEs beyond the end of the project? </w:t>
            </w:r>
          </w:p>
        </w:tc>
      </w:tr>
    </w:tbl>
    <w:p w14:paraId="7F62530E" w14:textId="77777777" w:rsidR="00481C30" w:rsidRPr="00117237" w:rsidRDefault="00481C30" w:rsidP="006C6AA7">
      <w:pPr>
        <w:spacing w:line="276" w:lineRule="auto"/>
      </w:pPr>
    </w:p>
    <w:p w14:paraId="3801917E" w14:textId="77777777" w:rsidR="0053745E" w:rsidRPr="00117237" w:rsidRDefault="0053745E" w:rsidP="006C6AA7">
      <w:pPr>
        <w:spacing w:line="276" w:lineRule="auto"/>
      </w:pPr>
    </w:p>
    <w:p w14:paraId="2C9736E7" w14:textId="756F64CC" w:rsidR="0053745E" w:rsidRPr="00117237" w:rsidRDefault="00902861">
      <w:pPr>
        <w:spacing w:after="240"/>
      </w:pPr>
      <w:r w:rsidRPr="00117237">
        <w:br w:type="page"/>
      </w:r>
    </w:p>
    <w:p w14:paraId="4D7AD6F3" w14:textId="77777777" w:rsidR="0053745E" w:rsidRPr="00117237" w:rsidRDefault="0053745E" w:rsidP="006C6AA7">
      <w:pPr>
        <w:spacing w:line="276" w:lineRule="auto"/>
      </w:pPr>
    </w:p>
    <w:p w14:paraId="6E5F9DA4" w14:textId="745BDE9D" w:rsidR="00332CA9" w:rsidRPr="00117237" w:rsidRDefault="009D644E" w:rsidP="009D644E">
      <w:pPr>
        <w:pStyle w:val="Caption"/>
      </w:pPr>
      <w:bookmarkStart w:id="43" w:name="_Toc204168067"/>
      <w:r>
        <w:t xml:space="preserve">Figure </w:t>
      </w:r>
      <w:fldSimple w:instr=" SEQ Figure \* ARABIC ">
        <w:r w:rsidR="00E3688B">
          <w:rPr>
            <w:noProof/>
          </w:rPr>
          <w:t>14</w:t>
        </w:r>
      </w:fldSimple>
      <w:r w:rsidR="00332CA9" w:rsidRPr="00117237">
        <w:t>: Supplemental evaluation questions</w:t>
      </w:r>
      <w:bookmarkEnd w:id="43"/>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31B2F" w:themeFill="background2"/>
        <w:tblCellMar>
          <w:top w:w="100" w:type="dxa"/>
          <w:left w:w="115" w:type="dxa"/>
          <w:bottom w:w="100" w:type="dxa"/>
          <w:right w:w="115" w:type="dxa"/>
        </w:tblCellMar>
        <w:tblLook w:val="0600" w:firstRow="0" w:lastRow="0" w:firstColumn="0" w:lastColumn="0" w:noHBand="1" w:noVBand="1"/>
      </w:tblPr>
      <w:tblGrid>
        <w:gridCol w:w="6019"/>
        <w:gridCol w:w="4511"/>
        <w:gridCol w:w="4848"/>
      </w:tblGrid>
      <w:tr w:rsidR="00332CA9" w:rsidRPr="00117237" w14:paraId="1239814E" w14:textId="77777777" w:rsidTr="00D2371E">
        <w:trPr>
          <w:trHeight w:val="310"/>
        </w:trPr>
        <w:tc>
          <w:tcPr>
            <w:tcW w:w="0" w:type="auto"/>
            <w:tcBorders>
              <w:top w:val="single" w:sz="8" w:space="0" w:color="000000"/>
              <w:left w:val="single" w:sz="8" w:space="0" w:color="000000"/>
              <w:bottom w:val="single" w:sz="8" w:space="0" w:color="000000"/>
              <w:right w:val="single" w:sz="8" w:space="0" w:color="000000"/>
            </w:tcBorders>
            <w:shd w:val="clear" w:color="auto" w:fill="931B2F" w:themeFill="background2"/>
            <w:tcMar>
              <w:top w:w="100" w:type="dxa"/>
              <w:left w:w="100" w:type="dxa"/>
              <w:bottom w:w="100" w:type="dxa"/>
              <w:right w:w="100" w:type="dxa"/>
            </w:tcMar>
            <w:vAlign w:val="center"/>
          </w:tcPr>
          <w:p w14:paraId="6A76E640" w14:textId="12BCE486" w:rsidR="00332CA9" w:rsidRPr="00117237" w:rsidRDefault="00741D24" w:rsidP="00C46BD3">
            <w:pPr>
              <w:pStyle w:val="BodyTextAfterBullets"/>
              <w:spacing w:before="0" w:after="0" w:line="240" w:lineRule="auto"/>
              <w:rPr>
                <w:b/>
                <w:color w:val="FFFFFF" w:themeColor="background1"/>
                <w:sz w:val="22"/>
              </w:rPr>
            </w:pPr>
            <w:r w:rsidRPr="00117237">
              <w:rPr>
                <w:b/>
                <w:color w:val="FFFFFF" w:themeColor="background1"/>
                <w:sz w:val="22"/>
              </w:rPr>
              <w:t xml:space="preserve">Design </w:t>
            </w:r>
          </w:p>
        </w:tc>
        <w:tc>
          <w:tcPr>
            <w:tcW w:w="0" w:type="auto"/>
            <w:tcBorders>
              <w:top w:val="single" w:sz="8" w:space="0" w:color="000000"/>
              <w:left w:val="single" w:sz="8" w:space="0" w:color="000000"/>
              <w:bottom w:val="single" w:sz="8" w:space="0" w:color="000000"/>
              <w:right w:val="single" w:sz="8" w:space="0" w:color="000000"/>
            </w:tcBorders>
            <w:shd w:val="clear" w:color="auto" w:fill="931B2F" w:themeFill="background2"/>
            <w:tcMar>
              <w:top w:w="100" w:type="dxa"/>
              <w:left w:w="100" w:type="dxa"/>
              <w:bottom w:w="100" w:type="dxa"/>
              <w:right w:w="100" w:type="dxa"/>
            </w:tcMar>
            <w:vAlign w:val="center"/>
          </w:tcPr>
          <w:p w14:paraId="456A0A60" w14:textId="08CEADBB" w:rsidR="00332CA9" w:rsidRPr="00117237" w:rsidRDefault="00D2371E" w:rsidP="00C46BD3">
            <w:pPr>
              <w:spacing w:after="0"/>
              <w:rPr>
                <w:color w:val="FFFFFF" w:themeColor="background1"/>
                <w:szCs w:val="24"/>
              </w:rPr>
            </w:pPr>
            <w:r w:rsidRPr="00117237">
              <w:rPr>
                <w:b/>
                <w:color w:val="FFFFFF" w:themeColor="background1"/>
                <w:szCs w:val="24"/>
              </w:rPr>
              <w:t xml:space="preserve">Implementation </w:t>
            </w:r>
          </w:p>
        </w:tc>
        <w:tc>
          <w:tcPr>
            <w:tcW w:w="0" w:type="auto"/>
            <w:tcBorders>
              <w:top w:val="single" w:sz="8" w:space="0" w:color="000000"/>
              <w:left w:val="single" w:sz="8" w:space="0" w:color="000000"/>
              <w:bottom w:val="single" w:sz="8" w:space="0" w:color="000000"/>
              <w:right w:val="single" w:sz="8" w:space="0" w:color="000000"/>
            </w:tcBorders>
            <w:shd w:val="clear" w:color="auto" w:fill="931B2F" w:themeFill="background2"/>
            <w:tcMar>
              <w:top w:w="100" w:type="dxa"/>
              <w:left w:w="100" w:type="dxa"/>
              <w:bottom w:w="100" w:type="dxa"/>
              <w:right w:w="100" w:type="dxa"/>
            </w:tcMar>
            <w:vAlign w:val="center"/>
          </w:tcPr>
          <w:p w14:paraId="3C59FE05" w14:textId="2CA0FCA5" w:rsidR="00332CA9" w:rsidRPr="00117237" w:rsidRDefault="00D2371E" w:rsidP="00C46BD3">
            <w:pPr>
              <w:spacing w:after="0"/>
              <w:rPr>
                <w:color w:val="000000"/>
                <w:szCs w:val="24"/>
              </w:rPr>
            </w:pPr>
            <w:r w:rsidRPr="00117237">
              <w:rPr>
                <w:b/>
                <w:color w:val="FFFFFF"/>
                <w:szCs w:val="22"/>
              </w:rPr>
              <w:t>Measures</w:t>
            </w:r>
            <w:r w:rsidR="00DE2F3F" w:rsidRPr="00117237">
              <w:rPr>
                <w:b/>
                <w:color w:val="FFFFFF"/>
                <w:szCs w:val="22"/>
              </w:rPr>
              <w:t xml:space="preserve"> </w:t>
            </w:r>
            <w:r w:rsidRPr="00117237">
              <w:rPr>
                <w:b/>
                <w:color w:val="FFFFFF"/>
                <w:szCs w:val="22"/>
              </w:rPr>
              <w:t>/</w:t>
            </w:r>
            <w:r w:rsidR="00DE2F3F" w:rsidRPr="00117237">
              <w:rPr>
                <w:b/>
                <w:color w:val="FFFFFF"/>
                <w:szCs w:val="22"/>
              </w:rPr>
              <w:t xml:space="preserve"> </w:t>
            </w:r>
            <w:r w:rsidRPr="00117237">
              <w:rPr>
                <w:b/>
                <w:color w:val="FFFFFF"/>
                <w:szCs w:val="22"/>
              </w:rPr>
              <w:t>output</w:t>
            </w:r>
            <w:r w:rsidR="00DE2F3F" w:rsidRPr="00117237">
              <w:rPr>
                <w:b/>
                <w:color w:val="FFFFFF"/>
                <w:szCs w:val="22"/>
              </w:rPr>
              <w:t>s</w:t>
            </w:r>
          </w:p>
        </w:tc>
      </w:tr>
      <w:tr w:rsidR="00332CA9" w:rsidRPr="00117237" w14:paraId="78D7CE2C" w14:textId="77777777">
        <w:trPr>
          <w:trHeight w:val="48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A6ABB1" w14:textId="77777777" w:rsidR="00343A3B" w:rsidRPr="00117237" w:rsidRDefault="00343A3B" w:rsidP="00462C12">
            <w:pPr>
              <w:pStyle w:val="ListBullet"/>
              <w:spacing w:after="0"/>
            </w:pPr>
            <w:r w:rsidRPr="00117237">
              <w:t>Was there a clear problem definition, and was the project designed to address the identified gaps?</w:t>
            </w:r>
          </w:p>
          <w:p w14:paraId="3A159505" w14:textId="77777777" w:rsidR="00343A3B" w:rsidRPr="00117237" w:rsidRDefault="00343A3B" w:rsidP="00462C12">
            <w:pPr>
              <w:pStyle w:val="ListBullet"/>
              <w:spacing w:after="0"/>
            </w:pPr>
            <w:r w:rsidRPr="00117237">
              <w:t>Was the project designed in line with evidence and best practice?</w:t>
            </w:r>
          </w:p>
          <w:p w14:paraId="6902B3FC" w14:textId="77777777" w:rsidR="00343A3B" w:rsidRPr="00117237" w:rsidRDefault="00343A3B" w:rsidP="00462C12">
            <w:pPr>
              <w:pStyle w:val="ListBullet"/>
              <w:spacing w:after="0"/>
            </w:pPr>
            <w:r w:rsidRPr="00117237">
              <w:t>Was the RET2 project designed to enable the localisation of the RET framework?</w:t>
            </w:r>
          </w:p>
          <w:p w14:paraId="27BFBC37" w14:textId="77777777" w:rsidR="00343A3B" w:rsidRPr="00117237" w:rsidRDefault="00343A3B" w:rsidP="00462C12">
            <w:pPr>
              <w:pStyle w:val="ListBullet"/>
              <w:spacing w:after="0"/>
            </w:pPr>
            <w:r w:rsidRPr="00117237">
              <w:t>How were stakeholders engaged appropriately in the design of the RET framework?</w:t>
            </w:r>
          </w:p>
          <w:p w14:paraId="01A45284" w14:textId="77777777" w:rsidR="00343A3B" w:rsidRPr="00117237" w:rsidRDefault="00343A3B" w:rsidP="00462C12">
            <w:pPr>
              <w:pStyle w:val="ListBullet"/>
              <w:spacing w:after="0"/>
            </w:pPr>
            <w:r w:rsidRPr="00117237">
              <w:t>Was the project designed to include appropriate governance and reporting arrangements?</w:t>
            </w:r>
          </w:p>
          <w:p w14:paraId="17FE3ED7" w14:textId="77777777" w:rsidR="00343A3B" w:rsidRPr="00117237" w:rsidRDefault="00343A3B" w:rsidP="00462C12">
            <w:pPr>
              <w:pStyle w:val="ListBullet"/>
              <w:spacing w:after="0"/>
            </w:pPr>
            <w:r w:rsidRPr="00117237">
              <w:t>Did the design of the RET2 project consider and plan for the capacity and readiness of TAFEs and system actors to effectively engage with and implement the RET framework?</w:t>
            </w:r>
          </w:p>
          <w:p w14:paraId="1B49D2CD" w14:textId="0CAD7C2B" w:rsidR="00332CA9" w:rsidRPr="00117237" w:rsidRDefault="00343A3B" w:rsidP="00462C12">
            <w:pPr>
              <w:pStyle w:val="ListBullet"/>
              <w:spacing w:after="0"/>
            </w:pPr>
            <w:r w:rsidRPr="00117237">
              <w:t>Were there appropriate mechanisms in place for monitoring and adapting the design throughout the project?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8D2F7B" w14:textId="77777777" w:rsidR="00462AC4" w:rsidRPr="00117237" w:rsidRDefault="00462AC4" w:rsidP="00462C12">
            <w:pPr>
              <w:pStyle w:val="ListBullet"/>
              <w:spacing w:after="0"/>
            </w:pPr>
            <w:r w:rsidRPr="00117237">
              <w:t>How was the project implemented in practice, and did it stay within the planned budget, time, and scope?</w:t>
            </w:r>
          </w:p>
          <w:p w14:paraId="1E635109" w14:textId="77777777" w:rsidR="00462AC4" w:rsidRPr="00117237" w:rsidRDefault="00462AC4" w:rsidP="00462C12">
            <w:pPr>
              <w:pStyle w:val="ListBullet"/>
              <w:spacing w:after="0"/>
            </w:pPr>
            <w:r w:rsidRPr="00117237">
              <w:t xml:space="preserve">What deviations occurred from what was planned, and how were they managed? </w:t>
            </w:r>
          </w:p>
          <w:p w14:paraId="63288775" w14:textId="094CE02C" w:rsidR="00462AC4" w:rsidRPr="00117237" w:rsidRDefault="00462AC4" w:rsidP="00462C12">
            <w:pPr>
              <w:pStyle w:val="ListBullet"/>
              <w:spacing w:after="0"/>
            </w:pPr>
            <w:r w:rsidRPr="00117237">
              <w:t xml:space="preserve">How did the project adapt to the different contexts and needs of each </w:t>
            </w:r>
            <w:r w:rsidR="00292F7E" w:rsidRPr="00117237">
              <w:t>jurisdiction</w:t>
            </w:r>
            <w:r w:rsidRPr="00117237">
              <w:t xml:space="preserve">? </w:t>
            </w:r>
          </w:p>
          <w:p w14:paraId="24E16E65" w14:textId="77777777" w:rsidR="00462AC4" w:rsidRPr="00117237" w:rsidRDefault="00462AC4" w:rsidP="00462C12">
            <w:pPr>
              <w:pStyle w:val="ListBullet"/>
              <w:spacing w:after="0"/>
            </w:pPr>
            <w:r w:rsidRPr="00117237">
              <w:t>What specific barriers were encountered during the implementation of the RET framework?</w:t>
            </w:r>
          </w:p>
          <w:p w14:paraId="7754D8D4" w14:textId="77777777" w:rsidR="00462AC4" w:rsidRPr="00117237" w:rsidRDefault="00462AC4" w:rsidP="00462C12">
            <w:pPr>
              <w:pStyle w:val="ListBullet"/>
              <w:spacing w:after="0"/>
            </w:pPr>
            <w:r w:rsidRPr="00117237">
              <w:t xml:space="preserve">How actively did TAFEs and system stakeholders engage with the RET framework during implementation? </w:t>
            </w:r>
          </w:p>
          <w:p w14:paraId="7A28B5F2" w14:textId="75B089A2" w:rsidR="00332CA9" w:rsidRPr="00117237" w:rsidRDefault="00462AC4" w:rsidP="00462C12">
            <w:pPr>
              <w:pStyle w:val="ListBullet"/>
              <w:spacing w:after="0"/>
            </w:pPr>
            <w:r w:rsidRPr="00117237">
              <w:t>What feedback mechanisms were established to assess the effectiveness of the implementation process?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7C56" w14:textId="77777777" w:rsidR="006C7CBB" w:rsidRPr="00117237" w:rsidRDefault="006C7CBB" w:rsidP="00462C12">
            <w:pPr>
              <w:pStyle w:val="ListBullet"/>
              <w:spacing w:after="0"/>
            </w:pPr>
            <w:r w:rsidRPr="00117237">
              <w:t>Number of TAFEs across the jurisdictions that actively participated in the RET2 project.</w:t>
            </w:r>
          </w:p>
          <w:p w14:paraId="2883D106" w14:textId="77777777" w:rsidR="006C7CBB" w:rsidRPr="00117237" w:rsidRDefault="006C7CBB" w:rsidP="00462C12">
            <w:pPr>
              <w:pStyle w:val="ListBullet"/>
              <w:spacing w:after="0"/>
            </w:pPr>
            <w:r w:rsidRPr="00117237">
              <w:t>Number of localised RET framework adaptations developed for each jurisdiction.</w:t>
            </w:r>
          </w:p>
          <w:p w14:paraId="63F6AEAA" w14:textId="77777777" w:rsidR="006C7CBB" w:rsidRPr="00117237" w:rsidRDefault="006C7CBB" w:rsidP="00462C12">
            <w:pPr>
              <w:pStyle w:val="ListBullet"/>
              <w:spacing w:after="0"/>
            </w:pPr>
            <w:r w:rsidRPr="00117237">
              <w:t>Number of new resources and capacity building materials developed and disseminated or that are in the pipeline.</w:t>
            </w:r>
          </w:p>
          <w:p w14:paraId="0997A7A6" w14:textId="77777777" w:rsidR="006C7CBB" w:rsidRPr="00117237" w:rsidRDefault="006C7CBB" w:rsidP="00462C12">
            <w:pPr>
              <w:pStyle w:val="ListBullet"/>
              <w:spacing w:after="0"/>
            </w:pPr>
            <w:r w:rsidRPr="00117237">
              <w:t>Number of training programs that have taken place or are planned to take place.</w:t>
            </w:r>
          </w:p>
          <w:p w14:paraId="1A073066" w14:textId="77777777" w:rsidR="006C7CBB" w:rsidRPr="00117237" w:rsidRDefault="006C7CBB" w:rsidP="00462C12">
            <w:pPr>
              <w:pStyle w:val="ListBullet"/>
              <w:spacing w:after="0"/>
            </w:pPr>
            <w:r w:rsidRPr="00117237">
              <w:t>Number of advocacy initiatives or campaigns conducted that have taken place or are planned to take place.</w:t>
            </w:r>
          </w:p>
          <w:p w14:paraId="193272DE" w14:textId="02346A78" w:rsidR="00332CA9" w:rsidRPr="00117237" w:rsidRDefault="006C7CBB" w:rsidP="00462C12">
            <w:pPr>
              <w:pStyle w:val="ListBullet"/>
              <w:spacing w:after="0"/>
            </w:pPr>
            <w:r w:rsidRPr="00117237">
              <w:t>Number of stakeholders engaged or anticipated to engage in the project, including TAFE staff, students, and community partners.</w:t>
            </w:r>
          </w:p>
        </w:tc>
      </w:tr>
    </w:tbl>
    <w:p w14:paraId="535A2D4B" w14:textId="77777777" w:rsidR="002F2D3E" w:rsidRPr="00117237" w:rsidRDefault="002F2D3E" w:rsidP="006C6AA7">
      <w:pPr>
        <w:spacing w:line="276" w:lineRule="auto"/>
      </w:pPr>
    </w:p>
    <w:p w14:paraId="674F2AEC" w14:textId="77777777" w:rsidR="002F2D3E" w:rsidRPr="00117237" w:rsidRDefault="002F2D3E" w:rsidP="006C6AA7">
      <w:pPr>
        <w:spacing w:line="276" w:lineRule="auto"/>
        <w:sectPr w:rsidR="002F2D3E" w:rsidRPr="00117237" w:rsidSect="002F2D3E">
          <w:pgSz w:w="16838" w:h="11906" w:orient="landscape" w:code="9"/>
          <w:pgMar w:top="1134" w:right="720" w:bottom="1134" w:left="720" w:header="567" w:footer="567" w:gutter="0"/>
          <w:cols w:space="708"/>
          <w:docGrid w:linePitch="360"/>
        </w:sectPr>
      </w:pPr>
    </w:p>
    <w:p w14:paraId="1507DAF1" w14:textId="4414CB17" w:rsidR="00D62DCF" w:rsidRPr="00117237" w:rsidRDefault="00D62DCF" w:rsidP="00435325"/>
    <w:p w14:paraId="6BD449D0" w14:textId="77AC0A8C" w:rsidR="00887424" w:rsidRPr="00117237" w:rsidRDefault="00887424" w:rsidP="00845F17">
      <w:pPr>
        <w:pStyle w:val="Heading2"/>
        <w:numPr>
          <w:ilvl w:val="0"/>
          <w:numId w:val="0"/>
        </w:numPr>
        <w:ind w:left="567" w:hanging="567"/>
      </w:pPr>
      <w:bookmarkStart w:id="44" w:name="_Toc204168369"/>
      <w:r w:rsidRPr="00117237">
        <w:t xml:space="preserve">Appendix </w:t>
      </w:r>
      <w:r w:rsidR="00BC7B92" w:rsidRPr="00117237">
        <w:t>F</w:t>
      </w:r>
      <w:r w:rsidRPr="00117237">
        <w:t xml:space="preserve">: </w:t>
      </w:r>
      <w:r w:rsidR="003A737A" w:rsidRPr="00117237">
        <w:t>List of stakeholders consulted</w:t>
      </w:r>
      <w:bookmarkEnd w:id="44"/>
      <w:r w:rsidR="003A737A" w:rsidRPr="00117237">
        <w:t xml:space="preserve"> </w:t>
      </w:r>
      <w:r w:rsidRPr="00117237">
        <w:t xml:space="preserve"> </w:t>
      </w:r>
    </w:p>
    <w:p w14:paraId="14DB8975" w14:textId="7DE64732" w:rsidR="00CB03C2" w:rsidRPr="00117237" w:rsidRDefault="00E44796" w:rsidP="00CB03C2">
      <w:r w:rsidRPr="00117237">
        <w:t>We con</w:t>
      </w:r>
      <w:r w:rsidR="00411FCA" w:rsidRPr="00117237">
        <w:t xml:space="preserve">sulted with </w:t>
      </w:r>
      <w:r w:rsidR="00B5089A" w:rsidRPr="00117237">
        <w:t>18</w:t>
      </w:r>
      <w:r w:rsidR="007F2F34" w:rsidRPr="00117237">
        <w:t xml:space="preserve"> stakeholders overall. This included:</w:t>
      </w:r>
    </w:p>
    <w:p w14:paraId="13794E6E" w14:textId="23D253E8" w:rsidR="00B5089A" w:rsidRPr="00117237" w:rsidRDefault="00B5089A" w:rsidP="00756D65">
      <w:pPr>
        <w:pStyle w:val="ListParagraph"/>
        <w:numPr>
          <w:ilvl w:val="0"/>
          <w:numId w:val="18"/>
        </w:numPr>
      </w:pPr>
      <w:r w:rsidRPr="00117237">
        <w:t>Eight</w:t>
      </w:r>
      <w:r w:rsidR="005813FD" w:rsidRPr="00117237">
        <w:t xml:space="preserve"> </w:t>
      </w:r>
      <w:r w:rsidR="002C2E0B" w:rsidRPr="00117237">
        <w:t xml:space="preserve">Our Watch </w:t>
      </w:r>
      <w:r w:rsidRPr="00117237">
        <w:t>s</w:t>
      </w:r>
      <w:r w:rsidR="002C2E0B" w:rsidRPr="00117237">
        <w:t>takeholders</w:t>
      </w:r>
    </w:p>
    <w:p w14:paraId="30ED22C0" w14:textId="548BA534" w:rsidR="00B5089A" w:rsidRPr="00117237" w:rsidRDefault="00B5089A" w:rsidP="00756D65">
      <w:pPr>
        <w:pStyle w:val="ListParagraph"/>
        <w:numPr>
          <w:ilvl w:val="0"/>
          <w:numId w:val="18"/>
        </w:numPr>
      </w:pPr>
      <w:r w:rsidRPr="00117237">
        <w:t xml:space="preserve">One BIITE stakeholder </w:t>
      </w:r>
    </w:p>
    <w:p w14:paraId="31292986" w14:textId="45DC42D2" w:rsidR="00B5089A" w:rsidRPr="00117237" w:rsidRDefault="00B5089A" w:rsidP="00756D65">
      <w:pPr>
        <w:pStyle w:val="ListParagraph"/>
        <w:numPr>
          <w:ilvl w:val="0"/>
          <w:numId w:val="18"/>
        </w:numPr>
      </w:pPr>
      <w:r w:rsidRPr="00117237">
        <w:t>Three CDU stakeholders</w:t>
      </w:r>
    </w:p>
    <w:p w14:paraId="0A79D680" w14:textId="35898D9F" w:rsidR="007F2F34" w:rsidRPr="00117237" w:rsidRDefault="00B5089A" w:rsidP="00756D65">
      <w:pPr>
        <w:pStyle w:val="ListParagraph"/>
        <w:numPr>
          <w:ilvl w:val="0"/>
          <w:numId w:val="18"/>
        </w:numPr>
      </w:pPr>
      <w:r w:rsidRPr="00117237">
        <w:t>One CIT stakeholder</w:t>
      </w:r>
      <w:r w:rsidR="002C2E0B" w:rsidRPr="00117237">
        <w:t xml:space="preserve"> </w:t>
      </w:r>
    </w:p>
    <w:p w14:paraId="0B796BD0" w14:textId="6BDEC308" w:rsidR="00B5089A" w:rsidRPr="00117237" w:rsidRDefault="00B5089A" w:rsidP="00756D65">
      <w:pPr>
        <w:pStyle w:val="ListParagraph"/>
        <w:numPr>
          <w:ilvl w:val="0"/>
          <w:numId w:val="18"/>
        </w:numPr>
      </w:pPr>
      <w:r w:rsidRPr="00117237">
        <w:t>One TAFE SA stakeholder</w:t>
      </w:r>
    </w:p>
    <w:p w14:paraId="2B46A05C" w14:textId="7286D223" w:rsidR="003E238E" w:rsidRPr="00117237" w:rsidRDefault="003E238E" w:rsidP="00756D65">
      <w:pPr>
        <w:pStyle w:val="ListParagraph"/>
        <w:numPr>
          <w:ilvl w:val="0"/>
          <w:numId w:val="18"/>
        </w:numPr>
      </w:pPr>
      <w:r w:rsidRPr="00117237">
        <w:t xml:space="preserve">Four TasTAFE stakeholders </w:t>
      </w:r>
    </w:p>
    <w:p w14:paraId="797D7B08" w14:textId="6E845E8F" w:rsidR="00887424" w:rsidRPr="00117237" w:rsidRDefault="00887424" w:rsidP="00845F17">
      <w:pPr>
        <w:pStyle w:val="Heading2"/>
        <w:numPr>
          <w:ilvl w:val="0"/>
          <w:numId w:val="0"/>
        </w:numPr>
        <w:ind w:left="567" w:hanging="567"/>
      </w:pPr>
      <w:bookmarkStart w:id="45" w:name="_Toc204168370"/>
      <w:r w:rsidRPr="00117237">
        <w:t xml:space="preserve">Appendix </w:t>
      </w:r>
      <w:r w:rsidR="00BC7B92" w:rsidRPr="00117237">
        <w:t>G</w:t>
      </w:r>
      <w:r w:rsidRPr="00117237">
        <w:t>: Methodology</w:t>
      </w:r>
      <w:bookmarkEnd w:id="45"/>
      <w:r w:rsidRPr="00117237">
        <w:t xml:space="preserve"> </w:t>
      </w:r>
    </w:p>
    <w:p w14:paraId="5D947D1E" w14:textId="2F455B27" w:rsidR="00BF610C" w:rsidRPr="00DC12CD" w:rsidRDefault="00BF610C" w:rsidP="00DC12CD">
      <w:pPr>
        <w:pStyle w:val="BodyTextAfterBullets"/>
        <w:rPr>
          <w:b/>
          <w:bCs/>
        </w:rPr>
      </w:pPr>
      <w:r w:rsidRPr="00DC12CD">
        <w:rPr>
          <w:b/>
          <w:bCs/>
        </w:rPr>
        <w:t xml:space="preserve">Our methodology involved three stages over a period of 5 months. </w:t>
      </w:r>
    </w:p>
    <w:p w14:paraId="6D8C08B2" w14:textId="49FBEE73" w:rsidR="00AB1BCE" w:rsidRPr="00117237" w:rsidRDefault="00AB1BCE" w:rsidP="00AF5B52">
      <w:r w:rsidRPr="00117237">
        <w:t>Figure 1</w:t>
      </w:r>
      <w:r w:rsidR="00512F8D">
        <w:t>5</w:t>
      </w:r>
      <w:r w:rsidR="00AF5B52" w:rsidRPr="00117237">
        <w:t xml:space="preserve"> below outlines the timelines and activities at each stage</w:t>
      </w:r>
      <w:r w:rsidRPr="00117237">
        <w:t xml:space="preserve"> of the evaluation.</w:t>
      </w:r>
    </w:p>
    <w:p w14:paraId="1C4223E7" w14:textId="6EA5370E" w:rsidR="00AF5B52" w:rsidRPr="00117237" w:rsidRDefault="009D644E" w:rsidP="009D644E">
      <w:pPr>
        <w:pStyle w:val="Caption"/>
        <w:rPr>
          <w:b w:val="0"/>
        </w:rPr>
      </w:pPr>
      <w:bookmarkStart w:id="46" w:name="_Toc204168068"/>
      <w:r>
        <w:t xml:space="preserve">Figure </w:t>
      </w:r>
      <w:fldSimple w:instr=" SEQ Figure \* ARABIC ">
        <w:r w:rsidR="00E3688B">
          <w:rPr>
            <w:noProof/>
          </w:rPr>
          <w:t>15</w:t>
        </w:r>
      </w:fldSimple>
      <w:r w:rsidR="00AB1BCE" w:rsidRPr="00117237">
        <w:rPr>
          <w:bCs/>
        </w:rPr>
        <w:t>: Evaluation methodology</w:t>
      </w:r>
      <w:bookmarkEnd w:id="46"/>
      <w:r w:rsidR="00AF5B52" w:rsidRPr="00117237">
        <w:t xml:space="preserve"> </w:t>
      </w:r>
    </w:p>
    <w:tbl>
      <w:tblPr>
        <w:tblStyle w:val="TableGrid"/>
        <w:tblW w:w="0" w:type="auto"/>
        <w:tblLook w:val="04A0" w:firstRow="1" w:lastRow="0" w:firstColumn="1" w:lastColumn="0" w:noHBand="0" w:noVBand="1"/>
      </w:tblPr>
      <w:tblGrid>
        <w:gridCol w:w="3397"/>
        <w:gridCol w:w="2410"/>
        <w:gridCol w:w="3821"/>
      </w:tblGrid>
      <w:tr w:rsidR="00AF5B52" w:rsidRPr="00117237" w14:paraId="7A2814E4" w14:textId="77777777" w:rsidTr="00A723D6">
        <w:tc>
          <w:tcPr>
            <w:tcW w:w="3397" w:type="dxa"/>
            <w:shd w:val="clear" w:color="auto" w:fill="931B2F" w:themeFill="background2"/>
          </w:tcPr>
          <w:p w14:paraId="55F8C25B" w14:textId="4C33BC7C" w:rsidR="00AF5B52" w:rsidRPr="00117237" w:rsidRDefault="003316E6" w:rsidP="00AF5B52">
            <w:pPr>
              <w:rPr>
                <w:b/>
                <w:color w:val="FFFFFF" w:themeColor="background1"/>
                <w:sz w:val="20"/>
              </w:rPr>
            </w:pPr>
            <w:r w:rsidRPr="00117237">
              <w:rPr>
                <w:b/>
                <w:color w:val="FFFFFF" w:themeColor="background1"/>
                <w:sz w:val="20"/>
              </w:rPr>
              <w:t xml:space="preserve">Stage 1: </w:t>
            </w:r>
            <w:r w:rsidR="00E43110" w:rsidRPr="00117237">
              <w:rPr>
                <w:b/>
                <w:color w:val="FFFFFF" w:themeColor="background1"/>
                <w:sz w:val="20"/>
              </w:rPr>
              <w:t>Initiation and establishment</w:t>
            </w:r>
          </w:p>
        </w:tc>
        <w:tc>
          <w:tcPr>
            <w:tcW w:w="2410" w:type="dxa"/>
            <w:shd w:val="clear" w:color="auto" w:fill="931B2F" w:themeFill="background2"/>
          </w:tcPr>
          <w:p w14:paraId="4344F1CD" w14:textId="6FC27FED" w:rsidR="00AF5B52" w:rsidRPr="00117237" w:rsidRDefault="003316E6" w:rsidP="00AF5B52">
            <w:pPr>
              <w:rPr>
                <w:b/>
                <w:color w:val="FFFFFF" w:themeColor="background1"/>
                <w:sz w:val="20"/>
              </w:rPr>
            </w:pPr>
            <w:r w:rsidRPr="00117237">
              <w:rPr>
                <w:b/>
                <w:color w:val="FFFFFF" w:themeColor="background1"/>
                <w:sz w:val="20"/>
              </w:rPr>
              <w:t>Stage 2:</w:t>
            </w:r>
            <w:r w:rsidR="00E43110" w:rsidRPr="00117237">
              <w:rPr>
                <w:b/>
                <w:color w:val="FFFFFF" w:themeColor="background1"/>
                <w:sz w:val="20"/>
              </w:rPr>
              <w:t xml:space="preserve"> Data collection and analysis</w:t>
            </w:r>
          </w:p>
        </w:tc>
        <w:tc>
          <w:tcPr>
            <w:tcW w:w="3821" w:type="dxa"/>
            <w:shd w:val="clear" w:color="auto" w:fill="931B2F" w:themeFill="background2"/>
          </w:tcPr>
          <w:p w14:paraId="46FD3005" w14:textId="4E3C294D" w:rsidR="00AF5B52" w:rsidRPr="00117237" w:rsidRDefault="003316E6" w:rsidP="00AF5B52">
            <w:pPr>
              <w:rPr>
                <w:b/>
                <w:color w:val="FFFFFF" w:themeColor="background1"/>
                <w:sz w:val="20"/>
              </w:rPr>
            </w:pPr>
            <w:r w:rsidRPr="00117237">
              <w:rPr>
                <w:b/>
                <w:color w:val="FFFFFF" w:themeColor="background1"/>
                <w:sz w:val="20"/>
              </w:rPr>
              <w:t xml:space="preserve">Stage 3: </w:t>
            </w:r>
            <w:r w:rsidR="00E43110" w:rsidRPr="00117237">
              <w:rPr>
                <w:b/>
                <w:color w:val="FFFFFF" w:themeColor="background1"/>
                <w:sz w:val="20"/>
              </w:rPr>
              <w:t>Reporting</w:t>
            </w:r>
          </w:p>
        </w:tc>
      </w:tr>
      <w:tr w:rsidR="00AF5B52" w:rsidRPr="00117237" w14:paraId="2227DA14" w14:textId="77777777" w:rsidTr="00A723D6">
        <w:tc>
          <w:tcPr>
            <w:tcW w:w="3397" w:type="dxa"/>
            <w:shd w:val="clear" w:color="auto" w:fill="EFDEE1" w:themeFill="accent2" w:themeFillTint="33"/>
          </w:tcPr>
          <w:p w14:paraId="6EB6704D" w14:textId="5F93D6E4" w:rsidR="00AF5B52" w:rsidRPr="00117237" w:rsidRDefault="00E43110" w:rsidP="00AF5B52">
            <w:pPr>
              <w:rPr>
                <w:i/>
                <w:sz w:val="20"/>
              </w:rPr>
            </w:pPr>
            <w:r w:rsidRPr="00117237">
              <w:rPr>
                <w:i/>
                <w:sz w:val="20"/>
              </w:rPr>
              <w:t xml:space="preserve">September 2024 </w:t>
            </w:r>
            <w:r w:rsidR="00E56C97" w:rsidRPr="00117237">
              <w:rPr>
                <w:i/>
                <w:sz w:val="20"/>
              </w:rPr>
              <w:t>– October 2024</w:t>
            </w:r>
          </w:p>
        </w:tc>
        <w:tc>
          <w:tcPr>
            <w:tcW w:w="2410" w:type="dxa"/>
            <w:shd w:val="clear" w:color="auto" w:fill="EFDEE1" w:themeFill="accent2" w:themeFillTint="33"/>
          </w:tcPr>
          <w:p w14:paraId="67FF3561" w14:textId="16FCD0ED" w:rsidR="00AF5B52" w:rsidRPr="00117237" w:rsidRDefault="0045568A" w:rsidP="00AF5B52">
            <w:pPr>
              <w:rPr>
                <w:i/>
                <w:sz w:val="20"/>
              </w:rPr>
            </w:pPr>
            <w:r w:rsidRPr="00117237">
              <w:rPr>
                <w:i/>
                <w:sz w:val="20"/>
              </w:rPr>
              <w:t>October 2024 – January 2025</w:t>
            </w:r>
          </w:p>
        </w:tc>
        <w:tc>
          <w:tcPr>
            <w:tcW w:w="3821" w:type="dxa"/>
            <w:shd w:val="clear" w:color="auto" w:fill="EFDEE1" w:themeFill="accent2" w:themeFillTint="33"/>
          </w:tcPr>
          <w:p w14:paraId="44AFAA5F" w14:textId="52334041" w:rsidR="00AF5B52" w:rsidRPr="00117237" w:rsidRDefault="007A2571" w:rsidP="00AF5B52">
            <w:pPr>
              <w:rPr>
                <w:i/>
                <w:sz w:val="20"/>
              </w:rPr>
            </w:pPr>
            <w:r w:rsidRPr="00117237">
              <w:rPr>
                <w:i/>
                <w:sz w:val="20"/>
              </w:rPr>
              <w:t>February 2025 – M</w:t>
            </w:r>
            <w:r w:rsidR="00DE2CB6" w:rsidRPr="00117237">
              <w:rPr>
                <w:i/>
                <w:sz w:val="20"/>
              </w:rPr>
              <w:t>arch</w:t>
            </w:r>
            <w:r w:rsidR="00941DE6" w:rsidRPr="00117237">
              <w:rPr>
                <w:i/>
                <w:sz w:val="20"/>
              </w:rPr>
              <w:t xml:space="preserve"> 2025</w:t>
            </w:r>
          </w:p>
        </w:tc>
      </w:tr>
      <w:tr w:rsidR="00AF5B52" w:rsidRPr="00117237" w14:paraId="4B9B7FA9" w14:textId="77777777" w:rsidTr="00A723D6">
        <w:tc>
          <w:tcPr>
            <w:tcW w:w="3397" w:type="dxa"/>
          </w:tcPr>
          <w:p w14:paraId="1412D55C" w14:textId="77777777" w:rsidR="00AF5B52" w:rsidRPr="00117237" w:rsidRDefault="00940879" w:rsidP="00AF5B52">
            <w:pPr>
              <w:rPr>
                <w:sz w:val="20"/>
              </w:rPr>
            </w:pPr>
            <w:r w:rsidRPr="00117237">
              <w:rPr>
                <w:b/>
                <w:sz w:val="20"/>
              </w:rPr>
              <w:t xml:space="preserve">Project kick off </w:t>
            </w:r>
            <w:r w:rsidR="008268C5" w:rsidRPr="00117237">
              <w:rPr>
                <w:b/>
                <w:sz w:val="20"/>
              </w:rPr>
              <w:t xml:space="preserve">meeting: </w:t>
            </w:r>
            <w:r w:rsidR="008268C5" w:rsidRPr="00117237">
              <w:rPr>
                <w:sz w:val="20"/>
              </w:rPr>
              <w:t>We held a kick-off meeting with Our Watch to confirm scope, approach and administrative arrangements.</w:t>
            </w:r>
            <w:r w:rsidRPr="00117237">
              <w:rPr>
                <w:sz w:val="20"/>
              </w:rPr>
              <w:t xml:space="preserve"> </w:t>
            </w:r>
          </w:p>
          <w:p w14:paraId="3B1DC327" w14:textId="01AAB54C" w:rsidR="00A94704" w:rsidRPr="00117237" w:rsidRDefault="00A94704" w:rsidP="00A94704">
            <w:pPr>
              <w:rPr>
                <w:sz w:val="20"/>
              </w:rPr>
            </w:pPr>
            <w:r w:rsidRPr="00117237">
              <w:rPr>
                <w:b/>
                <w:sz w:val="20"/>
              </w:rPr>
              <w:t>Data and document request</w:t>
            </w:r>
            <w:r w:rsidRPr="00117237">
              <w:rPr>
                <w:sz w:val="20"/>
              </w:rPr>
              <w:t>: We requested relevant data and documentation from Our Watch, including project plans, evaluation reports, project data, event data</w:t>
            </w:r>
            <w:r w:rsidR="00DA412F" w:rsidRPr="00117237">
              <w:rPr>
                <w:sz w:val="20"/>
              </w:rPr>
              <w:t>.</w:t>
            </w:r>
          </w:p>
          <w:p w14:paraId="4D1624ED" w14:textId="20232B37" w:rsidR="00441EEE" w:rsidRPr="00117237" w:rsidRDefault="002D0C5D" w:rsidP="00441EEE">
            <w:pPr>
              <w:rPr>
                <w:sz w:val="20"/>
              </w:rPr>
            </w:pPr>
            <w:r w:rsidRPr="00117237">
              <w:rPr>
                <w:b/>
                <w:sz w:val="20"/>
              </w:rPr>
              <w:t>Evaluation</w:t>
            </w:r>
            <w:r w:rsidR="00441EEE" w:rsidRPr="00117237">
              <w:rPr>
                <w:b/>
                <w:sz w:val="20"/>
              </w:rPr>
              <w:t xml:space="preserve"> framework</w:t>
            </w:r>
            <w:r w:rsidRPr="00117237">
              <w:rPr>
                <w:b/>
                <w:sz w:val="20"/>
              </w:rPr>
              <w:t xml:space="preserve"> workshop</w:t>
            </w:r>
            <w:r w:rsidR="005F04AA" w:rsidRPr="00117237">
              <w:rPr>
                <w:b/>
                <w:sz w:val="20"/>
              </w:rPr>
              <w:t>:</w:t>
            </w:r>
            <w:r w:rsidR="00441EEE" w:rsidRPr="00117237">
              <w:rPr>
                <w:b/>
                <w:sz w:val="20"/>
              </w:rPr>
              <w:t xml:space="preserve"> </w:t>
            </w:r>
            <w:r w:rsidR="00441EEE" w:rsidRPr="00117237">
              <w:rPr>
                <w:sz w:val="20"/>
              </w:rPr>
              <w:t xml:space="preserve">We </w:t>
            </w:r>
            <w:r w:rsidR="00E23565" w:rsidRPr="00117237">
              <w:rPr>
                <w:sz w:val="20"/>
              </w:rPr>
              <w:t xml:space="preserve">confirmed </w:t>
            </w:r>
            <w:r w:rsidR="00D44E61" w:rsidRPr="00117237">
              <w:rPr>
                <w:sz w:val="20"/>
              </w:rPr>
              <w:t xml:space="preserve">Our Watch’s evaluation framework and our understanding of that framework including proposed supplemental questions. </w:t>
            </w:r>
          </w:p>
          <w:p w14:paraId="0C36C3CC" w14:textId="1CE137C6" w:rsidR="00B05338" w:rsidRPr="00117237" w:rsidRDefault="00B05338" w:rsidP="00B05338">
            <w:pPr>
              <w:rPr>
                <w:sz w:val="20"/>
              </w:rPr>
            </w:pPr>
            <w:r w:rsidRPr="00117237">
              <w:rPr>
                <w:b/>
                <w:sz w:val="20"/>
              </w:rPr>
              <w:t>Document review</w:t>
            </w:r>
            <w:r w:rsidR="005F04AA" w:rsidRPr="00117237">
              <w:rPr>
                <w:b/>
                <w:sz w:val="20"/>
              </w:rPr>
              <w:t>:</w:t>
            </w:r>
            <w:r w:rsidRPr="00117237">
              <w:rPr>
                <w:b/>
                <w:sz w:val="20"/>
              </w:rPr>
              <w:t xml:space="preserve"> </w:t>
            </w:r>
            <w:r w:rsidR="00B67B6F" w:rsidRPr="00117237">
              <w:rPr>
                <w:sz w:val="20"/>
              </w:rPr>
              <w:t>We reviewed</w:t>
            </w:r>
            <w:r w:rsidRPr="00117237">
              <w:rPr>
                <w:sz w:val="20"/>
              </w:rPr>
              <w:t xml:space="preserve"> documentation to inform the design of fieldwork instruments and to develop initial hypothesis. </w:t>
            </w:r>
            <w:r w:rsidR="00B67B6F" w:rsidRPr="00117237">
              <w:rPr>
                <w:sz w:val="20"/>
              </w:rPr>
              <w:t>This stage was</w:t>
            </w:r>
            <w:r w:rsidRPr="00117237">
              <w:rPr>
                <w:sz w:val="20"/>
              </w:rPr>
              <w:t xml:space="preserve"> </w:t>
            </w:r>
            <w:r w:rsidR="00B67B6F" w:rsidRPr="00117237">
              <w:rPr>
                <w:sz w:val="20"/>
              </w:rPr>
              <w:t>paired</w:t>
            </w:r>
            <w:r w:rsidRPr="00117237">
              <w:rPr>
                <w:sz w:val="20"/>
              </w:rPr>
              <w:t xml:space="preserve"> with desktop research related to the implementation of gender equality frameworks in educational settings.</w:t>
            </w:r>
          </w:p>
          <w:p w14:paraId="6DE5E364" w14:textId="41D78B84" w:rsidR="00AF5B52" w:rsidRPr="00117237" w:rsidRDefault="006B1366" w:rsidP="00AF5B52">
            <w:pPr>
              <w:rPr>
                <w:sz w:val="20"/>
              </w:rPr>
            </w:pPr>
            <w:r w:rsidRPr="00117237">
              <w:rPr>
                <w:b/>
                <w:sz w:val="20"/>
              </w:rPr>
              <w:t>Evaluation plan</w:t>
            </w:r>
            <w:r w:rsidR="005F04AA" w:rsidRPr="00117237">
              <w:rPr>
                <w:b/>
                <w:sz w:val="20"/>
              </w:rPr>
              <w:t>:</w:t>
            </w:r>
            <w:r w:rsidRPr="00117237">
              <w:rPr>
                <w:b/>
                <w:sz w:val="20"/>
              </w:rPr>
              <w:t xml:space="preserve"> </w:t>
            </w:r>
            <w:r w:rsidR="00DC2D05" w:rsidRPr="00117237">
              <w:rPr>
                <w:sz w:val="20"/>
              </w:rPr>
              <w:t>We r</w:t>
            </w:r>
            <w:r w:rsidRPr="00117237">
              <w:rPr>
                <w:sz w:val="20"/>
              </w:rPr>
              <w:t>efine</w:t>
            </w:r>
            <w:r w:rsidR="00DC2D05" w:rsidRPr="00117237">
              <w:rPr>
                <w:sz w:val="20"/>
              </w:rPr>
              <w:t>d</w:t>
            </w:r>
            <w:r w:rsidRPr="00117237">
              <w:rPr>
                <w:sz w:val="20"/>
              </w:rPr>
              <w:t xml:space="preserve"> and </w:t>
            </w:r>
            <w:r w:rsidR="0069562B" w:rsidRPr="00117237">
              <w:rPr>
                <w:sz w:val="20"/>
              </w:rPr>
              <w:t>continued to</w:t>
            </w:r>
            <w:r w:rsidRPr="00117237">
              <w:rPr>
                <w:sz w:val="20"/>
              </w:rPr>
              <w:t xml:space="preserve"> develop a detailed methodology which encompasses initial </w:t>
            </w:r>
            <w:r w:rsidR="001F2D1F" w:rsidRPr="00117237">
              <w:rPr>
                <w:sz w:val="20"/>
              </w:rPr>
              <w:t>ToC</w:t>
            </w:r>
            <w:r w:rsidRPr="00117237">
              <w:rPr>
                <w:sz w:val="20"/>
              </w:rPr>
              <w:t>, responsibilities, timelines, recruitment and sampling strategies, evaluative approaches, ethical considerations, key principles for evaluation to ensure an accessible, trauma-informed and inclusive approach, limitations, and risk and mitigation strategy.</w:t>
            </w:r>
            <w:r w:rsidR="0069562B" w:rsidRPr="00117237">
              <w:rPr>
                <w:sz w:val="20"/>
              </w:rPr>
              <w:t xml:space="preserve"> This was submitted to DSS and was approved. </w:t>
            </w:r>
          </w:p>
        </w:tc>
        <w:tc>
          <w:tcPr>
            <w:tcW w:w="2410" w:type="dxa"/>
          </w:tcPr>
          <w:p w14:paraId="5DFBB6F3" w14:textId="7AE4DA88" w:rsidR="000B13A3" w:rsidRPr="00117237" w:rsidRDefault="00F24A6F" w:rsidP="000B13A3">
            <w:pPr>
              <w:rPr>
                <w:sz w:val="20"/>
              </w:rPr>
            </w:pPr>
            <w:r w:rsidRPr="00117237">
              <w:rPr>
                <w:b/>
                <w:sz w:val="20"/>
              </w:rPr>
              <w:t>Preparation for fieldwork</w:t>
            </w:r>
            <w:r w:rsidR="005F04AA" w:rsidRPr="00117237">
              <w:rPr>
                <w:b/>
                <w:sz w:val="20"/>
              </w:rPr>
              <w:t>:</w:t>
            </w:r>
            <w:r w:rsidRPr="00117237">
              <w:rPr>
                <w:b/>
                <w:sz w:val="20"/>
              </w:rPr>
              <w:t xml:space="preserve"> </w:t>
            </w:r>
            <w:r w:rsidR="00DF3CF1" w:rsidRPr="00117237">
              <w:rPr>
                <w:sz w:val="20"/>
              </w:rPr>
              <w:t>We d</w:t>
            </w:r>
            <w:r w:rsidRPr="00117237">
              <w:rPr>
                <w:sz w:val="20"/>
              </w:rPr>
              <w:t>evelop</w:t>
            </w:r>
            <w:r w:rsidR="00DF3CF1" w:rsidRPr="00117237">
              <w:rPr>
                <w:sz w:val="20"/>
              </w:rPr>
              <w:t>ed</w:t>
            </w:r>
            <w:r w:rsidRPr="00117237">
              <w:rPr>
                <w:sz w:val="20"/>
              </w:rPr>
              <w:t xml:space="preserve"> accessible data collection tools to be </w:t>
            </w:r>
            <w:r w:rsidR="00DF3CF1" w:rsidRPr="00117237">
              <w:rPr>
                <w:sz w:val="20"/>
              </w:rPr>
              <w:t>used</w:t>
            </w:r>
            <w:r w:rsidRPr="00117237">
              <w:rPr>
                <w:sz w:val="20"/>
              </w:rPr>
              <w:t xml:space="preserve"> in </w:t>
            </w:r>
            <w:r w:rsidR="00DF3CF1" w:rsidRPr="00117237">
              <w:rPr>
                <w:sz w:val="20"/>
              </w:rPr>
              <w:t>consultations to</w:t>
            </w:r>
            <w:r w:rsidRPr="00117237">
              <w:rPr>
                <w:sz w:val="20"/>
              </w:rPr>
              <w:t xml:space="preserve"> capture a range of perspectives and not duplicate what has been covered in the developmental evaluation</w:t>
            </w:r>
          </w:p>
          <w:p w14:paraId="36CF5D25" w14:textId="320B5E1B" w:rsidR="0063327E" w:rsidRPr="00117237" w:rsidRDefault="0063327E" w:rsidP="0063327E">
            <w:pPr>
              <w:rPr>
                <w:sz w:val="20"/>
              </w:rPr>
            </w:pPr>
            <w:r w:rsidRPr="00117237">
              <w:rPr>
                <w:b/>
                <w:sz w:val="20"/>
              </w:rPr>
              <w:t>Interviews or group sessions (~ 1</w:t>
            </w:r>
            <w:r w:rsidR="00630877" w:rsidRPr="00117237">
              <w:rPr>
                <w:b/>
                <w:sz w:val="20"/>
              </w:rPr>
              <w:t>4</w:t>
            </w:r>
            <w:r w:rsidRPr="00117237">
              <w:rPr>
                <w:b/>
                <w:sz w:val="20"/>
              </w:rPr>
              <w:t>)</w:t>
            </w:r>
            <w:r w:rsidR="005F04AA" w:rsidRPr="00117237">
              <w:rPr>
                <w:b/>
                <w:sz w:val="20"/>
              </w:rPr>
              <w:t>:</w:t>
            </w:r>
            <w:r w:rsidRPr="00117237">
              <w:rPr>
                <w:b/>
                <w:sz w:val="20"/>
              </w:rPr>
              <w:t xml:space="preserve"> </w:t>
            </w:r>
            <w:r w:rsidRPr="00117237">
              <w:rPr>
                <w:sz w:val="20"/>
              </w:rPr>
              <w:t xml:space="preserve">To further our insights into the project’s implementation, outcomes, and key learnings, we </w:t>
            </w:r>
            <w:r w:rsidR="005F04AA" w:rsidRPr="00117237">
              <w:rPr>
                <w:sz w:val="20"/>
              </w:rPr>
              <w:t>ran</w:t>
            </w:r>
            <w:r w:rsidRPr="00117237">
              <w:rPr>
                <w:sz w:val="20"/>
              </w:rPr>
              <w:t xml:space="preserve"> interviews and / or small group discussions with key external stakeholder groups</w:t>
            </w:r>
            <w:r w:rsidR="009E4924" w:rsidRPr="00117237">
              <w:rPr>
                <w:sz w:val="20"/>
              </w:rPr>
              <w:t>:</w:t>
            </w:r>
          </w:p>
          <w:p w14:paraId="4C35164E" w14:textId="6CAB4FC0" w:rsidR="0063327E" w:rsidRPr="00117237" w:rsidRDefault="009E4924" w:rsidP="00B576F5">
            <w:pPr>
              <w:pStyle w:val="ListBullet"/>
              <w:ind w:left="357"/>
              <w:rPr>
                <w:sz w:val="20"/>
                <w:szCs w:val="16"/>
              </w:rPr>
            </w:pPr>
            <w:r w:rsidRPr="00117237">
              <w:rPr>
                <w:sz w:val="20"/>
                <w:szCs w:val="16"/>
              </w:rPr>
              <w:t>Working gr</w:t>
            </w:r>
            <w:r w:rsidR="00D1458E" w:rsidRPr="00117237">
              <w:rPr>
                <w:sz w:val="20"/>
                <w:szCs w:val="16"/>
              </w:rPr>
              <w:t xml:space="preserve">oup members from </w:t>
            </w:r>
            <w:r w:rsidR="0063327E" w:rsidRPr="00117237">
              <w:rPr>
                <w:sz w:val="20"/>
                <w:szCs w:val="16"/>
              </w:rPr>
              <w:t xml:space="preserve">participating TAFEs </w:t>
            </w:r>
          </w:p>
          <w:p w14:paraId="27195D69" w14:textId="30C6AE6A" w:rsidR="0063327E" w:rsidRPr="00117237" w:rsidRDefault="00CE6F90" w:rsidP="00B576F5">
            <w:pPr>
              <w:pStyle w:val="ListBullet"/>
              <w:ind w:left="357"/>
              <w:rPr>
                <w:sz w:val="20"/>
                <w:szCs w:val="16"/>
              </w:rPr>
            </w:pPr>
            <w:r w:rsidRPr="00117237">
              <w:rPr>
                <w:sz w:val="20"/>
                <w:szCs w:val="16"/>
              </w:rPr>
              <w:t>Internal Our Watch project team and other stakeholders</w:t>
            </w:r>
          </w:p>
          <w:p w14:paraId="27516106" w14:textId="52B93F88" w:rsidR="00AF5B52" w:rsidRPr="00117237" w:rsidRDefault="0063327E" w:rsidP="00AF5B52">
            <w:pPr>
              <w:rPr>
                <w:sz w:val="20"/>
              </w:rPr>
            </w:pPr>
            <w:r w:rsidRPr="00117237">
              <w:rPr>
                <w:b/>
                <w:sz w:val="20"/>
              </w:rPr>
              <w:t>Analysis</w:t>
            </w:r>
            <w:r w:rsidR="005F04AA" w:rsidRPr="00117237">
              <w:rPr>
                <w:b/>
                <w:sz w:val="20"/>
              </w:rPr>
              <w:t>:</w:t>
            </w:r>
            <w:r w:rsidRPr="00117237">
              <w:rPr>
                <w:b/>
                <w:sz w:val="20"/>
              </w:rPr>
              <w:t xml:space="preserve"> </w:t>
            </w:r>
            <w:r w:rsidR="00280121" w:rsidRPr="00117237">
              <w:rPr>
                <w:sz w:val="20"/>
              </w:rPr>
              <w:t>Throughout</w:t>
            </w:r>
            <w:r w:rsidRPr="00117237">
              <w:rPr>
                <w:sz w:val="20"/>
              </w:rPr>
              <w:t xml:space="preserve"> fieldwork </w:t>
            </w:r>
            <w:r w:rsidR="00280121" w:rsidRPr="00117237">
              <w:rPr>
                <w:sz w:val="20"/>
              </w:rPr>
              <w:t>we s</w:t>
            </w:r>
            <w:r w:rsidRPr="00117237">
              <w:rPr>
                <w:sz w:val="20"/>
              </w:rPr>
              <w:t>ynthesise</w:t>
            </w:r>
            <w:r w:rsidR="00280121" w:rsidRPr="00117237">
              <w:rPr>
                <w:sz w:val="20"/>
              </w:rPr>
              <w:t>d</w:t>
            </w:r>
            <w:r w:rsidRPr="00117237">
              <w:rPr>
                <w:sz w:val="20"/>
              </w:rPr>
              <w:t xml:space="preserve"> insights and data provided by Our Watch to develop thematic findings.</w:t>
            </w:r>
          </w:p>
        </w:tc>
        <w:tc>
          <w:tcPr>
            <w:tcW w:w="3821" w:type="dxa"/>
          </w:tcPr>
          <w:p w14:paraId="5792FEF9" w14:textId="7EAB0A3D" w:rsidR="00483CF9" w:rsidRPr="00117237" w:rsidRDefault="00483CF9" w:rsidP="00483CF9">
            <w:pPr>
              <w:rPr>
                <w:sz w:val="20"/>
              </w:rPr>
            </w:pPr>
            <w:r w:rsidRPr="00117237">
              <w:rPr>
                <w:b/>
                <w:sz w:val="20"/>
              </w:rPr>
              <w:t xml:space="preserve">Presentation of key findings </w:t>
            </w:r>
            <w:r w:rsidRPr="00117237">
              <w:rPr>
                <w:sz w:val="20"/>
              </w:rPr>
              <w:t xml:space="preserve">– </w:t>
            </w:r>
            <w:r w:rsidR="00A2043E" w:rsidRPr="00117237">
              <w:rPr>
                <w:sz w:val="20"/>
              </w:rPr>
              <w:t xml:space="preserve">We </w:t>
            </w:r>
            <w:r w:rsidR="00FF5C0F" w:rsidRPr="00117237">
              <w:rPr>
                <w:sz w:val="20"/>
              </w:rPr>
              <w:t>will hol</w:t>
            </w:r>
            <w:r w:rsidRPr="00117237">
              <w:rPr>
                <w:sz w:val="20"/>
              </w:rPr>
              <w:t>d a findings workshop with key staff to share, unpack and seek feedback on key findings from our evaluation activities.</w:t>
            </w:r>
          </w:p>
          <w:p w14:paraId="3982B327" w14:textId="64F971C7" w:rsidR="00551EC5" w:rsidRPr="00117237" w:rsidRDefault="00551EC5" w:rsidP="00551EC5">
            <w:pPr>
              <w:rPr>
                <w:sz w:val="20"/>
              </w:rPr>
            </w:pPr>
            <w:r w:rsidRPr="00117237">
              <w:rPr>
                <w:b/>
                <w:sz w:val="20"/>
              </w:rPr>
              <w:t xml:space="preserve">Draft report </w:t>
            </w:r>
            <w:r w:rsidRPr="00117237">
              <w:rPr>
                <w:sz w:val="20"/>
              </w:rPr>
              <w:t xml:space="preserve">– </w:t>
            </w:r>
            <w:r w:rsidR="000B029F" w:rsidRPr="00117237">
              <w:rPr>
                <w:sz w:val="20"/>
              </w:rPr>
              <w:t>We will p</w:t>
            </w:r>
            <w:r w:rsidRPr="00117237">
              <w:rPr>
                <w:sz w:val="20"/>
              </w:rPr>
              <w:t xml:space="preserve">rovide you with </w:t>
            </w:r>
            <w:r w:rsidR="000B029F" w:rsidRPr="00117237">
              <w:rPr>
                <w:sz w:val="20"/>
              </w:rPr>
              <w:t>this</w:t>
            </w:r>
            <w:r w:rsidRPr="00117237">
              <w:rPr>
                <w:sz w:val="20"/>
              </w:rPr>
              <w:t xml:space="preserve"> draft report which comprise</w:t>
            </w:r>
            <w:r w:rsidR="000B029F" w:rsidRPr="00117237">
              <w:rPr>
                <w:sz w:val="20"/>
              </w:rPr>
              <w:t>s</w:t>
            </w:r>
            <w:r w:rsidRPr="00117237">
              <w:rPr>
                <w:sz w:val="20"/>
              </w:rPr>
              <w:t xml:space="preserve"> of findings and recommendations as well as a succinct executive summary.</w:t>
            </w:r>
          </w:p>
          <w:p w14:paraId="08B36259" w14:textId="77777777" w:rsidR="00C059CB" w:rsidRPr="00117237" w:rsidRDefault="00C059CB" w:rsidP="00C059CB">
            <w:pPr>
              <w:rPr>
                <w:sz w:val="20"/>
              </w:rPr>
            </w:pPr>
            <w:r w:rsidRPr="00117237">
              <w:rPr>
                <w:b/>
                <w:sz w:val="20"/>
              </w:rPr>
              <w:t xml:space="preserve">Presentation of final report findings </w:t>
            </w:r>
            <w:r w:rsidRPr="00117237">
              <w:rPr>
                <w:sz w:val="20"/>
              </w:rPr>
              <w:t>– We will review your feedback and prepare a presentation on the final report findings.</w:t>
            </w:r>
          </w:p>
          <w:p w14:paraId="1B503BBC" w14:textId="77777777" w:rsidR="00C059CB" w:rsidRPr="00117237" w:rsidRDefault="00C059CB" w:rsidP="00C059CB">
            <w:pPr>
              <w:rPr>
                <w:sz w:val="20"/>
              </w:rPr>
            </w:pPr>
            <w:r w:rsidRPr="00117237">
              <w:rPr>
                <w:b/>
                <w:sz w:val="20"/>
              </w:rPr>
              <w:t xml:space="preserve">Final report – </w:t>
            </w:r>
            <w:r w:rsidRPr="00117237">
              <w:rPr>
                <w:sz w:val="20"/>
              </w:rPr>
              <w:t>Provide you with a final report that incorporates your feedback from the draft report.</w:t>
            </w:r>
          </w:p>
          <w:p w14:paraId="234550ED" w14:textId="77777777" w:rsidR="00162A48" w:rsidRPr="00117237" w:rsidRDefault="004D6597" w:rsidP="004D6597">
            <w:pPr>
              <w:rPr>
                <w:sz w:val="20"/>
              </w:rPr>
            </w:pPr>
            <w:r w:rsidRPr="00117237">
              <w:rPr>
                <w:b/>
                <w:sz w:val="20"/>
              </w:rPr>
              <w:t xml:space="preserve">Summary presentation – </w:t>
            </w:r>
            <w:r w:rsidRPr="00117237">
              <w:rPr>
                <w:sz w:val="20"/>
              </w:rPr>
              <w:t>Provide you with an accessible evaluation summary presentation to be used to disseminate learnings with a range of audiences. The specific format will be agreed on with Our Watch.</w:t>
            </w:r>
          </w:p>
          <w:p w14:paraId="0A032816" w14:textId="42227258" w:rsidR="005C5BBF" w:rsidRPr="00117237" w:rsidRDefault="005C5BBF" w:rsidP="005C5BBF">
            <w:pPr>
              <w:rPr>
                <w:sz w:val="20"/>
              </w:rPr>
            </w:pPr>
            <w:r w:rsidRPr="00117237">
              <w:rPr>
                <w:b/>
                <w:sz w:val="20"/>
              </w:rPr>
              <w:t xml:space="preserve">Theory of Change workshop: </w:t>
            </w:r>
            <w:r w:rsidRPr="00117237">
              <w:rPr>
                <w:sz w:val="20"/>
              </w:rPr>
              <w:t xml:space="preserve">We will conduct a workshop with the RET2 project team and other Our Watch staff to test our findings from the evaluation to refine the existing Theory of Change. </w:t>
            </w:r>
          </w:p>
          <w:p w14:paraId="7803FA05" w14:textId="5354B9D7" w:rsidR="00AF5B52" w:rsidRPr="00117237" w:rsidRDefault="005C5BBF" w:rsidP="00AF5B52">
            <w:pPr>
              <w:rPr>
                <w:b/>
                <w:sz w:val="20"/>
              </w:rPr>
            </w:pPr>
            <w:r w:rsidRPr="00117237">
              <w:rPr>
                <w:b/>
                <w:sz w:val="20"/>
              </w:rPr>
              <w:t xml:space="preserve">Updated Theory of Change: </w:t>
            </w:r>
            <w:r w:rsidRPr="00117237">
              <w:rPr>
                <w:sz w:val="20"/>
              </w:rPr>
              <w:t>We will refine the Theory of Change discussed in the workshop, incorporating feedback and findings</w:t>
            </w:r>
            <w:r w:rsidR="00750F07" w:rsidRPr="00117237">
              <w:rPr>
                <w:sz w:val="20"/>
              </w:rPr>
              <w:t>.</w:t>
            </w:r>
            <w:r w:rsidRPr="00117237">
              <w:rPr>
                <w:sz w:val="20"/>
              </w:rPr>
              <w:t xml:space="preserve"> This updated version will integrate adjustments based on implementation learnings, ensuring it serves as a practical guide for future efforts.</w:t>
            </w:r>
          </w:p>
        </w:tc>
      </w:tr>
    </w:tbl>
    <w:p w14:paraId="26EB19B2" w14:textId="77777777" w:rsidR="00AF5B52" w:rsidRPr="00117237" w:rsidRDefault="00AF5B52" w:rsidP="00AF5B52"/>
    <w:p w14:paraId="6290A7D0" w14:textId="77777777" w:rsidR="00845F17" w:rsidRDefault="00845F17" w:rsidP="00DC12CD">
      <w:pPr>
        <w:pStyle w:val="BodyTextAfterBullets"/>
      </w:pPr>
    </w:p>
    <w:p w14:paraId="1E821D4F" w14:textId="5EB1B599" w:rsidR="000D2BE6" w:rsidRPr="00DC12CD" w:rsidRDefault="000D2BE6" w:rsidP="00DC12CD">
      <w:pPr>
        <w:pStyle w:val="BodyTextAfterBullets"/>
        <w:rPr>
          <w:b/>
          <w:bCs/>
        </w:rPr>
      </w:pPr>
      <w:r w:rsidRPr="00DC12CD">
        <w:rPr>
          <w:b/>
          <w:bCs/>
        </w:rPr>
        <w:lastRenderedPageBreak/>
        <w:t>Our evaluation was underpinned by several ethics and safety principles outlined in our evaluation plan.</w:t>
      </w:r>
    </w:p>
    <w:p w14:paraId="00AB240A" w14:textId="77777777" w:rsidR="000D2BE6" w:rsidRPr="00117237" w:rsidRDefault="000D2BE6" w:rsidP="000D2BE6">
      <w:pPr>
        <w:spacing w:line="276" w:lineRule="auto"/>
      </w:pPr>
      <w:r w:rsidRPr="00117237">
        <w:t xml:space="preserve">There are several ethical considerations associated with the RET2 evaluation, several of which are described in more detail below. </w:t>
      </w:r>
    </w:p>
    <w:p w14:paraId="409239EC" w14:textId="77777777" w:rsidR="000D2BE6" w:rsidRPr="00117237" w:rsidRDefault="000D2BE6" w:rsidP="000D2BE6">
      <w:pPr>
        <w:spacing w:line="276" w:lineRule="auto"/>
      </w:pPr>
      <w:r w:rsidRPr="00117237">
        <w:t xml:space="preserve">We completed Our Watch Ethical Information Collection and Use Plan as a third-party contractor responsible for some information collection and use purposes. </w:t>
      </w:r>
    </w:p>
    <w:p w14:paraId="44C4E59B" w14:textId="77777777" w:rsidR="000D2BE6" w:rsidRPr="00117237" w:rsidRDefault="000D2BE6" w:rsidP="000D2BE6">
      <w:pPr>
        <w:spacing w:line="276" w:lineRule="auto"/>
      </w:pPr>
      <w:r w:rsidRPr="00117237">
        <w:t>The overall evaluation approach has been designed in accordance with relevant documents and standards, including:</w:t>
      </w:r>
    </w:p>
    <w:p w14:paraId="50A94C91" w14:textId="77777777" w:rsidR="000D2BE6" w:rsidRPr="00117237" w:rsidRDefault="000D2BE6" w:rsidP="00BF0512">
      <w:pPr>
        <w:pStyle w:val="ListBullet"/>
      </w:pPr>
      <w:r w:rsidRPr="00117237">
        <w:t>Guidelines for Ethical Conduct of Research (2023)</w:t>
      </w:r>
    </w:p>
    <w:p w14:paraId="09EB27AD" w14:textId="77777777" w:rsidR="000D2BE6" w:rsidRPr="00117237" w:rsidRDefault="000D2BE6" w:rsidP="00BF0512">
      <w:pPr>
        <w:pStyle w:val="ListBullet"/>
      </w:pPr>
      <w:r w:rsidRPr="00117237">
        <w:t>National Statement on Ethical Conduct in Human Research 2023</w:t>
      </w:r>
    </w:p>
    <w:p w14:paraId="1D5DD8E3" w14:textId="77777777" w:rsidR="000D2BE6" w:rsidRPr="00117237" w:rsidRDefault="000D2BE6" w:rsidP="00BF0512">
      <w:pPr>
        <w:pStyle w:val="ListBullet"/>
      </w:pPr>
      <w:r w:rsidRPr="00117237">
        <w:t>Australian Code for the Responsible Conduct of Research</w:t>
      </w:r>
    </w:p>
    <w:p w14:paraId="3456496B" w14:textId="77777777" w:rsidR="000D2BE6" w:rsidRPr="00117237" w:rsidRDefault="000D2BE6" w:rsidP="00BF0512">
      <w:pPr>
        <w:pStyle w:val="ListBullet"/>
      </w:pPr>
      <w:r w:rsidRPr="00117237">
        <w:t>Commonwealth Privacy Act 1988</w:t>
      </w:r>
    </w:p>
    <w:p w14:paraId="6D4B5640" w14:textId="77777777" w:rsidR="000D2BE6" w:rsidRPr="00117237" w:rsidRDefault="000D2BE6" w:rsidP="00BF0512">
      <w:pPr>
        <w:pStyle w:val="ListBullet"/>
      </w:pPr>
      <w:r w:rsidRPr="00117237">
        <w:t xml:space="preserve">The Australian Privacy Principles    </w:t>
      </w:r>
    </w:p>
    <w:p w14:paraId="7E38C0EB" w14:textId="77777777" w:rsidR="000D2BE6" w:rsidRPr="00117237" w:rsidRDefault="000D2BE6" w:rsidP="00BF0512">
      <w:pPr>
        <w:pStyle w:val="ListBullet"/>
      </w:pPr>
      <w:r w:rsidRPr="00117237">
        <w:t xml:space="preserve">The Australian Evaluation Society Guidelines for the Ethical Conduct of Evaluations </w:t>
      </w:r>
    </w:p>
    <w:p w14:paraId="624DF852" w14:textId="7D747A3C" w:rsidR="000D2BE6" w:rsidRPr="00117237" w:rsidRDefault="000D2BE6" w:rsidP="000D2BE6">
      <w:r w:rsidRPr="00117237">
        <w:t xml:space="preserve">Although the overall project focuses on a sensitive topic (violence against women), the evaluation processes were not designed or intended to collect any sensitive information, and the focus of the project is on organisational and system responses rather than individual experiences. New data is only anticipated to be collected from TAFE and system actors and Our Watch project staff, and there is no intent to collect data directly from TAFE students. Thus, the overall evaluation was considered </w:t>
      </w:r>
      <w:r w:rsidR="00292F7E" w:rsidRPr="00117237">
        <w:t>low risk</w:t>
      </w:r>
      <w:r w:rsidRPr="00117237">
        <w:t xml:space="preserve">. </w:t>
      </w:r>
    </w:p>
    <w:p w14:paraId="643C52DB" w14:textId="37DF9D5E" w:rsidR="000D2BE6" w:rsidRPr="00117237" w:rsidRDefault="000D2BE6" w:rsidP="000D2BE6">
      <w:r w:rsidRPr="00117237">
        <w:t xml:space="preserve">Further information on the ethics principles of the evaluation </w:t>
      </w:r>
      <w:r w:rsidR="00292F7E" w:rsidRPr="00117237">
        <w:t>is</w:t>
      </w:r>
      <w:r w:rsidRPr="00117237">
        <w:t xml:space="preserve"> captured in our evaluation plan including informed consent, privacy, do no harm, data sharing, secure management and use of data and data management. </w:t>
      </w:r>
    </w:p>
    <w:p w14:paraId="0C16ADD3" w14:textId="77777777" w:rsidR="00C46BD3" w:rsidRPr="00117237" w:rsidRDefault="00C46BD3">
      <w:pPr>
        <w:spacing w:after="240"/>
        <w:rPr>
          <w:rFonts w:asciiTheme="majorHAnsi" w:hAnsiTheme="majorHAnsi"/>
          <w:color w:val="931B2F" w:themeColor="background2"/>
          <w:sz w:val="32"/>
        </w:rPr>
      </w:pPr>
      <w:r w:rsidRPr="00117237">
        <w:br w:type="page"/>
      </w:r>
    </w:p>
    <w:p w14:paraId="1EC6E85B" w14:textId="33637BE5" w:rsidR="00887424" w:rsidRPr="00117237" w:rsidRDefault="001448E4" w:rsidP="00845F17">
      <w:pPr>
        <w:pStyle w:val="Heading2"/>
        <w:numPr>
          <w:ilvl w:val="0"/>
          <w:numId w:val="0"/>
        </w:numPr>
        <w:ind w:left="567" w:hanging="567"/>
      </w:pPr>
      <w:bookmarkStart w:id="47" w:name="_Toc204168371"/>
      <w:r w:rsidRPr="00117237">
        <w:lastRenderedPageBreak/>
        <w:t xml:space="preserve">Appendix </w:t>
      </w:r>
      <w:r w:rsidR="00BC7B92" w:rsidRPr="00117237">
        <w:t>H</w:t>
      </w:r>
      <w:r w:rsidRPr="00117237">
        <w:t xml:space="preserve">: </w:t>
      </w:r>
      <w:r w:rsidR="005D7F2E" w:rsidRPr="00117237">
        <w:t>dandolo</w:t>
      </w:r>
      <w:r w:rsidRPr="00117237">
        <w:t xml:space="preserve"> Analysis Sources</w:t>
      </w:r>
      <w:bookmarkEnd w:id="47"/>
      <w:r w:rsidRPr="00117237">
        <w:t xml:space="preserve"> </w:t>
      </w:r>
    </w:p>
    <w:p w14:paraId="064F3ADD" w14:textId="0161137E" w:rsidR="00DF00DE" w:rsidRPr="00117237" w:rsidRDefault="00DF00DE" w:rsidP="001448E4">
      <w:pPr>
        <w:pStyle w:val="BodyTextAfterBullets"/>
        <w:rPr>
          <w:sz w:val="22"/>
          <w:szCs w:val="21"/>
        </w:rPr>
      </w:pPr>
      <w:r w:rsidRPr="00117237">
        <w:rPr>
          <w:sz w:val="22"/>
          <w:szCs w:val="21"/>
        </w:rPr>
        <w:t>dandolo undertook desktop analysis of the TAFE sector from publicly available information and starting condition case studies produced by Our Watch. These sources can be seen below.</w:t>
      </w:r>
    </w:p>
    <w:p w14:paraId="69F044AF" w14:textId="56C794DA" w:rsidR="00EA0B41" w:rsidRPr="00117237" w:rsidRDefault="00EA0B41" w:rsidP="00AF65E2">
      <w:pPr>
        <w:pStyle w:val="BodyTextAfterBullets"/>
        <w:rPr>
          <w:sz w:val="22"/>
        </w:rPr>
      </w:pPr>
      <w:r w:rsidRPr="00117237">
        <w:rPr>
          <w:sz w:val="22"/>
        </w:rPr>
        <w:t>A Vanstone</w:t>
      </w:r>
      <w:r w:rsidR="00AF65E2" w:rsidRPr="00117237">
        <w:rPr>
          <w:sz w:val="22"/>
        </w:rPr>
        <w:t xml:space="preserve">, ‘Evaluation of the Practices, Policies and Procedures of TAFE SA’, </w:t>
      </w:r>
      <w:r w:rsidR="00C23A48" w:rsidRPr="00117237">
        <w:rPr>
          <w:i/>
          <w:iCs/>
          <w:sz w:val="22"/>
        </w:rPr>
        <w:t>Independent Co</w:t>
      </w:r>
      <w:r w:rsidR="009A0B40" w:rsidRPr="00117237">
        <w:rPr>
          <w:i/>
          <w:iCs/>
          <w:sz w:val="22"/>
        </w:rPr>
        <w:t xml:space="preserve">mmission Against Corruption South Australia, </w:t>
      </w:r>
      <w:r w:rsidR="00AF65E2" w:rsidRPr="00117237">
        <w:rPr>
          <w:sz w:val="22"/>
        </w:rPr>
        <w:t>202</w:t>
      </w:r>
      <w:r w:rsidR="00181796" w:rsidRPr="00117237">
        <w:rPr>
          <w:sz w:val="22"/>
        </w:rPr>
        <w:t>3</w:t>
      </w:r>
      <w:r w:rsidR="001525EE" w:rsidRPr="00117237">
        <w:rPr>
          <w:sz w:val="22"/>
        </w:rPr>
        <w:t xml:space="preserve">, </w:t>
      </w:r>
      <w:hyperlink r:id="rId33" w:history="1">
        <w:r w:rsidR="00263753" w:rsidRPr="00117237">
          <w:rPr>
            <w:rStyle w:val="Hyperlink"/>
            <w:sz w:val="22"/>
          </w:rPr>
          <w:t>https://www.icac.sa.gov.au/documents/TAFE-SA-Evaluation.pdf</w:t>
        </w:r>
      </w:hyperlink>
      <w:r w:rsidR="00263753" w:rsidRPr="00117237">
        <w:rPr>
          <w:sz w:val="22"/>
        </w:rPr>
        <w:t xml:space="preserve"> </w:t>
      </w:r>
    </w:p>
    <w:p w14:paraId="619526A8" w14:textId="77777777" w:rsidR="000C7F05" w:rsidRPr="00117237" w:rsidRDefault="000C7F05" w:rsidP="000C7F05">
      <w:pPr>
        <w:pStyle w:val="BodyTextAfterBullets"/>
        <w:rPr>
          <w:sz w:val="22"/>
          <w:szCs w:val="21"/>
        </w:rPr>
      </w:pPr>
      <w:r w:rsidRPr="00117237">
        <w:rPr>
          <w:sz w:val="22"/>
          <w:szCs w:val="21"/>
        </w:rPr>
        <w:t xml:space="preserve">Australian Bureau of Statistics, ‘Cultural diversity: Census’, </w:t>
      </w:r>
      <w:r w:rsidRPr="00117237">
        <w:rPr>
          <w:i/>
          <w:sz w:val="22"/>
          <w:szCs w:val="21"/>
        </w:rPr>
        <w:t>Australian Bureau of Statistics</w:t>
      </w:r>
      <w:r w:rsidRPr="00117237">
        <w:rPr>
          <w:sz w:val="22"/>
          <w:szCs w:val="21"/>
        </w:rPr>
        <w:t xml:space="preserve">, 2021, </w:t>
      </w:r>
      <w:hyperlink r:id="rId34" w:history="1">
        <w:r w:rsidRPr="00117237">
          <w:rPr>
            <w:rStyle w:val="Hyperlink"/>
            <w:sz w:val="22"/>
            <w:szCs w:val="21"/>
          </w:rPr>
          <w:t>https://www.abs.gov.au/statistics/people/people-and-communities/cultural-diversity-census/2021</w:t>
        </w:r>
      </w:hyperlink>
      <w:r w:rsidRPr="00117237">
        <w:rPr>
          <w:sz w:val="22"/>
          <w:szCs w:val="21"/>
        </w:rPr>
        <w:t xml:space="preserve"> </w:t>
      </w:r>
    </w:p>
    <w:p w14:paraId="31F8E2BC" w14:textId="77777777" w:rsidR="000C7F05" w:rsidRPr="00117237" w:rsidRDefault="000C7F05" w:rsidP="000C7F05">
      <w:pPr>
        <w:pStyle w:val="BodyTextAfterBullets"/>
        <w:rPr>
          <w:sz w:val="22"/>
          <w:szCs w:val="21"/>
        </w:rPr>
      </w:pPr>
      <w:r w:rsidRPr="00117237">
        <w:rPr>
          <w:sz w:val="22"/>
          <w:szCs w:val="21"/>
        </w:rPr>
        <w:t xml:space="preserve">Australian Bureau of Statistics, ‘Australia: Aboriginal and Torres Strait Islander population summary’, </w:t>
      </w:r>
      <w:r w:rsidRPr="00117237">
        <w:rPr>
          <w:i/>
          <w:sz w:val="22"/>
          <w:szCs w:val="21"/>
        </w:rPr>
        <w:t>Australian Bureau of Statistics</w:t>
      </w:r>
      <w:r w:rsidRPr="00117237">
        <w:rPr>
          <w:sz w:val="22"/>
          <w:szCs w:val="21"/>
        </w:rPr>
        <w:t xml:space="preserve">, 2022, </w:t>
      </w:r>
      <w:hyperlink r:id="rId35" w:history="1">
        <w:r w:rsidRPr="00117237">
          <w:rPr>
            <w:rStyle w:val="Hyperlink"/>
            <w:sz w:val="22"/>
            <w:szCs w:val="21"/>
          </w:rPr>
          <w:t>https://www.abs.gov.au/articles/australia-aboriginal-and-torres-strait-islander-population-summary</w:t>
        </w:r>
      </w:hyperlink>
      <w:r w:rsidRPr="00117237">
        <w:rPr>
          <w:sz w:val="22"/>
          <w:szCs w:val="21"/>
        </w:rPr>
        <w:t xml:space="preserve"> </w:t>
      </w:r>
    </w:p>
    <w:p w14:paraId="341F08C2" w14:textId="77777777" w:rsidR="000C7F05" w:rsidRPr="00117237" w:rsidRDefault="000C7F05" w:rsidP="000C7F05">
      <w:pPr>
        <w:pStyle w:val="BodyTextAfterBullets"/>
        <w:rPr>
          <w:sz w:val="22"/>
          <w:szCs w:val="21"/>
        </w:rPr>
      </w:pPr>
      <w:r w:rsidRPr="00117237">
        <w:rPr>
          <w:sz w:val="22"/>
          <w:szCs w:val="21"/>
        </w:rPr>
        <w:t xml:space="preserve">Australian Bureau of Statistics, ‘Disability, Ageing and Carers, Australia: Summary of Findings’, </w:t>
      </w:r>
      <w:r w:rsidRPr="00117237">
        <w:rPr>
          <w:i/>
          <w:sz w:val="22"/>
          <w:szCs w:val="21"/>
        </w:rPr>
        <w:t>Australian Bureau of Statistics</w:t>
      </w:r>
      <w:r w:rsidRPr="00117237">
        <w:rPr>
          <w:sz w:val="22"/>
          <w:szCs w:val="21"/>
        </w:rPr>
        <w:t xml:space="preserve">, 2022, </w:t>
      </w:r>
      <w:hyperlink r:id="rId36" w:history="1">
        <w:r w:rsidRPr="00117237">
          <w:rPr>
            <w:rStyle w:val="Hyperlink"/>
            <w:sz w:val="22"/>
            <w:szCs w:val="21"/>
          </w:rPr>
          <w:t>https://www.abs.gov.au/statistics/health/disability/disability-ageing-and- carers-</w:t>
        </w:r>
      </w:hyperlink>
      <w:hyperlink r:id="rId37" w:history="1">
        <w:r w:rsidRPr="00117237">
          <w:rPr>
            <w:rStyle w:val="Hyperlink"/>
            <w:sz w:val="22"/>
            <w:szCs w:val="21"/>
          </w:rPr>
          <w:t>australia</w:t>
        </w:r>
      </w:hyperlink>
      <w:hyperlink r:id="rId38" w:history="1">
        <w:r w:rsidRPr="00117237">
          <w:rPr>
            <w:rStyle w:val="Hyperlink"/>
            <w:sz w:val="22"/>
            <w:szCs w:val="21"/>
          </w:rPr>
          <w:t>-summary-findings/2022</w:t>
        </w:r>
      </w:hyperlink>
      <w:r w:rsidRPr="00117237">
        <w:rPr>
          <w:sz w:val="22"/>
          <w:szCs w:val="21"/>
        </w:rPr>
        <w:t xml:space="preserve"> </w:t>
      </w:r>
    </w:p>
    <w:p w14:paraId="539DA378" w14:textId="68FA1F96" w:rsidR="000C7F05" w:rsidRPr="00117237" w:rsidRDefault="000C7F05" w:rsidP="00AF65E2">
      <w:pPr>
        <w:pStyle w:val="BodyTextAfterBullets"/>
        <w:rPr>
          <w:sz w:val="22"/>
          <w:szCs w:val="21"/>
        </w:rPr>
      </w:pPr>
      <w:r w:rsidRPr="00117237">
        <w:rPr>
          <w:sz w:val="22"/>
          <w:szCs w:val="21"/>
        </w:rPr>
        <w:t xml:space="preserve">Australian Bureau of Statistics, ‘Population estimates by LGA, Significant Urban Area, Remoteness Area, Commonwealth Electoral Division and State Electoral Division, 2001 to 2023’, </w:t>
      </w:r>
      <w:r w:rsidRPr="00117237">
        <w:rPr>
          <w:i/>
          <w:sz w:val="22"/>
          <w:szCs w:val="21"/>
        </w:rPr>
        <w:t>Australian Bureau of Statistics</w:t>
      </w:r>
      <w:r w:rsidRPr="00117237">
        <w:rPr>
          <w:sz w:val="22"/>
          <w:szCs w:val="21"/>
        </w:rPr>
        <w:t xml:space="preserve">, 2024, </w:t>
      </w:r>
      <w:hyperlink r:id="rId39" w:history="1">
        <w:r w:rsidRPr="00117237">
          <w:rPr>
            <w:rStyle w:val="Hyperlink"/>
            <w:sz w:val="22"/>
            <w:szCs w:val="21"/>
          </w:rPr>
          <w:t>https://www.abs.gov.au/statistics/people/population/regional-population/2022-23</w:t>
        </w:r>
      </w:hyperlink>
      <w:r w:rsidRPr="00117237">
        <w:rPr>
          <w:sz w:val="22"/>
          <w:szCs w:val="21"/>
        </w:rPr>
        <w:t xml:space="preserve"> </w:t>
      </w:r>
    </w:p>
    <w:p w14:paraId="5A315026" w14:textId="77777777" w:rsidR="00D4230E" w:rsidRPr="00117237" w:rsidRDefault="00BE5C11" w:rsidP="00CC7831">
      <w:pPr>
        <w:pStyle w:val="BodyTextAfterBullets"/>
        <w:rPr>
          <w:sz w:val="22"/>
        </w:rPr>
      </w:pPr>
      <w:r w:rsidRPr="00117237">
        <w:rPr>
          <w:sz w:val="22"/>
        </w:rPr>
        <w:t>Batchelor</w:t>
      </w:r>
      <w:r w:rsidR="00762DB4" w:rsidRPr="00117237">
        <w:rPr>
          <w:sz w:val="22"/>
        </w:rPr>
        <w:t xml:space="preserve"> Institute of Indigenous Tertiary Education, ‘Annual Report 2023’, </w:t>
      </w:r>
      <w:r w:rsidR="00762DB4" w:rsidRPr="00117237">
        <w:rPr>
          <w:i/>
          <w:iCs/>
          <w:sz w:val="22"/>
        </w:rPr>
        <w:t xml:space="preserve">Batchelor Institute, </w:t>
      </w:r>
      <w:r w:rsidR="00762DB4" w:rsidRPr="00117237">
        <w:rPr>
          <w:sz w:val="22"/>
        </w:rPr>
        <w:t xml:space="preserve">2023, </w:t>
      </w:r>
      <w:hyperlink r:id="rId40" w:history="1">
        <w:r w:rsidR="00762DB4" w:rsidRPr="00117237">
          <w:rPr>
            <w:rStyle w:val="Hyperlink"/>
            <w:sz w:val="22"/>
          </w:rPr>
          <w:t>https://www.batchelor.edu.au/uploads/About/Annual_Report_2023_polished-digital.pdf</w:t>
        </w:r>
      </w:hyperlink>
      <w:r w:rsidR="00762DB4" w:rsidRPr="00117237">
        <w:rPr>
          <w:sz w:val="22"/>
        </w:rPr>
        <w:t xml:space="preserve"> </w:t>
      </w:r>
    </w:p>
    <w:p w14:paraId="611C30E6" w14:textId="06B70FD7" w:rsidR="00646CFB" w:rsidRPr="00117237" w:rsidRDefault="00646CFB" w:rsidP="00CC7831">
      <w:pPr>
        <w:pStyle w:val="BodyTextAfterBullets"/>
        <w:rPr>
          <w:sz w:val="22"/>
        </w:rPr>
      </w:pPr>
      <w:r w:rsidRPr="00117237">
        <w:rPr>
          <w:sz w:val="22"/>
        </w:rPr>
        <w:t>C Smith, ‘</w:t>
      </w:r>
      <w:r w:rsidR="00FE3A56" w:rsidRPr="00117237">
        <w:rPr>
          <w:sz w:val="22"/>
        </w:rPr>
        <w:t>CDU responds as Motor Trades slams Territory Tafe trade trainin</w:t>
      </w:r>
      <w:r w:rsidR="00247AEF" w:rsidRPr="00117237">
        <w:rPr>
          <w:sz w:val="22"/>
        </w:rPr>
        <w:t xml:space="preserve">g’, </w:t>
      </w:r>
      <w:r w:rsidR="00691C4D" w:rsidRPr="00117237">
        <w:rPr>
          <w:i/>
          <w:iCs/>
          <w:sz w:val="22"/>
        </w:rPr>
        <w:t xml:space="preserve">NT News, </w:t>
      </w:r>
      <w:r w:rsidR="00691C4D" w:rsidRPr="00117237">
        <w:rPr>
          <w:sz w:val="22"/>
        </w:rPr>
        <w:t xml:space="preserve">2024, </w:t>
      </w:r>
      <w:hyperlink r:id="rId41" w:history="1">
        <w:r w:rsidR="006508CE" w:rsidRPr="00117237">
          <w:rPr>
            <w:rStyle w:val="Hyperlink"/>
            <w:sz w:val="22"/>
          </w:rPr>
          <w:t>https://www.ntnews.com.au/business/nt-business/motor-trades-slams-cdu-tafe-trade-training/news-story/c444fdfe378e3d9a6ce997087ed272e5</w:t>
        </w:r>
      </w:hyperlink>
      <w:r w:rsidR="006508CE" w:rsidRPr="00117237">
        <w:rPr>
          <w:sz w:val="22"/>
        </w:rPr>
        <w:t xml:space="preserve"> </w:t>
      </w:r>
    </w:p>
    <w:p w14:paraId="7662737B" w14:textId="3F5DBFB3" w:rsidR="000E25A0" w:rsidRPr="00117237" w:rsidRDefault="000E25A0" w:rsidP="00CC7831">
      <w:pPr>
        <w:pStyle w:val="BodyTextAfterBullets"/>
        <w:rPr>
          <w:sz w:val="22"/>
        </w:rPr>
      </w:pPr>
      <w:r w:rsidRPr="00117237">
        <w:rPr>
          <w:sz w:val="22"/>
        </w:rPr>
        <w:t xml:space="preserve">Canberra Institute of Technology, </w:t>
      </w:r>
      <w:r w:rsidR="0092646A" w:rsidRPr="00117237">
        <w:rPr>
          <w:sz w:val="22"/>
        </w:rPr>
        <w:t xml:space="preserve">‘Annual Report 2023’, </w:t>
      </w:r>
      <w:r w:rsidR="0092646A" w:rsidRPr="00117237">
        <w:rPr>
          <w:i/>
          <w:iCs/>
          <w:sz w:val="22"/>
        </w:rPr>
        <w:t xml:space="preserve">Canberra Institute of Technology, </w:t>
      </w:r>
      <w:r w:rsidR="0092646A" w:rsidRPr="00117237">
        <w:rPr>
          <w:sz w:val="22"/>
        </w:rPr>
        <w:t xml:space="preserve">2023, </w:t>
      </w:r>
      <w:hyperlink r:id="rId42" w:history="1">
        <w:r w:rsidR="0092646A" w:rsidRPr="00117237">
          <w:rPr>
            <w:rStyle w:val="Hyperlink"/>
            <w:sz w:val="22"/>
          </w:rPr>
          <w:t>https://cit.edu.au/__data/assets/pdf_file/0005/298373/6211855950_CIT_2023_Annual_Report_FA.pdf</w:t>
        </w:r>
      </w:hyperlink>
      <w:r w:rsidR="0092646A" w:rsidRPr="00117237">
        <w:rPr>
          <w:sz w:val="22"/>
        </w:rPr>
        <w:t xml:space="preserve"> </w:t>
      </w:r>
    </w:p>
    <w:p w14:paraId="01FCA534" w14:textId="77777777" w:rsidR="00DB39C3" w:rsidRPr="00117237" w:rsidRDefault="00DB39C3" w:rsidP="00DB39C3">
      <w:pPr>
        <w:pStyle w:val="BodyTextAfterBullets"/>
        <w:rPr>
          <w:sz w:val="22"/>
        </w:rPr>
      </w:pPr>
      <w:r w:rsidRPr="00117237">
        <w:rPr>
          <w:sz w:val="22"/>
        </w:rPr>
        <w:t xml:space="preserve">Canberra Institute of Technology, ‘Gender Equality Action Plan 2024-2026’, </w:t>
      </w:r>
      <w:r w:rsidRPr="00117237">
        <w:rPr>
          <w:i/>
          <w:iCs/>
          <w:sz w:val="22"/>
        </w:rPr>
        <w:t xml:space="preserve">Canberra Institute of Technology, </w:t>
      </w:r>
      <w:r w:rsidRPr="00117237">
        <w:rPr>
          <w:sz w:val="22"/>
        </w:rPr>
        <w:t xml:space="preserve">2024, </w:t>
      </w:r>
      <w:hyperlink r:id="rId43" w:history="1">
        <w:r w:rsidRPr="00117237">
          <w:rPr>
            <w:rStyle w:val="Hyperlink"/>
            <w:sz w:val="22"/>
          </w:rPr>
          <w:t>https://cit.edu.au/__data/assets/pdf_file/0008/311768/cit_gender_equity_action_plan.pdf</w:t>
        </w:r>
      </w:hyperlink>
      <w:r w:rsidRPr="00117237">
        <w:rPr>
          <w:sz w:val="22"/>
        </w:rPr>
        <w:t xml:space="preserve"> </w:t>
      </w:r>
    </w:p>
    <w:p w14:paraId="72C09E60" w14:textId="4AA166D7" w:rsidR="00DB39C3" w:rsidRPr="00117237" w:rsidRDefault="00DB39C3" w:rsidP="00CC7831">
      <w:pPr>
        <w:pStyle w:val="BodyTextAfterBullets"/>
        <w:rPr>
          <w:sz w:val="22"/>
        </w:rPr>
      </w:pPr>
      <w:r w:rsidRPr="00117237">
        <w:rPr>
          <w:sz w:val="22"/>
        </w:rPr>
        <w:t>Charles Darwin University, ‘CDU responds to National Student Safety Survey results</w:t>
      </w:r>
      <w:r w:rsidR="006A09D9" w:rsidRPr="00117237">
        <w:rPr>
          <w:sz w:val="22"/>
        </w:rPr>
        <w:t>’</w:t>
      </w:r>
      <w:r w:rsidRPr="00117237">
        <w:rPr>
          <w:sz w:val="22"/>
        </w:rPr>
        <w:t xml:space="preserve">, </w:t>
      </w:r>
      <w:r w:rsidRPr="00117237">
        <w:rPr>
          <w:i/>
          <w:iCs/>
          <w:sz w:val="22"/>
        </w:rPr>
        <w:t xml:space="preserve">Charles Darwin University Newsroom, </w:t>
      </w:r>
      <w:r w:rsidRPr="00117237">
        <w:rPr>
          <w:sz w:val="22"/>
        </w:rPr>
        <w:t xml:space="preserve">2022, </w:t>
      </w:r>
      <w:hyperlink r:id="rId44" w:history="1">
        <w:r w:rsidRPr="00117237">
          <w:rPr>
            <w:rStyle w:val="Hyperlink"/>
            <w:sz w:val="22"/>
          </w:rPr>
          <w:t>https://www.cdu.edu.au/news/cdu-responds-national-student-safety-survey-results</w:t>
        </w:r>
      </w:hyperlink>
      <w:r w:rsidRPr="00117237">
        <w:rPr>
          <w:sz w:val="22"/>
        </w:rPr>
        <w:t xml:space="preserve"> </w:t>
      </w:r>
    </w:p>
    <w:p w14:paraId="76FD9D03" w14:textId="77777777" w:rsidR="00FC3FD8" w:rsidRPr="00117237" w:rsidRDefault="00D4230E" w:rsidP="00CC7831">
      <w:pPr>
        <w:pStyle w:val="BodyTextAfterBullets"/>
        <w:rPr>
          <w:sz w:val="22"/>
        </w:rPr>
      </w:pPr>
      <w:r w:rsidRPr="00117237">
        <w:rPr>
          <w:sz w:val="22"/>
        </w:rPr>
        <w:t>Charles Darwin University, ‘Annual Report 2023</w:t>
      </w:r>
      <w:r w:rsidR="004D24F0" w:rsidRPr="00117237">
        <w:rPr>
          <w:sz w:val="22"/>
        </w:rPr>
        <w:t xml:space="preserve"> year in review’, </w:t>
      </w:r>
      <w:r w:rsidR="004D24F0" w:rsidRPr="00117237">
        <w:rPr>
          <w:i/>
          <w:iCs/>
          <w:sz w:val="22"/>
        </w:rPr>
        <w:t xml:space="preserve">Charles Darwin University, </w:t>
      </w:r>
      <w:r w:rsidR="004D24F0" w:rsidRPr="00117237">
        <w:rPr>
          <w:sz w:val="22"/>
        </w:rPr>
        <w:t xml:space="preserve">2023, </w:t>
      </w:r>
      <w:hyperlink r:id="rId45" w:history="1">
        <w:r w:rsidR="004D24F0" w:rsidRPr="00117237">
          <w:rPr>
            <w:rStyle w:val="Hyperlink"/>
            <w:sz w:val="22"/>
          </w:rPr>
          <w:t>https://www.cdu.edu.au/files/2024-06/annual-report-2023.pdf</w:t>
        </w:r>
      </w:hyperlink>
      <w:r w:rsidR="004D24F0" w:rsidRPr="00117237">
        <w:rPr>
          <w:sz w:val="22"/>
        </w:rPr>
        <w:t xml:space="preserve"> </w:t>
      </w:r>
    </w:p>
    <w:p w14:paraId="532F7B92" w14:textId="3A0CD0A3" w:rsidR="00AF4E49" w:rsidRPr="00117237" w:rsidRDefault="00AF4E49" w:rsidP="00F0238C">
      <w:pPr>
        <w:pStyle w:val="BodyTextAfterBullets"/>
        <w:rPr>
          <w:i/>
          <w:iCs/>
          <w:sz w:val="22"/>
        </w:rPr>
      </w:pPr>
      <w:r w:rsidRPr="00117237">
        <w:rPr>
          <w:sz w:val="22"/>
        </w:rPr>
        <w:t xml:space="preserve">Charles Darwin University, ‘CDU TAFE </w:t>
      </w:r>
      <w:r w:rsidR="00E92D75" w:rsidRPr="00117237">
        <w:rPr>
          <w:sz w:val="22"/>
        </w:rPr>
        <w:t xml:space="preserve">Student Guide 2023’, </w:t>
      </w:r>
      <w:r w:rsidR="00E92D75" w:rsidRPr="00117237">
        <w:rPr>
          <w:i/>
          <w:iCs/>
          <w:sz w:val="22"/>
        </w:rPr>
        <w:t xml:space="preserve">CDU TAFE, </w:t>
      </w:r>
      <w:r w:rsidR="00E92D75" w:rsidRPr="00117237">
        <w:rPr>
          <w:sz w:val="22"/>
        </w:rPr>
        <w:t>2023</w:t>
      </w:r>
      <w:r w:rsidR="00E92D75" w:rsidRPr="00117237">
        <w:rPr>
          <w:i/>
          <w:iCs/>
          <w:sz w:val="22"/>
        </w:rPr>
        <w:t xml:space="preserve">, </w:t>
      </w:r>
      <w:hyperlink r:id="rId46" w:history="1">
        <w:r w:rsidR="0015109D" w:rsidRPr="00117237">
          <w:rPr>
            <w:rStyle w:val="Hyperlink"/>
            <w:i/>
            <w:iCs/>
            <w:sz w:val="22"/>
          </w:rPr>
          <w:t>https://www.cdu.edu.au/files/2022-02/vet-student-guide.pdf</w:t>
        </w:r>
      </w:hyperlink>
    </w:p>
    <w:p w14:paraId="20BA1DF0" w14:textId="4B0C7288" w:rsidR="00DB39C3" w:rsidRPr="00117237" w:rsidRDefault="00C642A6" w:rsidP="00DB39C3">
      <w:pPr>
        <w:pStyle w:val="BodyTextAfterBullets"/>
        <w:rPr>
          <w:sz w:val="22"/>
        </w:rPr>
      </w:pPr>
      <w:r w:rsidRPr="00117237">
        <w:rPr>
          <w:sz w:val="22"/>
        </w:rPr>
        <w:t xml:space="preserve">Charles Darwin University, ‘University launches CDU TAFE to better support the Territory’s training and skills’, </w:t>
      </w:r>
      <w:r w:rsidRPr="00117237">
        <w:rPr>
          <w:i/>
          <w:iCs/>
          <w:sz w:val="22"/>
        </w:rPr>
        <w:t xml:space="preserve">Charles Darwin University Newsroom, </w:t>
      </w:r>
      <w:r w:rsidRPr="00117237">
        <w:rPr>
          <w:sz w:val="22"/>
        </w:rPr>
        <w:t xml:space="preserve">2023, </w:t>
      </w:r>
      <w:hyperlink r:id="rId47" w:history="1">
        <w:r w:rsidRPr="00117237">
          <w:rPr>
            <w:rStyle w:val="Hyperlink"/>
            <w:sz w:val="22"/>
          </w:rPr>
          <w:t>https://www.cdu.edu.au/news/university-launches-cdu-tafe-better-support-territory’s-training-skills</w:t>
        </w:r>
      </w:hyperlink>
      <w:r w:rsidRPr="00117237">
        <w:rPr>
          <w:sz w:val="22"/>
        </w:rPr>
        <w:t xml:space="preserve"> </w:t>
      </w:r>
    </w:p>
    <w:p w14:paraId="2F12DF38" w14:textId="4503281B" w:rsidR="00CC7831" w:rsidRPr="00117237" w:rsidRDefault="00DB39C3" w:rsidP="00ED3E9B">
      <w:pPr>
        <w:rPr>
          <w:szCs w:val="22"/>
        </w:rPr>
      </w:pPr>
      <w:r w:rsidRPr="00117237">
        <w:rPr>
          <w:szCs w:val="22"/>
        </w:rPr>
        <w:t xml:space="preserve">Charles Darwin University, ‘$3.5 million to fund new CDU TAFE Trades Training Centre in Katherine’, </w:t>
      </w:r>
      <w:r w:rsidRPr="00117237">
        <w:rPr>
          <w:i/>
          <w:iCs/>
          <w:szCs w:val="22"/>
        </w:rPr>
        <w:t xml:space="preserve">Charles Darwin University Newsroom, </w:t>
      </w:r>
      <w:r w:rsidRPr="00117237">
        <w:rPr>
          <w:szCs w:val="22"/>
        </w:rPr>
        <w:t xml:space="preserve">2024, </w:t>
      </w:r>
      <w:hyperlink r:id="rId48" w:anchor=":~:text=The%20funding%20has%20come%20from,in%20collaboration%20with%20Department%20Industry" w:history="1">
        <w:r w:rsidRPr="00117237">
          <w:rPr>
            <w:rStyle w:val="Hyperlink"/>
            <w:szCs w:val="22"/>
          </w:rPr>
          <w:t>https://www.cdu.edu.au/news/35-million-fund-new-cdu-tafe-trades-training-centre-katherine#:~:text=The%20funding%20has%20come%20from,in%20collaboration%20with%20Department%20Industry</w:t>
        </w:r>
      </w:hyperlink>
      <w:r w:rsidR="00CC7831" w:rsidRPr="00117237">
        <w:rPr>
          <w:szCs w:val="22"/>
        </w:rPr>
        <w:fldChar w:fldCharType="begin"/>
      </w:r>
      <w:r w:rsidR="00CC7831" w:rsidRPr="00117237">
        <w:rPr>
          <w:szCs w:val="22"/>
        </w:rPr>
        <w:instrText>HYPERLINK "https://www.abc.net.au/news/felicity-james/6829384"</w:instrText>
      </w:r>
      <w:r w:rsidR="00CC7831" w:rsidRPr="00117237">
        <w:rPr>
          <w:szCs w:val="22"/>
        </w:rPr>
      </w:r>
      <w:r w:rsidR="00CC7831" w:rsidRPr="00117237">
        <w:rPr>
          <w:szCs w:val="22"/>
        </w:rPr>
        <w:fldChar w:fldCharType="separate"/>
      </w:r>
    </w:p>
    <w:p w14:paraId="0C763D1B" w14:textId="299C1CAE" w:rsidR="00CC7831" w:rsidRPr="00117237" w:rsidRDefault="00CC7831" w:rsidP="00CC7831">
      <w:pPr>
        <w:spacing w:after="160" w:line="278" w:lineRule="auto"/>
        <w:rPr>
          <w:rFonts w:eastAsiaTheme="minorHAnsi"/>
          <w:color w:val="auto"/>
          <w:kern w:val="2"/>
          <w:szCs w:val="22"/>
          <w14:ligatures w14:val="standardContextual"/>
        </w:rPr>
      </w:pPr>
      <w:r w:rsidRPr="00117237">
        <w:rPr>
          <w:szCs w:val="22"/>
        </w:rPr>
        <w:fldChar w:fldCharType="end"/>
      </w:r>
      <w:r w:rsidRPr="00117237">
        <w:rPr>
          <w:szCs w:val="22"/>
        </w:rPr>
        <w:t>D Wood, ‘</w:t>
      </w:r>
      <w:r w:rsidRPr="00117237">
        <w:rPr>
          <w:rFonts w:eastAsiaTheme="minorHAnsi"/>
          <w:color w:val="auto"/>
          <w:kern w:val="2"/>
          <w:szCs w:val="22"/>
          <w14:ligatures w14:val="standardContextual"/>
        </w:rPr>
        <w:t xml:space="preserve">Auditor-General again finds serious operational and financial problems with Batchelor Institute’, </w:t>
      </w:r>
      <w:r w:rsidRPr="00117237">
        <w:rPr>
          <w:rFonts w:eastAsiaTheme="minorHAnsi"/>
          <w:i/>
          <w:iCs/>
          <w:color w:val="auto"/>
          <w:kern w:val="2"/>
          <w:szCs w:val="22"/>
          <w14:ligatures w14:val="standardContextual"/>
        </w:rPr>
        <w:t xml:space="preserve">NT Independent, </w:t>
      </w:r>
      <w:r w:rsidRPr="00117237">
        <w:rPr>
          <w:rFonts w:eastAsiaTheme="minorHAnsi"/>
          <w:color w:val="auto"/>
          <w:kern w:val="2"/>
          <w:szCs w:val="22"/>
          <w14:ligatures w14:val="standardContextual"/>
        </w:rPr>
        <w:t xml:space="preserve">2024, </w:t>
      </w:r>
      <w:hyperlink r:id="rId49" w:history="1">
        <w:r w:rsidRPr="00117237">
          <w:rPr>
            <w:rStyle w:val="Hyperlink"/>
            <w:rFonts w:eastAsiaTheme="minorHAnsi"/>
            <w:kern w:val="2"/>
            <w:szCs w:val="22"/>
            <w14:ligatures w14:val="standardContextual"/>
          </w:rPr>
          <w:t>https://ntindependent.com.au/auditor-general-again-finds-serious-operational-and-financial-problems-with-batchelor-institute/</w:t>
        </w:r>
      </w:hyperlink>
      <w:r w:rsidRPr="00117237">
        <w:rPr>
          <w:rFonts w:eastAsiaTheme="minorHAnsi"/>
          <w:color w:val="auto"/>
          <w:kern w:val="2"/>
          <w:szCs w:val="22"/>
          <w14:ligatures w14:val="standardContextual"/>
        </w:rPr>
        <w:t xml:space="preserve"> </w:t>
      </w:r>
    </w:p>
    <w:p w14:paraId="09270233" w14:textId="1CCA699A" w:rsidR="00762DB4" w:rsidRPr="00117237" w:rsidRDefault="00E93DD7" w:rsidP="00F30694">
      <w:pPr>
        <w:pStyle w:val="BodyTextAfterBullets"/>
        <w:rPr>
          <w:sz w:val="22"/>
        </w:rPr>
      </w:pPr>
      <w:r w:rsidRPr="00117237">
        <w:rPr>
          <w:sz w:val="22"/>
        </w:rPr>
        <w:t>F James, ‘</w:t>
      </w:r>
      <w:r w:rsidR="00612719" w:rsidRPr="00117237">
        <w:rPr>
          <w:sz w:val="22"/>
        </w:rPr>
        <w:t xml:space="preserve">ICAC review of Batchelor Institute recommends 'critical' changes to corporate culture’, </w:t>
      </w:r>
      <w:r w:rsidR="00612719" w:rsidRPr="00117237">
        <w:rPr>
          <w:i/>
          <w:iCs/>
          <w:sz w:val="22"/>
        </w:rPr>
        <w:t xml:space="preserve">ABC News, </w:t>
      </w:r>
      <w:r w:rsidR="00612719" w:rsidRPr="00117237">
        <w:rPr>
          <w:sz w:val="22"/>
        </w:rPr>
        <w:t xml:space="preserve">2023, </w:t>
      </w:r>
      <w:hyperlink r:id="rId50" w:history="1">
        <w:r w:rsidR="00BB65F4" w:rsidRPr="00117237">
          <w:rPr>
            <w:rStyle w:val="Hyperlink"/>
            <w:sz w:val="22"/>
          </w:rPr>
          <w:t>https://www.abc.net.au/news/2023-02-09/icac-review-of-batchelor-institute-recommends-culture-changes/101947158</w:t>
        </w:r>
      </w:hyperlink>
      <w:r w:rsidR="00BB65F4" w:rsidRPr="00117237">
        <w:rPr>
          <w:sz w:val="22"/>
        </w:rPr>
        <w:t xml:space="preserve"> </w:t>
      </w:r>
    </w:p>
    <w:p w14:paraId="5340C16B" w14:textId="4D7D76A2" w:rsidR="00BC4A6A" w:rsidRPr="00117237" w:rsidRDefault="00BC4A6A" w:rsidP="00F30694">
      <w:pPr>
        <w:pStyle w:val="BodyTextAfterBullets"/>
        <w:rPr>
          <w:color w:val="auto"/>
          <w:kern w:val="2"/>
          <w:sz w:val="22"/>
          <w14:ligatures w14:val="standardContextual"/>
        </w:rPr>
      </w:pPr>
      <w:r w:rsidRPr="00117237">
        <w:rPr>
          <w:sz w:val="22"/>
        </w:rPr>
        <w:lastRenderedPageBreak/>
        <w:t xml:space="preserve">Legislative Council Government Administration Committee “A”, ‘Short inquiry process report on the financial and operational performance of TasTAFE’, </w:t>
      </w:r>
      <w:r w:rsidRPr="00117237">
        <w:rPr>
          <w:i/>
          <w:sz w:val="22"/>
        </w:rPr>
        <w:t>Parliament of Tasmania</w:t>
      </w:r>
      <w:r w:rsidRPr="00117237">
        <w:rPr>
          <w:sz w:val="22"/>
        </w:rPr>
        <w:t>, 2024</w:t>
      </w:r>
      <w:r w:rsidR="007C6A90" w:rsidRPr="00117237">
        <w:rPr>
          <w:sz w:val="22"/>
        </w:rPr>
        <w:t>.</w:t>
      </w:r>
      <w:r w:rsidRPr="00117237">
        <w:rPr>
          <w:sz w:val="22"/>
        </w:rPr>
        <w:t xml:space="preserve"> </w:t>
      </w:r>
      <w:hyperlink r:id="rId51" w:history="1">
        <w:r w:rsidR="007C6A90" w:rsidRPr="00117237">
          <w:rPr>
            <w:rStyle w:val="Hyperlink"/>
            <w:sz w:val="22"/>
          </w:rPr>
          <w:t>https://www.parliament.tas.gov.au/__data/assets/pdf_file/0033/83868/GAA-SIP-Final-Report-TasTAFE-18-July-2024.pdf</w:t>
        </w:r>
      </w:hyperlink>
    </w:p>
    <w:p w14:paraId="4EAB0694" w14:textId="04DEFAEA" w:rsidR="00ED3E9B" w:rsidRPr="00117237" w:rsidRDefault="009C287D" w:rsidP="00F30694">
      <w:pPr>
        <w:pStyle w:val="BodyTextAfterBullets"/>
        <w:rPr>
          <w:sz w:val="22"/>
        </w:rPr>
      </w:pPr>
      <w:r w:rsidRPr="00117237">
        <w:rPr>
          <w:sz w:val="22"/>
        </w:rPr>
        <w:t>M Riches, ‘</w:t>
      </w:r>
      <w:r w:rsidR="002C5110" w:rsidRPr="00117237">
        <w:rPr>
          <w:sz w:val="22"/>
        </w:rPr>
        <w:t xml:space="preserve">General Report: Review of </w:t>
      </w:r>
      <w:r w:rsidR="000E40FE" w:rsidRPr="00117237">
        <w:rPr>
          <w:sz w:val="22"/>
        </w:rPr>
        <w:t xml:space="preserve">Batchelor </w:t>
      </w:r>
      <w:r w:rsidR="00BE60B8" w:rsidRPr="00117237">
        <w:rPr>
          <w:sz w:val="22"/>
        </w:rPr>
        <w:t>Institute of Indigenous Tertiary Education’</w:t>
      </w:r>
      <w:r w:rsidR="00E82A05" w:rsidRPr="00117237">
        <w:rPr>
          <w:sz w:val="22"/>
        </w:rPr>
        <w:t>,</w:t>
      </w:r>
      <w:r w:rsidR="00986AF9" w:rsidRPr="00117237">
        <w:rPr>
          <w:sz w:val="22"/>
        </w:rPr>
        <w:t xml:space="preserve"> </w:t>
      </w:r>
      <w:r w:rsidR="00986AF9" w:rsidRPr="00117237">
        <w:rPr>
          <w:i/>
          <w:iCs/>
          <w:sz w:val="22"/>
        </w:rPr>
        <w:t>Independent Commissioner Against Corruption NT</w:t>
      </w:r>
      <w:r w:rsidR="00986AF9" w:rsidRPr="00117237">
        <w:rPr>
          <w:sz w:val="22"/>
        </w:rPr>
        <w:t xml:space="preserve">, 2023, </w:t>
      </w:r>
      <w:hyperlink r:id="rId52" w:history="1">
        <w:r w:rsidR="00986AF9" w:rsidRPr="00117237">
          <w:rPr>
            <w:rStyle w:val="Hyperlink"/>
            <w:sz w:val="22"/>
          </w:rPr>
          <w:t>https://icac.nt.gov.au/__data/assets/pdf_file/0005/1206284/Tabled-Paper-770-Independent-Commissioner-Against-Corruption-General-Report-January-2023.pdf</w:t>
        </w:r>
      </w:hyperlink>
      <w:r w:rsidR="00986AF9" w:rsidRPr="00117237">
        <w:rPr>
          <w:sz w:val="22"/>
        </w:rPr>
        <w:t xml:space="preserve"> </w:t>
      </w:r>
    </w:p>
    <w:p w14:paraId="014E3A16" w14:textId="4016C6D5" w:rsidR="000C7F05" w:rsidRPr="00117237" w:rsidRDefault="000C7F05" w:rsidP="00F30694">
      <w:pPr>
        <w:pStyle w:val="BodyTextAfterBullets"/>
        <w:rPr>
          <w:sz w:val="22"/>
          <w:szCs w:val="21"/>
        </w:rPr>
      </w:pPr>
      <w:r w:rsidRPr="00117237">
        <w:rPr>
          <w:sz w:val="22"/>
          <w:szCs w:val="21"/>
        </w:rPr>
        <w:t xml:space="preserve">NCVER, ‘Data Builder’, </w:t>
      </w:r>
      <w:r w:rsidRPr="00117237">
        <w:rPr>
          <w:i/>
          <w:iCs/>
          <w:sz w:val="22"/>
          <w:szCs w:val="21"/>
        </w:rPr>
        <w:t>NCVER</w:t>
      </w:r>
      <w:r w:rsidRPr="00117237">
        <w:rPr>
          <w:sz w:val="22"/>
          <w:szCs w:val="21"/>
        </w:rPr>
        <w:t>, 2025.</w:t>
      </w:r>
    </w:p>
    <w:p w14:paraId="2EED4167" w14:textId="77777777" w:rsidR="00D67B46" w:rsidRPr="00117237" w:rsidRDefault="00D67B46" w:rsidP="00D67B46">
      <w:pPr>
        <w:spacing w:after="160" w:line="278" w:lineRule="auto"/>
        <w:rPr>
          <w:szCs w:val="22"/>
        </w:rPr>
      </w:pPr>
      <w:r w:rsidRPr="00117237">
        <w:rPr>
          <w:rFonts w:eastAsiaTheme="minorHAnsi"/>
          <w:color w:val="auto"/>
          <w:kern w:val="2"/>
          <w:szCs w:val="22"/>
          <w14:ligatures w14:val="standardContextual"/>
        </w:rPr>
        <w:t xml:space="preserve">O Jacques, </w:t>
      </w:r>
      <w:r w:rsidRPr="00117237">
        <w:rPr>
          <w:szCs w:val="22"/>
        </w:rPr>
        <w:t xml:space="preserve">‘Jesus Christ’: CIT CEO found guilty of ‘serious corrupt conduct' received $465,000 in entitlements’, </w:t>
      </w:r>
      <w:r w:rsidRPr="00117237">
        <w:rPr>
          <w:i/>
          <w:iCs/>
          <w:szCs w:val="22"/>
        </w:rPr>
        <w:t>PS News</w:t>
      </w:r>
      <w:r w:rsidRPr="00117237">
        <w:rPr>
          <w:szCs w:val="22"/>
        </w:rPr>
        <w:t xml:space="preserve">, 2024, </w:t>
      </w:r>
      <w:hyperlink r:id="rId53" w:history="1">
        <w:r w:rsidRPr="00117237">
          <w:rPr>
            <w:rStyle w:val="Hyperlink"/>
            <w:szCs w:val="22"/>
          </w:rPr>
          <w:t>https://psnews.com.au/jesus-christ-cit-ceo-found-guilty-of-serious-corrupt-conduct-received-465000-in-entitlements/139535/</w:t>
        </w:r>
      </w:hyperlink>
      <w:r w:rsidRPr="00117237">
        <w:rPr>
          <w:szCs w:val="22"/>
        </w:rPr>
        <w:t xml:space="preserve"> </w:t>
      </w:r>
      <w:hyperlink r:id="rId54" w:history="1">
        <w:r w:rsidRPr="00117237">
          <w:rPr>
            <w:rStyle w:val="Hyperlink"/>
          </w:rPr>
          <w:t>https://psnews.com.au/jesus-christ-cit-ceo-found-guilty-of-serious-corrupt-conduct-received-465000-in-entitlements/139535/</w:t>
        </w:r>
      </w:hyperlink>
      <w:r w:rsidRPr="00117237">
        <w:rPr>
          <w:szCs w:val="22"/>
        </w:rPr>
        <w:t xml:space="preserve"> </w:t>
      </w:r>
    </w:p>
    <w:p w14:paraId="5EF2DC37" w14:textId="77777777" w:rsidR="00D67B46" w:rsidRPr="00117237" w:rsidRDefault="00D67B46" w:rsidP="00D67B46">
      <w:pPr>
        <w:spacing w:after="160" w:line="278" w:lineRule="auto"/>
        <w:rPr>
          <w:szCs w:val="22"/>
        </w:rPr>
      </w:pPr>
      <w:r w:rsidRPr="00117237">
        <w:rPr>
          <w:szCs w:val="22"/>
        </w:rPr>
        <w:t xml:space="preserve">Our Watch, ‘TasTAFE partners with Our Watch to prevent violence against women’, </w:t>
      </w:r>
      <w:r w:rsidRPr="00117237">
        <w:rPr>
          <w:i/>
          <w:iCs/>
          <w:szCs w:val="22"/>
        </w:rPr>
        <w:t>Our Watch Latest News</w:t>
      </w:r>
      <w:r w:rsidRPr="00117237">
        <w:rPr>
          <w:szCs w:val="22"/>
        </w:rPr>
        <w:t xml:space="preserve">, 2024, </w:t>
      </w:r>
      <w:hyperlink r:id="rId55" w:history="1">
        <w:r w:rsidRPr="00117237">
          <w:rPr>
            <w:rStyle w:val="Hyperlink"/>
            <w:szCs w:val="22"/>
          </w:rPr>
          <w:t>https://www.ourwatch.org.au/news/tastafe-partners-with-our-watch-to-prevent-violence-against-women</w:t>
        </w:r>
      </w:hyperlink>
      <w:r w:rsidRPr="00117237">
        <w:rPr>
          <w:szCs w:val="22"/>
        </w:rPr>
        <w:t xml:space="preserve"> </w:t>
      </w:r>
    </w:p>
    <w:p w14:paraId="25F714FB" w14:textId="77777777" w:rsidR="00D67B46" w:rsidRPr="00117237" w:rsidRDefault="00D67B46" w:rsidP="00D67B46">
      <w:pPr>
        <w:pStyle w:val="BodyTextAfterBullets"/>
        <w:rPr>
          <w:sz w:val="22"/>
          <w:szCs w:val="21"/>
        </w:rPr>
      </w:pPr>
      <w:r w:rsidRPr="00117237">
        <w:rPr>
          <w:sz w:val="22"/>
          <w:szCs w:val="21"/>
        </w:rPr>
        <w:t xml:space="preserve">Our Watch, ‘RET2 Case Study Starting Conditions_BIITE’, </w:t>
      </w:r>
      <w:r w:rsidRPr="00117237">
        <w:rPr>
          <w:i/>
          <w:iCs/>
          <w:sz w:val="22"/>
          <w:szCs w:val="21"/>
        </w:rPr>
        <w:t>Our Watch</w:t>
      </w:r>
      <w:r w:rsidRPr="00117237">
        <w:rPr>
          <w:sz w:val="22"/>
          <w:szCs w:val="21"/>
        </w:rPr>
        <w:t xml:space="preserve">, 2023. </w:t>
      </w:r>
    </w:p>
    <w:p w14:paraId="12ECA359" w14:textId="77777777" w:rsidR="00D67B46" w:rsidRPr="00117237" w:rsidRDefault="00D67B46" w:rsidP="00D67B46">
      <w:pPr>
        <w:pStyle w:val="BodyTextAfterBullets"/>
        <w:rPr>
          <w:sz w:val="22"/>
          <w:szCs w:val="21"/>
        </w:rPr>
      </w:pPr>
      <w:r w:rsidRPr="00117237">
        <w:rPr>
          <w:sz w:val="22"/>
          <w:szCs w:val="21"/>
        </w:rPr>
        <w:t xml:space="preserve">Our Watch, ‘RET2 Case Study Starting Conditions_CDU’, </w:t>
      </w:r>
      <w:r w:rsidRPr="00117237">
        <w:rPr>
          <w:i/>
          <w:iCs/>
          <w:sz w:val="22"/>
          <w:szCs w:val="21"/>
        </w:rPr>
        <w:t>Our Watch</w:t>
      </w:r>
      <w:r w:rsidRPr="00117237">
        <w:rPr>
          <w:sz w:val="22"/>
          <w:szCs w:val="21"/>
        </w:rPr>
        <w:t xml:space="preserve">, 2023. </w:t>
      </w:r>
    </w:p>
    <w:p w14:paraId="1B434FB9" w14:textId="77777777" w:rsidR="00D67B46" w:rsidRPr="00117237" w:rsidRDefault="00D67B46" w:rsidP="00D67B46">
      <w:pPr>
        <w:pStyle w:val="BodyTextAfterBullets"/>
        <w:rPr>
          <w:sz w:val="22"/>
          <w:szCs w:val="21"/>
        </w:rPr>
      </w:pPr>
      <w:r w:rsidRPr="00117237">
        <w:rPr>
          <w:sz w:val="22"/>
          <w:szCs w:val="21"/>
        </w:rPr>
        <w:t xml:space="preserve">Our Watch, ‘RET2 Case Study Starting Conditions_TAFE SA’, </w:t>
      </w:r>
      <w:r w:rsidRPr="00117237">
        <w:rPr>
          <w:i/>
          <w:iCs/>
          <w:sz w:val="22"/>
          <w:szCs w:val="21"/>
        </w:rPr>
        <w:t>Our Watch</w:t>
      </w:r>
      <w:r w:rsidRPr="00117237">
        <w:rPr>
          <w:sz w:val="22"/>
          <w:szCs w:val="21"/>
        </w:rPr>
        <w:t xml:space="preserve">, 2023. </w:t>
      </w:r>
    </w:p>
    <w:p w14:paraId="00561D24" w14:textId="77777777" w:rsidR="00D67B46" w:rsidRPr="00117237" w:rsidRDefault="00D67B46" w:rsidP="00D67B46">
      <w:pPr>
        <w:pStyle w:val="BodyTextAfterBullets"/>
        <w:rPr>
          <w:sz w:val="22"/>
          <w:szCs w:val="21"/>
        </w:rPr>
      </w:pPr>
      <w:r w:rsidRPr="00117237">
        <w:rPr>
          <w:sz w:val="22"/>
          <w:szCs w:val="21"/>
        </w:rPr>
        <w:t xml:space="preserve">Our Watch, ‘RET2 Case Study Starting Conditions_Tas TAFE’, </w:t>
      </w:r>
      <w:r w:rsidRPr="00117237">
        <w:rPr>
          <w:i/>
          <w:iCs/>
          <w:sz w:val="22"/>
          <w:szCs w:val="21"/>
        </w:rPr>
        <w:t>Our Watch</w:t>
      </w:r>
      <w:r w:rsidRPr="00117237">
        <w:rPr>
          <w:sz w:val="22"/>
          <w:szCs w:val="21"/>
        </w:rPr>
        <w:t xml:space="preserve">, 2023. </w:t>
      </w:r>
    </w:p>
    <w:p w14:paraId="02A892A6" w14:textId="77777777" w:rsidR="00D67B46" w:rsidRPr="00117237" w:rsidRDefault="00D67B46" w:rsidP="00D67B46">
      <w:pPr>
        <w:pStyle w:val="BodyTextAfterBullets"/>
        <w:rPr>
          <w:sz w:val="22"/>
          <w:szCs w:val="21"/>
        </w:rPr>
      </w:pPr>
      <w:r w:rsidRPr="00117237">
        <w:rPr>
          <w:sz w:val="22"/>
          <w:szCs w:val="21"/>
        </w:rPr>
        <w:t xml:space="preserve">Our Watch, ‘RET2 Case Study_CIT Starting Conditions v4’, </w:t>
      </w:r>
      <w:r w:rsidRPr="00117237">
        <w:rPr>
          <w:i/>
          <w:iCs/>
          <w:sz w:val="22"/>
          <w:szCs w:val="21"/>
        </w:rPr>
        <w:t>Our Watch</w:t>
      </w:r>
      <w:r w:rsidRPr="00117237">
        <w:rPr>
          <w:sz w:val="22"/>
          <w:szCs w:val="21"/>
        </w:rPr>
        <w:t xml:space="preserve">, 2023. </w:t>
      </w:r>
    </w:p>
    <w:p w14:paraId="05A1E57B" w14:textId="6A4D6CA8" w:rsidR="00D67B46" w:rsidRPr="00117237" w:rsidRDefault="00D67B46" w:rsidP="00D67B46">
      <w:pPr>
        <w:spacing w:after="160" w:line="278" w:lineRule="auto"/>
        <w:rPr>
          <w:rFonts w:eastAsiaTheme="minorHAnsi"/>
          <w:szCs w:val="21"/>
        </w:rPr>
      </w:pPr>
      <w:r w:rsidRPr="00117237">
        <w:rPr>
          <w:rFonts w:eastAsiaTheme="minorHAnsi"/>
          <w:color w:val="auto"/>
          <w:kern w:val="2"/>
          <w:szCs w:val="22"/>
          <w14:ligatures w14:val="standardContextual"/>
        </w:rPr>
        <w:t xml:space="preserve">Our Watch, ‘Our Watch Submission to the South Australian Royal Commission into Domestic, Family and Sexual Violence’, </w:t>
      </w:r>
      <w:r w:rsidRPr="00117237">
        <w:rPr>
          <w:rFonts w:eastAsiaTheme="minorHAnsi"/>
          <w:i/>
          <w:iCs/>
          <w:color w:val="auto"/>
          <w:kern w:val="2"/>
          <w:szCs w:val="22"/>
          <w14:ligatures w14:val="standardContextual"/>
        </w:rPr>
        <w:t>Our Watch Reports</w:t>
      </w:r>
      <w:r w:rsidRPr="00117237">
        <w:rPr>
          <w:rFonts w:eastAsiaTheme="minorHAnsi"/>
          <w:color w:val="auto"/>
          <w:kern w:val="2"/>
          <w:szCs w:val="22"/>
          <w14:ligatures w14:val="standardContextual"/>
        </w:rPr>
        <w:t>, 2024</w:t>
      </w:r>
      <w:r w:rsidRPr="00117237">
        <w:rPr>
          <w:szCs w:val="22"/>
        </w:rPr>
        <w:t xml:space="preserve">, </w:t>
      </w:r>
      <w:hyperlink r:id="rId56" w:history="1">
        <w:r w:rsidRPr="00117237">
          <w:rPr>
            <w:rStyle w:val="Hyperlink"/>
            <w:szCs w:val="22"/>
          </w:rPr>
          <w:t>https://assets.ourwatch.org.au/assets/Submissions/OW-Submission-to-the-SA-Royal-Commission-into-Domestic-Family-and-Sexual-Violence.pdf</w:t>
        </w:r>
      </w:hyperlink>
      <w:r w:rsidRPr="00117237">
        <w:rPr>
          <w:szCs w:val="21"/>
        </w:rPr>
        <w:t xml:space="preserve"> </w:t>
      </w:r>
    </w:p>
    <w:p w14:paraId="17582AED" w14:textId="276C67D3" w:rsidR="004F5E1D" w:rsidRPr="00117237" w:rsidRDefault="004F5E1D" w:rsidP="00F30694">
      <w:pPr>
        <w:pStyle w:val="BodyTextAfterBullets"/>
        <w:rPr>
          <w:sz w:val="22"/>
        </w:rPr>
      </w:pPr>
      <w:r w:rsidRPr="00117237">
        <w:rPr>
          <w:sz w:val="22"/>
        </w:rPr>
        <w:t>TAFE Directors Australia, ‘Canberra Institute of Technology developing gender equality action plan</w:t>
      </w:r>
      <w:r w:rsidR="00E82A05" w:rsidRPr="00117237">
        <w:rPr>
          <w:sz w:val="22"/>
        </w:rPr>
        <w:t>’</w:t>
      </w:r>
      <w:r w:rsidRPr="00117237">
        <w:rPr>
          <w:sz w:val="22"/>
        </w:rPr>
        <w:t xml:space="preserve">, </w:t>
      </w:r>
      <w:r w:rsidRPr="00117237">
        <w:rPr>
          <w:i/>
          <w:iCs/>
          <w:sz w:val="22"/>
        </w:rPr>
        <w:t xml:space="preserve">TAFE Directors Australia Newsletters, </w:t>
      </w:r>
      <w:r w:rsidRPr="00117237">
        <w:rPr>
          <w:sz w:val="22"/>
        </w:rPr>
        <w:t xml:space="preserve">N.D., </w:t>
      </w:r>
      <w:hyperlink r:id="rId57" w:history="1">
        <w:r w:rsidRPr="00117237">
          <w:rPr>
            <w:rStyle w:val="Hyperlink"/>
            <w:sz w:val="22"/>
          </w:rPr>
          <w:t>https://tda.edu.au/canberra-institute-of-technology-developing-gender-equality-action-plan/</w:t>
        </w:r>
      </w:hyperlink>
      <w:r w:rsidRPr="00117237">
        <w:rPr>
          <w:sz w:val="22"/>
        </w:rPr>
        <w:t xml:space="preserve"> </w:t>
      </w:r>
    </w:p>
    <w:p w14:paraId="3C5A73D7" w14:textId="2A8FCD2F" w:rsidR="00887424" w:rsidRPr="00117237" w:rsidRDefault="00F62A56" w:rsidP="001448E4">
      <w:pPr>
        <w:pStyle w:val="BodyTextAfterBullets"/>
        <w:rPr>
          <w:sz w:val="22"/>
        </w:rPr>
      </w:pPr>
      <w:r w:rsidRPr="00117237">
        <w:rPr>
          <w:sz w:val="22"/>
        </w:rPr>
        <w:t>TAFE Directors Australia, ‘</w:t>
      </w:r>
      <w:r w:rsidR="00DF563B" w:rsidRPr="00117237">
        <w:rPr>
          <w:sz w:val="22"/>
        </w:rPr>
        <w:t xml:space="preserve">Partnership to end gendered violence’, </w:t>
      </w:r>
      <w:r w:rsidR="00DF563B" w:rsidRPr="00117237">
        <w:rPr>
          <w:i/>
          <w:iCs/>
          <w:sz w:val="22"/>
        </w:rPr>
        <w:t xml:space="preserve">TAFE Directors Australia </w:t>
      </w:r>
      <w:r w:rsidR="00D64FFF" w:rsidRPr="00117237">
        <w:rPr>
          <w:i/>
          <w:iCs/>
          <w:sz w:val="22"/>
        </w:rPr>
        <w:t>Newsletters</w:t>
      </w:r>
      <w:r w:rsidR="00F9753B" w:rsidRPr="00117237">
        <w:rPr>
          <w:i/>
          <w:iCs/>
          <w:sz w:val="22"/>
        </w:rPr>
        <w:t xml:space="preserve">, </w:t>
      </w:r>
      <w:r w:rsidR="00D64FFF" w:rsidRPr="00117237">
        <w:rPr>
          <w:sz w:val="22"/>
        </w:rPr>
        <w:t xml:space="preserve">N.D., </w:t>
      </w:r>
      <w:hyperlink r:id="rId58" w:history="1">
        <w:r w:rsidR="00D64FFF" w:rsidRPr="00117237">
          <w:rPr>
            <w:rStyle w:val="Hyperlink"/>
            <w:sz w:val="22"/>
          </w:rPr>
          <w:t>https://tda.edu.au/partnership-to-end-gendered-violence/</w:t>
        </w:r>
      </w:hyperlink>
      <w:r w:rsidR="00D64FFF" w:rsidRPr="00117237">
        <w:rPr>
          <w:sz w:val="22"/>
        </w:rPr>
        <w:t xml:space="preserve"> </w:t>
      </w:r>
    </w:p>
    <w:p w14:paraId="1F9B0B47" w14:textId="5A5CC026" w:rsidR="008E2A15" w:rsidRPr="00117237" w:rsidRDefault="008E2A15" w:rsidP="001448E4">
      <w:pPr>
        <w:pStyle w:val="BodyTextAfterBullets"/>
        <w:rPr>
          <w:sz w:val="22"/>
        </w:rPr>
      </w:pPr>
      <w:r w:rsidRPr="00117237">
        <w:rPr>
          <w:sz w:val="22"/>
        </w:rPr>
        <w:t xml:space="preserve">TAFE SA, ‘TAFE SA 2022-23 Annual Report’, </w:t>
      </w:r>
      <w:r w:rsidRPr="00117237">
        <w:rPr>
          <w:i/>
          <w:iCs/>
          <w:sz w:val="22"/>
        </w:rPr>
        <w:t>TAFE SA</w:t>
      </w:r>
      <w:r w:rsidRPr="00117237">
        <w:rPr>
          <w:sz w:val="22"/>
        </w:rPr>
        <w:t xml:space="preserve">, 2023, </w:t>
      </w:r>
      <w:hyperlink r:id="rId59" w:history="1">
        <w:r w:rsidRPr="00117237">
          <w:rPr>
            <w:rStyle w:val="Hyperlink"/>
            <w:sz w:val="22"/>
          </w:rPr>
          <w:t>https://www.tafesa.edu.au/docs/default-source/about_tafesa/tafe-sa-annual-report-2022---2023.pdf?sfvrsn=e378fd14_6</w:t>
        </w:r>
      </w:hyperlink>
      <w:r w:rsidRPr="00117237">
        <w:rPr>
          <w:sz w:val="22"/>
        </w:rPr>
        <w:t xml:space="preserve"> </w:t>
      </w:r>
    </w:p>
    <w:p w14:paraId="502A7497" w14:textId="20C77BE0" w:rsidR="004361B2" w:rsidRPr="00117237" w:rsidRDefault="004361B2" w:rsidP="001448E4">
      <w:pPr>
        <w:pStyle w:val="BodyTextAfterBullets"/>
        <w:rPr>
          <w:i/>
          <w:iCs/>
          <w:sz w:val="22"/>
        </w:rPr>
      </w:pPr>
      <w:r w:rsidRPr="00117237">
        <w:rPr>
          <w:sz w:val="22"/>
        </w:rPr>
        <w:t xml:space="preserve">TasTAFE, ‘Annual Report </w:t>
      </w:r>
      <w:r w:rsidR="00296E57" w:rsidRPr="00117237">
        <w:rPr>
          <w:sz w:val="22"/>
        </w:rPr>
        <w:t xml:space="preserve">2023-2024’, </w:t>
      </w:r>
      <w:r w:rsidR="00296E57" w:rsidRPr="00117237">
        <w:rPr>
          <w:i/>
          <w:iCs/>
          <w:sz w:val="22"/>
        </w:rPr>
        <w:t xml:space="preserve">TasTafe, </w:t>
      </w:r>
      <w:r w:rsidR="00296E57" w:rsidRPr="00117237">
        <w:rPr>
          <w:sz w:val="22"/>
        </w:rPr>
        <w:t xml:space="preserve">2024, </w:t>
      </w:r>
      <w:hyperlink r:id="rId60" w:history="1">
        <w:r w:rsidR="00296E57" w:rsidRPr="00117237">
          <w:rPr>
            <w:rStyle w:val="Hyperlink"/>
            <w:sz w:val="22"/>
          </w:rPr>
          <w:t>https://www.tastafe.tas.edu.au/__data/assets/pdf_file/0017/153053/Tastafe-Annual-Report-2024.pdf</w:t>
        </w:r>
      </w:hyperlink>
      <w:r w:rsidR="00296E57" w:rsidRPr="00117237">
        <w:rPr>
          <w:i/>
          <w:iCs/>
          <w:sz w:val="22"/>
        </w:rPr>
        <w:t xml:space="preserve"> </w:t>
      </w:r>
    </w:p>
    <w:p w14:paraId="4D3B1387" w14:textId="235FD063" w:rsidR="00D271DC" w:rsidRPr="00117237" w:rsidRDefault="00D271DC" w:rsidP="00D271DC">
      <w:pPr>
        <w:pStyle w:val="BodyTextAfterBullets"/>
        <w:rPr>
          <w:i/>
          <w:iCs/>
          <w:sz w:val="22"/>
        </w:rPr>
      </w:pPr>
      <w:r w:rsidRPr="00117237">
        <w:rPr>
          <w:sz w:val="22"/>
        </w:rPr>
        <w:t xml:space="preserve">TasTAFE, ‘TasTAFE partners with Our Watch to prevent violence against women’, </w:t>
      </w:r>
      <w:r w:rsidR="00C410E9" w:rsidRPr="00117237">
        <w:rPr>
          <w:i/>
          <w:iCs/>
          <w:sz w:val="22"/>
        </w:rPr>
        <w:t>TasTAFE</w:t>
      </w:r>
      <w:r w:rsidR="00773A11" w:rsidRPr="00117237">
        <w:rPr>
          <w:i/>
          <w:iCs/>
          <w:sz w:val="22"/>
        </w:rPr>
        <w:t xml:space="preserve"> News</w:t>
      </w:r>
      <w:r w:rsidR="00C410E9" w:rsidRPr="00117237">
        <w:rPr>
          <w:i/>
          <w:iCs/>
          <w:sz w:val="22"/>
        </w:rPr>
        <w:t>,</w:t>
      </w:r>
      <w:r w:rsidR="00C410E9" w:rsidRPr="00117237">
        <w:rPr>
          <w:sz w:val="22"/>
        </w:rPr>
        <w:t xml:space="preserve"> 2024, </w:t>
      </w:r>
      <w:hyperlink r:id="rId61" w:history="1">
        <w:r w:rsidR="00C410E9" w:rsidRPr="00117237">
          <w:rPr>
            <w:rStyle w:val="Hyperlink"/>
            <w:i/>
            <w:iCs/>
            <w:sz w:val="22"/>
          </w:rPr>
          <w:t>https://www.tastafe.tas.edu.au/news-folder/tastafe-partners-with-our-watch-to-prevent-violence-against-women</w:t>
        </w:r>
      </w:hyperlink>
      <w:r w:rsidR="00C410E9" w:rsidRPr="00117237">
        <w:rPr>
          <w:i/>
          <w:iCs/>
          <w:sz w:val="22"/>
        </w:rPr>
        <w:t xml:space="preserve"> </w:t>
      </w:r>
    </w:p>
    <w:p w14:paraId="21F1FA9F" w14:textId="42CEC128" w:rsidR="00887424" w:rsidRPr="009618F0" w:rsidRDefault="00887424" w:rsidP="001448E4">
      <w:pPr>
        <w:pStyle w:val="BodyTextAfterBullets"/>
        <w:rPr>
          <w:sz w:val="22"/>
        </w:rPr>
      </w:pPr>
    </w:p>
    <w:sectPr w:rsidR="00887424" w:rsidRPr="009618F0" w:rsidSect="003368C4">
      <w:pgSz w:w="11906" w:h="16838" w:code="9"/>
      <w:pgMar w:top="720" w:right="1134" w:bottom="720"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D3546" w14:textId="77777777" w:rsidR="00A56132" w:rsidRPr="00117237" w:rsidRDefault="00A56132" w:rsidP="00A13F5D">
      <w:r w:rsidRPr="00117237">
        <w:separator/>
      </w:r>
    </w:p>
    <w:p w14:paraId="7C319CC3" w14:textId="77777777" w:rsidR="00A56132" w:rsidRPr="00117237" w:rsidRDefault="00A56132"/>
    <w:p w14:paraId="1657D8FB" w14:textId="77777777" w:rsidR="00A56132" w:rsidRPr="00117237" w:rsidRDefault="00A56132"/>
    <w:p w14:paraId="432BDDA4" w14:textId="77777777" w:rsidR="00A56132" w:rsidRPr="00117237" w:rsidRDefault="00A56132"/>
  </w:endnote>
  <w:endnote w:type="continuationSeparator" w:id="0">
    <w:p w14:paraId="0674AFF4" w14:textId="77777777" w:rsidR="00A56132" w:rsidRPr="00117237" w:rsidRDefault="00A56132" w:rsidP="00A13F5D">
      <w:r w:rsidRPr="00117237">
        <w:continuationSeparator/>
      </w:r>
    </w:p>
    <w:p w14:paraId="458EE7AD" w14:textId="77777777" w:rsidR="00A56132" w:rsidRPr="00117237" w:rsidRDefault="00A56132"/>
    <w:p w14:paraId="165AAEFE" w14:textId="77777777" w:rsidR="00A56132" w:rsidRPr="00117237" w:rsidRDefault="00A56132"/>
    <w:p w14:paraId="2FF80344" w14:textId="77777777" w:rsidR="00A56132" w:rsidRPr="00117237" w:rsidRDefault="00A56132"/>
  </w:endnote>
  <w:endnote w:type="continuationNotice" w:id="1">
    <w:p w14:paraId="5E18ECBD" w14:textId="77777777" w:rsidR="00A56132" w:rsidRPr="00117237" w:rsidRDefault="00A561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E00002AF" w:usb1="5000205B"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1843"/>
      <w:gridCol w:w="7795"/>
    </w:tblGrid>
    <w:tr w:rsidR="00113DC6" w:rsidRPr="00117237" w14:paraId="16E096FF" w14:textId="77777777" w:rsidTr="005E30A8">
      <w:trPr>
        <w:trHeight w:val="340"/>
      </w:trPr>
      <w:tc>
        <w:tcPr>
          <w:tcW w:w="956" w:type="pct"/>
          <w:vAlign w:val="bottom"/>
        </w:tcPr>
        <w:p w14:paraId="63AC30CA" w14:textId="77777777" w:rsidR="00113DC6" w:rsidRPr="00117237" w:rsidRDefault="00113DC6" w:rsidP="00B20B55">
          <w:pPr>
            <w:pStyle w:val="FooterHeading"/>
          </w:pPr>
          <w:r w:rsidRPr="00117237">
            <w:rPr>
              <w:noProof/>
              <w:lang w:eastAsia="en-AU"/>
            </w:rPr>
            <w:drawing>
              <wp:inline distT="0" distB="0" distL="0" distR="0" wp14:anchorId="2410DCCE" wp14:editId="35F3A114">
                <wp:extent cx="558800" cy="88900"/>
                <wp:effectExtent l="0" t="0" r="0" b="0"/>
                <wp:docPr id="155202564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157115" name="Picture 13">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88900"/>
                        </a:xfrm>
                        <a:prstGeom prst="rect">
                          <a:avLst/>
                        </a:prstGeom>
                        <a:noFill/>
                        <a:ln>
                          <a:noFill/>
                        </a:ln>
                      </pic:spPr>
                    </pic:pic>
                  </a:graphicData>
                </a:graphic>
              </wp:inline>
            </w:drawing>
          </w:r>
        </w:p>
      </w:tc>
      <w:tc>
        <w:tcPr>
          <w:tcW w:w="4044" w:type="pct"/>
          <w:vAlign w:val="bottom"/>
        </w:tcPr>
        <w:p w14:paraId="5FD8AFE4" w14:textId="77777777" w:rsidR="00113DC6" w:rsidRPr="00117237" w:rsidRDefault="00113DC6" w:rsidP="00B20B55">
          <w:pPr>
            <w:pStyle w:val="FooterHeading"/>
            <w:jc w:val="right"/>
            <w:rPr>
              <w:b/>
            </w:rPr>
          </w:pPr>
          <w:r w:rsidRPr="00117237">
            <w:rPr>
              <w:caps/>
            </w:rPr>
            <w:t>evaluation of the ebf for women with disability project – our watch</w:t>
          </w:r>
          <w:r w:rsidRPr="00117237">
            <w:rPr>
              <w:b/>
            </w:rPr>
            <w:t xml:space="preserve"> </w:t>
          </w:r>
          <w:r w:rsidRPr="00117237">
            <w:t xml:space="preserve">|  </w:t>
          </w:r>
          <w:r w:rsidRPr="00117237">
            <w:fldChar w:fldCharType="begin"/>
          </w:r>
          <w:r w:rsidRPr="00117237">
            <w:instrText xml:space="preserve"> PAGE  \* Arabic </w:instrText>
          </w:r>
          <w:r w:rsidRPr="00117237">
            <w:fldChar w:fldCharType="separate"/>
          </w:r>
          <w:r w:rsidRPr="00117237">
            <w:t>10</w:t>
          </w:r>
          <w:r w:rsidRPr="00117237">
            <w:fldChar w:fldCharType="end"/>
          </w:r>
        </w:p>
      </w:tc>
    </w:tr>
  </w:tbl>
  <w:p w14:paraId="410D6DF5" w14:textId="77777777" w:rsidR="00113DC6" w:rsidRPr="00117237" w:rsidRDefault="00113DC6" w:rsidP="001A73D7">
    <w:pPr>
      <w:pStyle w:val="NormalSingleSpacing"/>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C9DA1" w14:textId="77777777" w:rsidR="000004CF" w:rsidRPr="00117237" w:rsidRDefault="00000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9638"/>
    </w:tblGrid>
    <w:tr w:rsidR="00113DC6" w:rsidRPr="00117237" w14:paraId="1E1D4F21" w14:textId="77777777">
      <w:trPr>
        <w:trHeight w:val="567"/>
      </w:trPr>
      <w:tc>
        <w:tcPr>
          <w:tcW w:w="5000" w:type="pct"/>
        </w:tcPr>
        <w:p w14:paraId="704B9827" w14:textId="77777777" w:rsidR="00113DC6" w:rsidRPr="00117237" w:rsidRDefault="00113DC6">
          <w:pPr>
            <w:pStyle w:val="FooterHeading"/>
            <w:jc w:val="center"/>
          </w:pPr>
          <w:r w:rsidRPr="00117237">
            <w:rPr>
              <w:rFonts w:eastAsia="Cambria"/>
              <w:noProof/>
              <w:color w:val="auto"/>
              <w:sz w:val="24"/>
              <w:szCs w:val="24"/>
              <w:lang w:eastAsia="en-AU"/>
            </w:rPr>
            <w:drawing>
              <wp:inline distT="0" distB="0" distL="0" distR="0" wp14:anchorId="5E7758BA" wp14:editId="2393B6F5">
                <wp:extent cx="1524000" cy="254000"/>
                <wp:effectExtent l="0" t="0" r="0" b="0"/>
                <wp:docPr id="1924265024" name="Picture 1" descr="Dandolopartners logo (the word dandolopartners, all one word all in lower case with a burgundy d and p at the start of dandolo and part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926484" name="Picture 1" descr="Dandolopartners logo (the word dandolopartners, all one word all in lower case with a burgundy d and p at the start of dandolo and partner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54000"/>
                        </a:xfrm>
                        <a:prstGeom prst="rect">
                          <a:avLst/>
                        </a:prstGeom>
                        <a:noFill/>
                        <a:ln>
                          <a:noFill/>
                        </a:ln>
                      </pic:spPr>
                    </pic:pic>
                  </a:graphicData>
                </a:graphic>
              </wp:inline>
            </w:drawing>
          </w:r>
        </w:p>
        <w:p w14:paraId="1F19068F" w14:textId="77777777" w:rsidR="00113DC6" w:rsidRPr="00117237" w:rsidRDefault="00113DC6">
          <w:pPr>
            <w:pStyle w:val="FooterHeading"/>
            <w:jc w:val="center"/>
          </w:pPr>
        </w:p>
      </w:tc>
    </w:tr>
    <w:tr w:rsidR="00113DC6" w:rsidRPr="00117237" w14:paraId="7FF7F184" w14:textId="77777777">
      <w:tc>
        <w:tcPr>
          <w:tcW w:w="5000" w:type="pct"/>
        </w:tcPr>
        <w:p w14:paraId="65715AC9" w14:textId="77777777" w:rsidR="00113DC6" w:rsidRPr="00117237" w:rsidRDefault="00113DC6">
          <w:pPr>
            <w:pStyle w:val="CoverAddress"/>
          </w:pPr>
        </w:p>
        <w:p w14:paraId="48B4BAE5" w14:textId="77777777" w:rsidR="00113DC6" w:rsidRPr="00117237" w:rsidRDefault="00113DC6">
          <w:pPr>
            <w:pStyle w:val="CoverAddress"/>
          </w:pPr>
        </w:p>
        <w:p w14:paraId="5872AFEB" w14:textId="77777777" w:rsidR="00113DC6" w:rsidRPr="00117237" w:rsidRDefault="00113DC6">
          <w:pPr>
            <w:pStyle w:val="CoverAddress"/>
          </w:pPr>
          <w:r w:rsidRPr="00117237">
            <w:t>Level 6, 171 La Trobe Street, Melbourne 3000 Victoria</w:t>
          </w:r>
        </w:p>
        <w:p w14:paraId="42D3A436" w14:textId="77777777" w:rsidR="00113DC6" w:rsidRPr="00117237" w:rsidRDefault="00113DC6">
          <w:pPr>
            <w:pStyle w:val="CoverAddress"/>
          </w:pPr>
        </w:p>
        <w:p w14:paraId="4C4F7D4A" w14:textId="77777777" w:rsidR="00113DC6" w:rsidRPr="00117237" w:rsidRDefault="00113DC6">
          <w:pPr>
            <w:pStyle w:val="CoverAddress"/>
          </w:pPr>
          <w:r w:rsidRPr="00117237">
            <w:t xml:space="preserve">T: +61 3 9211 0015 E: </w:t>
          </w:r>
          <w:hyperlink r:id="rId2" w:history="1">
            <w:r w:rsidRPr="00117237">
              <w:rPr>
                <w:rStyle w:val="Hyperlink"/>
              </w:rPr>
              <w:t>admin@dandolo.com.au</w:t>
            </w:r>
          </w:hyperlink>
          <w:r w:rsidRPr="00117237">
            <w:rPr>
              <w:rStyle w:val="Hyperlink"/>
            </w:rPr>
            <w:t xml:space="preserve"> </w:t>
          </w:r>
        </w:p>
        <w:p w14:paraId="20865946" w14:textId="77777777" w:rsidR="00113DC6" w:rsidRPr="00117237" w:rsidRDefault="00113DC6">
          <w:pPr>
            <w:pStyle w:val="CoverAddress"/>
          </w:pPr>
        </w:p>
        <w:p w14:paraId="5D1BA0A7" w14:textId="77777777" w:rsidR="00113DC6" w:rsidRPr="00117237" w:rsidRDefault="00113DC6">
          <w:pPr>
            <w:pStyle w:val="CoverAddress"/>
          </w:pPr>
          <w:hyperlink r:id="rId3" w:history="1">
            <w:r w:rsidRPr="00117237">
              <w:rPr>
                <w:rStyle w:val="Hyperlink"/>
              </w:rPr>
              <w:t>www.dandolo.com.au</w:t>
            </w:r>
          </w:hyperlink>
        </w:p>
        <w:p w14:paraId="07EF18CA" w14:textId="77777777" w:rsidR="00113DC6" w:rsidRPr="00117237" w:rsidRDefault="00113DC6">
          <w:pPr>
            <w:pStyle w:val="CoverAddress"/>
          </w:pPr>
        </w:p>
        <w:p w14:paraId="7A96A2FE" w14:textId="77777777" w:rsidR="00113DC6" w:rsidRPr="00117237" w:rsidRDefault="00113DC6">
          <w:pPr>
            <w:pStyle w:val="CoverAddress"/>
          </w:pPr>
          <w:r w:rsidRPr="00117237">
            <w:t>ABN 48 757 017 061</w:t>
          </w:r>
        </w:p>
      </w:tc>
    </w:tr>
  </w:tbl>
  <w:p w14:paraId="65F94FE9" w14:textId="77777777" w:rsidR="00113DC6" w:rsidRPr="00117237" w:rsidRDefault="00113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1843"/>
      <w:gridCol w:w="7795"/>
    </w:tblGrid>
    <w:tr w:rsidR="003C3561" w:rsidRPr="00117237" w14:paraId="4B023F4F" w14:textId="77777777" w:rsidTr="005E30A8">
      <w:trPr>
        <w:trHeight w:val="340"/>
      </w:trPr>
      <w:tc>
        <w:tcPr>
          <w:tcW w:w="956" w:type="pct"/>
          <w:vAlign w:val="bottom"/>
        </w:tcPr>
        <w:p w14:paraId="1BCF8FFE" w14:textId="77777777" w:rsidR="003C3561" w:rsidRPr="00117237" w:rsidRDefault="003C3561" w:rsidP="00B20B55">
          <w:pPr>
            <w:pStyle w:val="FooterHeading"/>
          </w:pPr>
          <w:r w:rsidRPr="00117237">
            <w:rPr>
              <w:noProof/>
            </w:rPr>
            <w:drawing>
              <wp:inline distT="0" distB="0" distL="0" distR="0" wp14:anchorId="07107694" wp14:editId="3E9F1959">
                <wp:extent cx="553846" cy="90000"/>
                <wp:effectExtent l="0" t="0" r="0" b="5715"/>
                <wp:docPr id="432319875" name="Picture 432319875" descr="The image shows the logo for &quot;dandolopartners.&quot; The text is written in a thin, lowercase font, with the word &quot;dandolo&quot; in red and &quot;partners&quot; in gray, presented in a single line with no additional symbols or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03901" name="Picture 1581903901" descr="The image shows the logo for &quot;dandolopartners.&quot; The text is written in a thin, lowercase font, with the word &quot;dandolo&quot; in red and &quot;partners&quot; in gray, presented in a single line with no additional symbols or imagery."/>
                        <pic:cNvPicPr>
                          <a:picLocks noChangeAspect="1" noChangeArrowheads="1"/>
                        </pic:cNvPicPr>
                      </pic:nvPicPr>
                      <pic:blipFill>
                        <a:blip r:embed="rId1"/>
                        <a:srcRect/>
                        <a:stretch>
                          <a:fillRect/>
                        </a:stretch>
                      </pic:blipFill>
                      <pic:spPr bwMode="auto">
                        <a:xfrm>
                          <a:off x="0" y="0"/>
                          <a:ext cx="553846" cy="90000"/>
                        </a:xfrm>
                        <a:prstGeom prst="rect">
                          <a:avLst/>
                        </a:prstGeom>
                        <a:noFill/>
                        <a:ln w="9525">
                          <a:noFill/>
                          <a:miter lim="800000"/>
                          <a:headEnd/>
                          <a:tailEnd/>
                        </a:ln>
                      </pic:spPr>
                    </pic:pic>
                  </a:graphicData>
                </a:graphic>
              </wp:inline>
            </w:drawing>
          </w:r>
        </w:p>
      </w:tc>
      <w:tc>
        <w:tcPr>
          <w:tcW w:w="4044" w:type="pct"/>
          <w:vAlign w:val="bottom"/>
        </w:tcPr>
        <w:p w14:paraId="04D3C391" w14:textId="77777777" w:rsidR="003C3561" w:rsidRPr="00117237" w:rsidRDefault="00B648B4" w:rsidP="00B20B55">
          <w:pPr>
            <w:pStyle w:val="FooterHeading"/>
            <w:jc w:val="right"/>
            <w:rPr>
              <w:b/>
            </w:rPr>
          </w:pPr>
          <w:sdt>
            <w:sdtPr>
              <w:rPr>
                <w:caps/>
              </w:rPr>
              <w:alias w:val="Title"/>
              <w:tag w:val=""/>
              <w:id w:val="-1359503430"/>
              <w:dataBinding w:prefixMappings="xmlns:ns0='http://purl.org/dc/elements/1.1/' xmlns:ns1='http://schemas.openxmlformats.org/package/2006/metadata/core-properties' " w:xpath="/ns1:coreProperties[1]/ns0:title[1]" w:storeItemID="{6C3C8BC8-F283-45AE-878A-BAB7291924A1}"/>
              <w:text/>
            </w:sdtPr>
            <w:sdtEndPr/>
            <w:sdtContent>
              <w:r w:rsidR="00B357CF" w:rsidRPr="00117237">
                <w:rPr>
                  <w:caps/>
                </w:rPr>
                <w:t>EVALUATION OF THE RESPECT AND EQUALITY AT TAFES 2 PROJECT</w:t>
              </w:r>
            </w:sdtContent>
          </w:sdt>
          <w:r w:rsidR="003C3561" w:rsidRPr="00117237">
            <w:rPr>
              <w:b/>
            </w:rPr>
            <w:t xml:space="preserve">  </w:t>
          </w:r>
          <w:r w:rsidR="003C3561" w:rsidRPr="00117237">
            <w:t xml:space="preserve">|  </w:t>
          </w:r>
          <w:r w:rsidR="003C3561" w:rsidRPr="00117237">
            <w:fldChar w:fldCharType="begin"/>
          </w:r>
          <w:r w:rsidR="003C3561" w:rsidRPr="00117237">
            <w:instrText xml:space="preserve"> PAGE  \* Arabic </w:instrText>
          </w:r>
          <w:r w:rsidR="003C3561" w:rsidRPr="00117237">
            <w:fldChar w:fldCharType="separate"/>
          </w:r>
          <w:r w:rsidR="003C3561" w:rsidRPr="00117237">
            <w:t>2</w:t>
          </w:r>
          <w:r w:rsidR="003C3561" w:rsidRPr="00117237">
            <w:fldChar w:fldCharType="end"/>
          </w:r>
        </w:p>
      </w:tc>
    </w:tr>
  </w:tbl>
  <w:p w14:paraId="6F0BA16E" w14:textId="77777777" w:rsidR="003C3561" w:rsidRPr="00117237" w:rsidRDefault="003C3561" w:rsidP="001A73D7">
    <w:pPr>
      <w:pStyle w:val="NormalSingleSpaci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9638"/>
    </w:tblGrid>
    <w:tr w:rsidR="003C3561" w:rsidRPr="00117237" w14:paraId="51983B68" w14:textId="77777777" w:rsidTr="008F700F">
      <w:trPr>
        <w:trHeight w:val="567"/>
      </w:trPr>
      <w:tc>
        <w:tcPr>
          <w:tcW w:w="5000" w:type="pct"/>
        </w:tcPr>
        <w:p w14:paraId="65239D8B" w14:textId="77777777" w:rsidR="003C3561" w:rsidRPr="00117237" w:rsidRDefault="003C3561" w:rsidP="008F700F">
          <w:pPr>
            <w:pStyle w:val="FooterHeading"/>
            <w:jc w:val="center"/>
          </w:pPr>
          <w:r w:rsidRPr="00117237">
            <w:rPr>
              <w:rFonts w:ascii="Arial Narrow" w:eastAsia="Cambria" w:hAnsi="Arial Narrow" w:cs="Times New Roman"/>
              <w:noProof/>
              <w:color w:val="auto"/>
              <w:sz w:val="24"/>
              <w:szCs w:val="24"/>
            </w:rPr>
            <w:drawing>
              <wp:inline distT="0" distB="0" distL="0" distR="0" wp14:anchorId="35EAE56F" wp14:editId="504E113D">
                <wp:extent cx="1524000" cy="247650"/>
                <wp:effectExtent l="0" t="0" r="0" b="0"/>
                <wp:docPr id="3613935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inline>
            </w:drawing>
          </w:r>
        </w:p>
        <w:p w14:paraId="225FD5C2" w14:textId="65FE48B6" w:rsidR="003C3561" w:rsidRPr="00117237" w:rsidRDefault="003C3561" w:rsidP="008F700F">
          <w:pPr>
            <w:pStyle w:val="FooterHeading"/>
            <w:jc w:val="center"/>
          </w:pPr>
          <w:r w:rsidRPr="00117237">
            <w:rPr>
              <w:noProof/>
            </w:rPr>
            <mc:AlternateContent>
              <mc:Choice Requires="wps">
                <w:drawing>
                  <wp:inline distT="0" distB="0" distL="0" distR="0" wp14:anchorId="70905759" wp14:editId="132C40F8">
                    <wp:extent cx="360045" cy="0"/>
                    <wp:effectExtent l="0" t="0" r="0" b="0"/>
                    <wp:docPr id="2067804757"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3C3C3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noFill/>
                                </a14:hiddenFill>
                              </a:ext>
                            </a:extLst>
                          </wps:spPr>
                          <wps:bodyPr/>
                        </wps:wsp>
                      </a:graphicData>
                    </a:graphic>
                  </wp:inline>
                </w:drawing>
              </mc:Choice>
              <mc:Fallback>
                <w:pict>
                  <v:shapetype w14:anchorId="2A376872" id="_x0000_t32" coordsize="21600,21600" o:spt="32" o:oned="t" path="m,l21600,21600e" filled="f">
                    <v:path arrowok="t" fillok="f" o:connecttype="none"/>
                    <o:lock v:ext="edit" shapetype="t"/>
                  </v:shapetype>
                  <v:shape id="AutoShape 6" o:spid="_x0000_s1026" type="#_x0000_t32" alt="&quot;&quot;" style="width:28.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" strokecolor="#3c3c3b">
                    <w10:anchorlock/>
                  </v:shape>
                </w:pict>
              </mc:Fallback>
            </mc:AlternateContent>
          </w:r>
        </w:p>
      </w:tc>
    </w:tr>
    <w:tr w:rsidR="003C3561" w:rsidRPr="00117237" w14:paraId="1BA6CB98" w14:textId="77777777" w:rsidTr="008F700F">
      <w:tc>
        <w:tcPr>
          <w:tcW w:w="5000" w:type="pct"/>
        </w:tcPr>
        <w:p w14:paraId="582BED01" w14:textId="77777777" w:rsidR="003C3561" w:rsidRPr="00117237" w:rsidRDefault="003C3561" w:rsidP="008F700F">
          <w:pPr>
            <w:pStyle w:val="CoverAddress"/>
          </w:pPr>
        </w:p>
        <w:p w14:paraId="2830329B" w14:textId="77777777" w:rsidR="003C3561" w:rsidRPr="00117237" w:rsidRDefault="003C3561" w:rsidP="008F700F">
          <w:pPr>
            <w:pStyle w:val="CoverAddress"/>
          </w:pPr>
        </w:p>
        <w:p w14:paraId="5C1225B8" w14:textId="77777777" w:rsidR="003C3561" w:rsidRPr="00117237" w:rsidRDefault="003C3561" w:rsidP="008F700F">
          <w:pPr>
            <w:pStyle w:val="CoverAddress"/>
          </w:pPr>
          <w:r w:rsidRPr="00117237">
            <w:t>Level 1, 155 Queen Street, Melbourne 3000 Victoria</w:t>
          </w:r>
        </w:p>
        <w:p w14:paraId="3F3DF3A3" w14:textId="77777777" w:rsidR="003C3561" w:rsidRPr="00117237" w:rsidRDefault="003C3561" w:rsidP="008F700F">
          <w:pPr>
            <w:pStyle w:val="CoverAddress"/>
          </w:pPr>
        </w:p>
        <w:p w14:paraId="46B88E5A" w14:textId="77777777" w:rsidR="003C3561" w:rsidRPr="00117237" w:rsidRDefault="003C3561" w:rsidP="008F700F">
          <w:pPr>
            <w:pStyle w:val="CoverAddress"/>
          </w:pPr>
          <w:r w:rsidRPr="00117237">
            <w:t xml:space="preserve">T: +61 3 9211 </w:t>
          </w:r>
          <w:proofErr w:type="gramStart"/>
          <w:r w:rsidRPr="00117237">
            <w:t>0015  F</w:t>
          </w:r>
          <w:proofErr w:type="gramEnd"/>
          <w:r w:rsidRPr="00117237">
            <w:t xml:space="preserve">: +61 3 9949 </w:t>
          </w:r>
          <w:proofErr w:type="gramStart"/>
          <w:r w:rsidRPr="00117237">
            <w:t>9768  E</w:t>
          </w:r>
          <w:proofErr w:type="gramEnd"/>
          <w:r w:rsidRPr="00117237">
            <w:t xml:space="preserve">: </w:t>
          </w:r>
          <w:hyperlink r:id="rId2" w:history="1">
            <w:r w:rsidRPr="00117237">
              <w:rPr>
                <w:rStyle w:val="Hyperlink"/>
              </w:rPr>
              <w:t>enquiries@dandolo.com.au</w:t>
            </w:r>
          </w:hyperlink>
        </w:p>
        <w:p w14:paraId="313A003E" w14:textId="77777777" w:rsidR="003C3561" w:rsidRPr="00117237" w:rsidRDefault="003C3561" w:rsidP="008F700F">
          <w:pPr>
            <w:pStyle w:val="CoverAddress"/>
          </w:pPr>
        </w:p>
        <w:p w14:paraId="1928136E" w14:textId="77777777" w:rsidR="003C3561" w:rsidRPr="00117237" w:rsidRDefault="003C3561" w:rsidP="008F700F">
          <w:pPr>
            <w:pStyle w:val="CoverAddress"/>
          </w:pPr>
          <w:hyperlink r:id="rId3" w:history="1">
            <w:r w:rsidRPr="00117237">
              <w:rPr>
                <w:rStyle w:val="Hyperlink"/>
              </w:rPr>
              <w:t>www.dandolo.com.au</w:t>
            </w:r>
          </w:hyperlink>
        </w:p>
        <w:p w14:paraId="317E32B0" w14:textId="77777777" w:rsidR="003C3561" w:rsidRPr="00117237" w:rsidRDefault="003C3561" w:rsidP="008F700F">
          <w:pPr>
            <w:pStyle w:val="CoverAddress"/>
          </w:pPr>
        </w:p>
        <w:p w14:paraId="516B479A" w14:textId="77777777" w:rsidR="003C3561" w:rsidRPr="00117237" w:rsidRDefault="003C3561" w:rsidP="008F700F">
          <w:pPr>
            <w:pStyle w:val="CoverAddress"/>
          </w:pPr>
          <w:r w:rsidRPr="00117237">
            <w:t>ABN 48 757 017 061</w:t>
          </w:r>
        </w:p>
      </w:tc>
    </w:tr>
  </w:tbl>
  <w:p w14:paraId="378370C9" w14:textId="77777777" w:rsidR="003C3561" w:rsidRPr="00117237" w:rsidRDefault="003C3561" w:rsidP="00E501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1843"/>
      <w:gridCol w:w="7795"/>
    </w:tblGrid>
    <w:tr w:rsidR="003C3561" w:rsidRPr="00117237" w14:paraId="1DBBA37C" w14:textId="77777777" w:rsidTr="005E30A8">
      <w:trPr>
        <w:trHeight w:val="340"/>
      </w:trPr>
      <w:tc>
        <w:tcPr>
          <w:tcW w:w="956" w:type="pct"/>
          <w:vAlign w:val="bottom"/>
        </w:tcPr>
        <w:p w14:paraId="3F77C345" w14:textId="77777777" w:rsidR="003C3561" w:rsidRPr="00117237" w:rsidRDefault="003C3561" w:rsidP="00B20B55">
          <w:pPr>
            <w:pStyle w:val="FooterHeading"/>
          </w:pPr>
          <w:r w:rsidRPr="00117237">
            <w:rPr>
              <w:noProof/>
            </w:rPr>
            <w:drawing>
              <wp:inline distT="0" distB="0" distL="0" distR="0" wp14:anchorId="07107694" wp14:editId="7B3790D5">
                <wp:extent cx="553846" cy="90000"/>
                <wp:effectExtent l="0" t="0" r="0" b="5715"/>
                <wp:docPr id="62543224" name="Picture 62543224" descr="The image shows the logo for &quot;dandolopartners.&quot; The text is written in a thin, lowercase font, with the word &quot;dandolo&quot; in red and &quot;partners&quot; in gray, presented in a single line with no additional symbols or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81853" name="Picture 327181853" descr="The image shows the logo for &quot;dandolopartners.&quot; The text is written in a thin, lowercase font, with the word &quot;dandolo&quot; in red and &quot;partners&quot; in gray, presented in a single line with no additional symbols or imagery."/>
                        <pic:cNvPicPr>
                          <a:picLocks noChangeAspect="1" noChangeArrowheads="1"/>
                        </pic:cNvPicPr>
                      </pic:nvPicPr>
                      <pic:blipFill>
                        <a:blip r:embed="rId1"/>
                        <a:srcRect/>
                        <a:stretch>
                          <a:fillRect/>
                        </a:stretch>
                      </pic:blipFill>
                      <pic:spPr bwMode="auto">
                        <a:xfrm>
                          <a:off x="0" y="0"/>
                          <a:ext cx="553846" cy="90000"/>
                        </a:xfrm>
                        <a:prstGeom prst="rect">
                          <a:avLst/>
                        </a:prstGeom>
                        <a:noFill/>
                        <a:ln w="9525">
                          <a:noFill/>
                          <a:miter lim="800000"/>
                          <a:headEnd/>
                          <a:tailEnd/>
                        </a:ln>
                      </pic:spPr>
                    </pic:pic>
                  </a:graphicData>
                </a:graphic>
              </wp:inline>
            </w:drawing>
          </w:r>
        </w:p>
      </w:tc>
      <w:tc>
        <w:tcPr>
          <w:tcW w:w="4044" w:type="pct"/>
          <w:vAlign w:val="bottom"/>
        </w:tcPr>
        <w:p w14:paraId="708AF3E6" w14:textId="77777777" w:rsidR="003C3561" w:rsidRPr="00117237" w:rsidRDefault="00B648B4" w:rsidP="00B20B55">
          <w:pPr>
            <w:pStyle w:val="FooterHeading"/>
            <w:jc w:val="right"/>
            <w:rPr>
              <w:b/>
            </w:rPr>
          </w:pPr>
          <w:sdt>
            <w:sdtPr>
              <w:rPr>
                <w:caps/>
              </w:rPr>
              <w:alias w:val="Title"/>
              <w:tag w:val=""/>
              <w:id w:val="-866679459"/>
              <w:dataBinding w:prefixMappings="xmlns:ns0='http://purl.org/dc/elements/1.1/' xmlns:ns1='http://schemas.openxmlformats.org/package/2006/metadata/core-properties' " w:xpath="/ns1:coreProperties[1]/ns0:title[1]" w:storeItemID="{6C3C8BC8-F283-45AE-878A-BAB7291924A1}"/>
              <w:text/>
            </w:sdtPr>
            <w:sdtEndPr/>
            <w:sdtContent>
              <w:r w:rsidR="00B357CF" w:rsidRPr="00117237">
                <w:rPr>
                  <w:caps/>
                </w:rPr>
                <w:t>EVALUATION OF THE RESPECT AND EQUALITY AT TAFES 2 PROJECT</w:t>
              </w:r>
            </w:sdtContent>
          </w:sdt>
          <w:r w:rsidR="003C3561" w:rsidRPr="00117237">
            <w:rPr>
              <w:b/>
            </w:rPr>
            <w:t xml:space="preserve">  </w:t>
          </w:r>
          <w:r w:rsidR="003C3561" w:rsidRPr="00117237">
            <w:t xml:space="preserve">|  </w:t>
          </w:r>
          <w:r w:rsidR="003C3561" w:rsidRPr="00117237">
            <w:fldChar w:fldCharType="begin"/>
          </w:r>
          <w:r w:rsidR="003C3561" w:rsidRPr="00117237">
            <w:instrText xml:space="preserve"> PAGE  \* Arabic </w:instrText>
          </w:r>
          <w:r w:rsidR="003C3561" w:rsidRPr="00117237">
            <w:fldChar w:fldCharType="separate"/>
          </w:r>
          <w:r w:rsidR="003C3561" w:rsidRPr="00117237">
            <w:t>2</w:t>
          </w:r>
          <w:r w:rsidR="003C3561" w:rsidRPr="00117237">
            <w:fldChar w:fldCharType="end"/>
          </w:r>
        </w:p>
      </w:tc>
    </w:tr>
  </w:tbl>
  <w:p w14:paraId="3899E64B" w14:textId="77777777" w:rsidR="003C3561" w:rsidRPr="00117237" w:rsidRDefault="003C35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9638"/>
    </w:tblGrid>
    <w:tr w:rsidR="003C3561" w:rsidRPr="00117237" w14:paraId="4357BC08" w14:textId="77777777" w:rsidTr="008F700F">
      <w:trPr>
        <w:trHeight w:val="567"/>
      </w:trPr>
      <w:tc>
        <w:tcPr>
          <w:tcW w:w="5000" w:type="pct"/>
        </w:tcPr>
        <w:p w14:paraId="2789E57A" w14:textId="77777777" w:rsidR="003C3561" w:rsidRPr="00117237" w:rsidRDefault="003C3561" w:rsidP="008F700F">
          <w:pPr>
            <w:pStyle w:val="FooterHeading"/>
            <w:jc w:val="center"/>
          </w:pPr>
          <w:r w:rsidRPr="00117237">
            <w:rPr>
              <w:rFonts w:ascii="Arial Narrow" w:eastAsia="Cambria" w:hAnsi="Arial Narrow" w:cs="Times New Roman"/>
              <w:noProof/>
              <w:color w:val="auto"/>
              <w:sz w:val="24"/>
              <w:szCs w:val="24"/>
            </w:rPr>
            <w:drawing>
              <wp:inline distT="0" distB="0" distL="0" distR="0" wp14:anchorId="35EAE56F" wp14:editId="5F0E990D">
                <wp:extent cx="1524000" cy="247650"/>
                <wp:effectExtent l="0" t="0" r="0" b="0"/>
                <wp:docPr id="2075278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2198" name="Picture 1">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1524000" cy="247650"/>
                        </a:xfrm>
                        <a:prstGeom prst="rect">
                          <a:avLst/>
                        </a:prstGeom>
                        <a:noFill/>
                        <a:ln w="9525">
                          <a:noFill/>
                          <a:miter lim="800000"/>
                          <a:headEnd/>
                          <a:tailEnd/>
                        </a:ln>
                      </pic:spPr>
                    </pic:pic>
                  </a:graphicData>
                </a:graphic>
              </wp:inline>
            </w:drawing>
          </w:r>
        </w:p>
        <w:p w14:paraId="70352EF7" w14:textId="77777777" w:rsidR="003C3561" w:rsidRPr="00117237" w:rsidRDefault="003C3561" w:rsidP="008F700F">
          <w:pPr>
            <w:pStyle w:val="FooterHeading"/>
            <w:jc w:val="center"/>
          </w:pPr>
          <w:r w:rsidRPr="00117237">
            <w:rPr>
              <w:noProof/>
            </w:rPr>
            <mc:AlternateContent>
              <mc:Choice Requires="wps">
                <w:drawing>
                  <wp:inline distT="0" distB="0" distL="0" distR="0" wp14:anchorId="70905759" wp14:editId="335AD5CB">
                    <wp:extent cx="360045" cy="0"/>
                    <wp:effectExtent l="0" t="0" r="0" b="0"/>
                    <wp:docPr id="1496471772"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3C3C3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a:noFill/>
                                </a14:hiddenFill>
                              </a:ext>
                            </a:extLst>
                          </wps:spPr>
                          <wps:bodyPr/>
                        </wps:wsp>
                      </a:graphicData>
                    </a:graphic>
                  </wp:inline>
                </w:drawing>
              </mc:Choice>
              <mc:Fallback>
                <w:pict>
                  <v:shapetype w14:anchorId="4B94B26D" id="_x0000_t32" coordsize="21600,21600" o:spt="32" o:oned="t" path="m,l21600,21600e" filled="f">
                    <v:path arrowok="t" fillok="f" o:connecttype="none"/>
                    <o:lock v:ext="edit" shapetype="t"/>
                  </v:shapetype>
                  <v:shape id="AutoShape 6" o:spid="_x0000_s1026" type="#_x0000_t32" alt="&quot;&quot;" style="width:28.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" strokecolor="#3c3c3b">
                    <w10:anchorlock/>
                  </v:shape>
                </w:pict>
              </mc:Fallback>
            </mc:AlternateContent>
          </w:r>
        </w:p>
      </w:tc>
    </w:tr>
    <w:tr w:rsidR="003C3561" w:rsidRPr="00117237" w14:paraId="30F8F693" w14:textId="77777777" w:rsidTr="008F700F">
      <w:tc>
        <w:tcPr>
          <w:tcW w:w="5000" w:type="pct"/>
        </w:tcPr>
        <w:p w14:paraId="17D553F4" w14:textId="77777777" w:rsidR="003C3561" w:rsidRPr="00117237" w:rsidRDefault="003C3561" w:rsidP="008F700F">
          <w:pPr>
            <w:pStyle w:val="CoverAddress"/>
          </w:pPr>
        </w:p>
        <w:p w14:paraId="6E027155" w14:textId="77777777" w:rsidR="003C3561" w:rsidRPr="00117237" w:rsidRDefault="003C3561" w:rsidP="008F700F">
          <w:pPr>
            <w:pStyle w:val="CoverAddress"/>
          </w:pPr>
        </w:p>
        <w:p w14:paraId="6EC2C4D5" w14:textId="77777777" w:rsidR="003C3561" w:rsidRPr="00117237" w:rsidRDefault="003C3561" w:rsidP="008F700F">
          <w:pPr>
            <w:pStyle w:val="CoverAddress"/>
          </w:pPr>
          <w:r w:rsidRPr="00117237">
            <w:t>Level 1, 155 Queen Street, Melbourne 3000 Victoria</w:t>
          </w:r>
        </w:p>
        <w:p w14:paraId="4106226E" w14:textId="77777777" w:rsidR="003C3561" w:rsidRPr="00117237" w:rsidRDefault="003C3561" w:rsidP="008F700F">
          <w:pPr>
            <w:pStyle w:val="CoverAddress"/>
          </w:pPr>
        </w:p>
        <w:p w14:paraId="2363A3F7" w14:textId="77777777" w:rsidR="003C3561" w:rsidRPr="00117237" w:rsidRDefault="003C3561" w:rsidP="008F700F">
          <w:pPr>
            <w:pStyle w:val="CoverAddress"/>
          </w:pPr>
          <w:r w:rsidRPr="00117237">
            <w:t xml:space="preserve">T: +61 3 9211 </w:t>
          </w:r>
          <w:proofErr w:type="gramStart"/>
          <w:r w:rsidRPr="00117237">
            <w:t>0015  F</w:t>
          </w:r>
          <w:proofErr w:type="gramEnd"/>
          <w:r w:rsidRPr="00117237">
            <w:t xml:space="preserve">: +61 3 9949 </w:t>
          </w:r>
          <w:proofErr w:type="gramStart"/>
          <w:r w:rsidRPr="00117237">
            <w:t>9768  E</w:t>
          </w:r>
          <w:proofErr w:type="gramEnd"/>
          <w:r w:rsidRPr="00117237">
            <w:t xml:space="preserve">: </w:t>
          </w:r>
          <w:hyperlink r:id="rId2" w:history="1">
            <w:r w:rsidRPr="00117237">
              <w:rPr>
                <w:rStyle w:val="Hyperlink"/>
              </w:rPr>
              <w:t>enquiries@dandolo.com.au</w:t>
            </w:r>
          </w:hyperlink>
        </w:p>
        <w:p w14:paraId="4095F194" w14:textId="77777777" w:rsidR="003C3561" w:rsidRPr="00117237" w:rsidRDefault="003C3561" w:rsidP="008F700F">
          <w:pPr>
            <w:pStyle w:val="CoverAddress"/>
          </w:pPr>
        </w:p>
        <w:p w14:paraId="5361931B" w14:textId="77777777" w:rsidR="003C3561" w:rsidRPr="00117237" w:rsidRDefault="003C3561" w:rsidP="008F700F">
          <w:pPr>
            <w:pStyle w:val="CoverAddress"/>
          </w:pPr>
          <w:hyperlink r:id="rId3" w:history="1">
            <w:r w:rsidRPr="00117237">
              <w:rPr>
                <w:rStyle w:val="Hyperlink"/>
              </w:rPr>
              <w:t>www.dandolo.com.au</w:t>
            </w:r>
          </w:hyperlink>
        </w:p>
        <w:p w14:paraId="61555291" w14:textId="77777777" w:rsidR="003C3561" w:rsidRPr="00117237" w:rsidRDefault="003C3561" w:rsidP="008F700F">
          <w:pPr>
            <w:pStyle w:val="CoverAddress"/>
          </w:pPr>
        </w:p>
        <w:p w14:paraId="214D63C3" w14:textId="77777777" w:rsidR="003C3561" w:rsidRPr="00117237" w:rsidRDefault="003C3561" w:rsidP="008F700F">
          <w:pPr>
            <w:pStyle w:val="CoverAddress"/>
          </w:pPr>
          <w:r w:rsidRPr="00117237">
            <w:t>ABN 48 757 017 061</w:t>
          </w:r>
        </w:p>
      </w:tc>
    </w:tr>
  </w:tbl>
  <w:p w14:paraId="2F5CB47C" w14:textId="77777777" w:rsidR="003C3561" w:rsidRPr="00117237" w:rsidRDefault="003C3561" w:rsidP="00E501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82453" w14:textId="77777777" w:rsidR="00B474CC" w:rsidRPr="00117237" w:rsidRDefault="00B648B4" w:rsidP="00B474CC">
    <w:pPr>
      <w:pStyle w:val="FooterHeading"/>
      <w:jc w:val="right"/>
      <w:rPr>
        <w:b/>
      </w:rPr>
    </w:pPr>
    <w:sdt>
      <w:sdtPr>
        <w:rPr>
          <w:caps/>
        </w:rPr>
        <w:alias w:val="Title"/>
        <w:tag w:val=""/>
        <w:id w:val="-1077205918"/>
        <w:dataBinding w:prefixMappings="xmlns:ns0='http://purl.org/dc/elements/1.1/' xmlns:ns1='http://schemas.openxmlformats.org/package/2006/metadata/core-properties' " w:xpath="/ns1:coreProperties[1]/ns0:title[1]" w:storeItemID="{6C3C8BC8-F283-45AE-878A-BAB7291924A1}"/>
        <w:text/>
      </w:sdtPr>
      <w:sdtEndPr/>
      <w:sdtContent>
        <w:r w:rsidR="00B474CC" w:rsidRPr="00117237">
          <w:rPr>
            <w:caps/>
          </w:rPr>
          <w:t>EVALUATION OF THE RESPECT AND EQUALITY AT TAFES 2 PROJECT</w:t>
        </w:r>
      </w:sdtContent>
    </w:sdt>
    <w:r w:rsidR="00B474CC" w:rsidRPr="00117237">
      <w:rPr>
        <w:b/>
      </w:rPr>
      <w:t xml:space="preserve">  </w:t>
    </w:r>
    <w:r w:rsidR="00B474CC" w:rsidRPr="00117237">
      <w:t xml:space="preserve">|  </w:t>
    </w:r>
    <w:r w:rsidR="00B474CC" w:rsidRPr="00117237">
      <w:fldChar w:fldCharType="begin"/>
    </w:r>
    <w:r w:rsidR="00B474CC" w:rsidRPr="00117237">
      <w:instrText xml:space="preserve"> PAGE  \* Arabic </w:instrText>
    </w:r>
    <w:r w:rsidR="00B474CC" w:rsidRPr="00117237">
      <w:fldChar w:fldCharType="separate"/>
    </w:r>
    <w:r w:rsidR="00B474CC" w:rsidRPr="00117237">
      <w:t>2</w:t>
    </w:r>
    <w:r w:rsidR="00B474CC" w:rsidRPr="00117237">
      <w:fldChar w:fldCharType="end"/>
    </w:r>
  </w:p>
  <w:p w14:paraId="1D2DD619" w14:textId="77777777" w:rsidR="000004CF" w:rsidRPr="00117237" w:rsidRDefault="000004CF" w:rsidP="003F7F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B326F" w14:textId="77777777" w:rsidR="000004CF" w:rsidRPr="00117237" w:rsidRDefault="000004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B18C" w14:textId="77777777" w:rsidR="005417B0" w:rsidRPr="00117237" w:rsidRDefault="00B648B4" w:rsidP="005417B0">
    <w:pPr>
      <w:pStyle w:val="FooterHeading"/>
      <w:jc w:val="right"/>
      <w:rPr>
        <w:b/>
      </w:rPr>
    </w:pPr>
    <w:sdt>
      <w:sdtPr>
        <w:rPr>
          <w:caps/>
        </w:rPr>
        <w:alias w:val="Title"/>
        <w:tag w:val=""/>
        <w:id w:val="-778170117"/>
        <w:dataBinding w:prefixMappings="xmlns:ns0='http://purl.org/dc/elements/1.1/' xmlns:ns1='http://schemas.openxmlformats.org/package/2006/metadata/core-properties' " w:xpath="/ns1:coreProperties[1]/ns0:title[1]" w:storeItemID="{6C3C8BC8-F283-45AE-878A-BAB7291924A1}"/>
        <w:text/>
      </w:sdtPr>
      <w:sdtEndPr/>
      <w:sdtContent>
        <w:r w:rsidR="005417B0" w:rsidRPr="00117237">
          <w:rPr>
            <w:caps/>
          </w:rPr>
          <w:t>EVALUATION OF THE RESPECT AND EQUALITY AT TAFES 2 PROJECT</w:t>
        </w:r>
      </w:sdtContent>
    </w:sdt>
    <w:r w:rsidR="005417B0" w:rsidRPr="00117237">
      <w:rPr>
        <w:b/>
      </w:rPr>
      <w:t xml:space="preserve">  </w:t>
    </w:r>
    <w:r w:rsidR="005417B0" w:rsidRPr="00117237">
      <w:t xml:space="preserve">|  </w:t>
    </w:r>
    <w:r w:rsidR="005417B0" w:rsidRPr="00117237">
      <w:fldChar w:fldCharType="begin"/>
    </w:r>
    <w:r w:rsidR="005417B0" w:rsidRPr="00117237">
      <w:instrText xml:space="preserve"> PAGE  \* Arabic </w:instrText>
    </w:r>
    <w:r w:rsidR="005417B0" w:rsidRPr="00117237">
      <w:fldChar w:fldCharType="separate"/>
    </w:r>
    <w:r w:rsidR="005417B0" w:rsidRPr="00117237">
      <w:t>2</w:t>
    </w:r>
    <w:r w:rsidR="005417B0" w:rsidRPr="00117237">
      <w:fldChar w:fldCharType="end"/>
    </w:r>
  </w:p>
  <w:p w14:paraId="14C78A27" w14:textId="77777777" w:rsidR="000004CF" w:rsidRPr="00117237" w:rsidRDefault="00000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543FC" w14:textId="77777777" w:rsidR="00A56132" w:rsidRPr="00117237" w:rsidRDefault="00A56132" w:rsidP="00261151">
      <w:pPr>
        <w:pStyle w:val="FootnoteText"/>
        <w:rPr>
          <w:lang w:val="en-AU"/>
        </w:rPr>
      </w:pPr>
      <w:r w:rsidRPr="00117237">
        <w:rPr>
          <w:color w:val="931B2F" w:themeColor="background2"/>
          <w:lang w:val="en-AU"/>
        </w:rPr>
        <w:separator/>
      </w:r>
    </w:p>
  </w:footnote>
  <w:footnote w:type="continuationSeparator" w:id="0">
    <w:p w14:paraId="133DBB7E" w14:textId="77777777" w:rsidR="00A56132" w:rsidRPr="00117237" w:rsidRDefault="00A56132" w:rsidP="00261151">
      <w:pPr>
        <w:pStyle w:val="FootnoteText"/>
        <w:rPr>
          <w:lang w:val="en-AU"/>
        </w:rPr>
      </w:pPr>
      <w:r w:rsidRPr="00117237">
        <w:rPr>
          <w:lang w:val="en-AU"/>
        </w:rPr>
        <w:continuationSeparator/>
      </w:r>
    </w:p>
  </w:footnote>
  <w:footnote w:type="continuationNotice" w:id="1">
    <w:p w14:paraId="57AD6E82" w14:textId="77777777" w:rsidR="00A56132" w:rsidRPr="00117237" w:rsidRDefault="00A56132" w:rsidP="00192391">
      <w:pPr>
        <w:pStyle w:val="FootnoteText"/>
        <w:rPr>
          <w:lang w:val="en-AU"/>
        </w:rPr>
      </w:pPr>
    </w:p>
  </w:footnote>
  <w:footnote w:id="2">
    <w:p w14:paraId="713EC345" w14:textId="555D53A6" w:rsidR="00555EFC" w:rsidRPr="00117237" w:rsidRDefault="00555EF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Primary prevention work often lags because the </w:t>
      </w:r>
      <w:r w:rsidR="009D1167" w:rsidRPr="00117237">
        <w:rPr>
          <w:rFonts w:asciiTheme="majorHAnsi" w:hAnsiTheme="majorHAnsi"/>
          <w:szCs w:val="16"/>
          <w:lang w:val="en-AU"/>
        </w:rPr>
        <w:t xml:space="preserve">policy work that enables it is also behind compared to other sectors. </w:t>
      </w:r>
    </w:p>
  </w:footnote>
  <w:footnote w:id="3">
    <w:p w14:paraId="67AE2FD5" w14:textId="36B10F39" w:rsidR="001F557E" w:rsidRPr="00117237" w:rsidRDefault="001F557E">
      <w:pPr>
        <w:pStyle w:val="FootnoteText"/>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A gender equality action plan is a strategic document outlining specific steps an organisation will take to address gender inequality within its workforce and operations, aiming to achieve equal opportunities and outcomes for all genders by implementing targeted initiatives and monitoring progress over time; it typically includes measures like promoting gender diversity in leadership, addressing pay gaps, fostering inclusive workplace culture, and providing flexible work arrangements.</w:t>
      </w:r>
    </w:p>
  </w:footnote>
  <w:footnote w:id="4">
    <w:p w14:paraId="10960B20" w14:textId="1AF39D1D" w:rsidR="00A46ED8" w:rsidRPr="00117237" w:rsidRDefault="00A46ED8"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00927702" w:rsidRPr="00117237">
        <w:rPr>
          <w:lang w:val="en-AU"/>
        </w:rPr>
        <w:t>Our Watch, ‘Evaluation findings: Respect and Equality in TAFE’, 2021.</w:t>
      </w:r>
    </w:p>
  </w:footnote>
  <w:footnote w:id="5">
    <w:p w14:paraId="21A5A9B3" w14:textId="5A7C24CF" w:rsidR="00927702" w:rsidRPr="00117237" w:rsidRDefault="00927702"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6">
    <w:p w14:paraId="0B77F48F" w14:textId="6A195FAF" w:rsidR="00927702" w:rsidRPr="00117237" w:rsidRDefault="00927702"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7">
    <w:p w14:paraId="275D55D7" w14:textId="130B13FD" w:rsidR="007D7630" w:rsidRPr="00117237" w:rsidRDefault="007D7630"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Our Watch, ‘Respect and Equality in TAFE Project Plan’, 2022.</w:t>
      </w:r>
    </w:p>
  </w:footnote>
  <w:footnote w:id="8">
    <w:p w14:paraId="5664EFDE" w14:textId="02046E26" w:rsidR="004E0D84" w:rsidRPr="00117237" w:rsidRDefault="004E0D84"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F83F4E" w:rsidRPr="00117237">
        <w:rPr>
          <w:rFonts w:asciiTheme="majorHAnsi" w:hAnsiTheme="majorHAnsi"/>
          <w:szCs w:val="16"/>
          <w:lang w:val="en-AU"/>
        </w:rPr>
        <w:t xml:space="preserve">Our Watch, ‘Respect and Equality in TAFE Project Plan’, 2022. </w:t>
      </w:r>
    </w:p>
  </w:footnote>
  <w:footnote w:id="9">
    <w:p w14:paraId="11068A08" w14:textId="1B1988C8" w:rsidR="00321D77" w:rsidRPr="00117237" w:rsidRDefault="00321D77"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0420AC" w:rsidRPr="00117237">
        <w:rPr>
          <w:rFonts w:asciiTheme="majorHAnsi" w:hAnsiTheme="majorHAnsi"/>
          <w:szCs w:val="16"/>
          <w:lang w:val="en-AU"/>
        </w:rPr>
        <w:t>‘Final underspend proposal’, 2024.</w:t>
      </w:r>
    </w:p>
  </w:footnote>
  <w:footnote w:id="10">
    <w:p w14:paraId="0DDC95BE" w14:textId="5E049EBB" w:rsidR="00372545" w:rsidRPr="00117237" w:rsidRDefault="00372545"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074CA5" w:rsidRPr="00117237">
        <w:rPr>
          <w:rFonts w:asciiTheme="majorHAnsi" w:hAnsiTheme="majorHAnsi"/>
          <w:szCs w:val="16"/>
          <w:lang w:val="en-AU"/>
        </w:rPr>
        <w:t xml:space="preserve">‘Grant recipient underspend proposal form’, 2024; </w:t>
      </w:r>
      <w:r w:rsidR="00797C2E" w:rsidRPr="00117237">
        <w:rPr>
          <w:rFonts w:asciiTheme="majorHAnsi" w:hAnsiTheme="majorHAnsi"/>
          <w:szCs w:val="16"/>
          <w:lang w:val="en-AU"/>
        </w:rPr>
        <w:t xml:space="preserve">‘Final underspend proposal’, 2024. </w:t>
      </w:r>
    </w:p>
  </w:footnote>
  <w:footnote w:id="11">
    <w:p w14:paraId="2AAB0465" w14:textId="3AACB4AC" w:rsidR="00936F12" w:rsidRPr="00117237" w:rsidRDefault="00936F1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‘Grant recipient underspend proposal form’, 2024; ‘Final underspend proposal’, 2024.</w:t>
      </w:r>
    </w:p>
  </w:footnote>
  <w:footnote w:id="12">
    <w:p w14:paraId="05E74FE4" w14:textId="77777777" w:rsidR="00F9735C" w:rsidRPr="00117237" w:rsidRDefault="00F9735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The evaluation report for RET1 is titled ‘Evaluation findings: Respect and Equality in TAFE’ and was drafted in October 2021 by Trang Ngyugen with support from Catherine Gow, Melalie Collie, Sarah Kearney, Jayne Pilkinton and Joanna Brislane.</w:t>
      </w:r>
    </w:p>
  </w:footnote>
  <w:footnote w:id="13">
    <w:p w14:paraId="01BEC948" w14:textId="285F547E" w:rsidR="00E92301" w:rsidRPr="00117237" w:rsidRDefault="00E92301"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4E1010" w:rsidRPr="00117237">
        <w:rPr>
          <w:rFonts w:asciiTheme="majorHAnsi" w:hAnsiTheme="majorHAnsi"/>
          <w:szCs w:val="16"/>
          <w:lang w:val="en-AU"/>
        </w:rPr>
        <w:t xml:space="preserve">We </w:t>
      </w:r>
      <w:r w:rsidR="00A34D7F" w:rsidRPr="00117237">
        <w:rPr>
          <w:rFonts w:asciiTheme="majorHAnsi" w:hAnsiTheme="majorHAnsi"/>
          <w:szCs w:val="16"/>
          <w:lang w:val="en-AU"/>
        </w:rPr>
        <w:t>use</w:t>
      </w:r>
      <w:r w:rsidR="004E1010" w:rsidRPr="00117237">
        <w:rPr>
          <w:rFonts w:asciiTheme="majorHAnsi" w:hAnsiTheme="majorHAnsi"/>
          <w:szCs w:val="16"/>
          <w:lang w:val="en-AU"/>
        </w:rPr>
        <w:t xml:space="preserve"> key themes and quotes from consultations to answer our key evaluation questions. Any information drawn from consultations has been de-identified and compiled into key emerging themes, and any quotes have been de-identified. We </w:t>
      </w:r>
      <w:r w:rsidR="00E3656B" w:rsidRPr="00117237">
        <w:rPr>
          <w:rFonts w:asciiTheme="majorHAnsi" w:hAnsiTheme="majorHAnsi"/>
          <w:szCs w:val="16"/>
          <w:lang w:val="en-AU"/>
        </w:rPr>
        <w:t>do</w:t>
      </w:r>
      <w:r w:rsidR="004E1010" w:rsidRPr="00117237">
        <w:rPr>
          <w:rFonts w:asciiTheme="majorHAnsi" w:hAnsiTheme="majorHAnsi"/>
          <w:szCs w:val="16"/>
          <w:lang w:val="en-AU"/>
        </w:rPr>
        <w:t xml:space="preserve"> not attribute any perspectives or quotes to an individual</w:t>
      </w:r>
      <w:r w:rsidR="00E3656B" w:rsidRPr="00117237">
        <w:rPr>
          <w:rFonts w:asciiTheme="majorHAnsi" w:hAnsiTheme="majorHAnsi"/>
          <w:szCs w:val="16"/>
          <w:lang w:val="en-AU"/>
        </w:rPr>
        <w:t xml:space="preserve"> to protect individual privacy. </w:t>
      </w:r>
    </w:p>
  </w:footnote>
  <w:footnote w:id="14">
    <w:p w14:paraId="74DFACB0" w14:textId="5D9F7DCE" w:rsidR="00B761C2" w:rsidRPr="00117237" w:rsidRDefault="00B761C2"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Our Watch, Change theory: A shared framework for the primary prevention of violence against women and children (second edition), 2021.</w:t>
      </w:r>
    </w:p>
  </w:footnote>
  <w:footnote w:id="15">
    <w:p w14:paraId="4D66E692" w14:textId="76FD4709" w:rsidR="00B761C2" w:rsidRPr="00117237" w:rsidRDefault="00B761C2"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16">
    <w:p w14:paraId="73714C19" w14:textId="6AA7F761" w:rsidR="00B761C2" w:rsidRPr="00117237" w:rsidRDefault="00B761C2"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17">
    <w:p w14:paraId="0E32A875" w14:textId="4821185C" w:rsidR="00B761C2" w:rsidRPr="00117237" w:rsidRDefault="00B761C2"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18">
    <w:p w14:paraId="2BF2B2DC" w14:textId="4357E359" w:rsidR="004E0707" w:rsidRPr="00117237" w:rsidRDefault="004E0707"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19">
    <w:p w14:paraId="4001C6C9" w14:textId="0EC55992" w:rsidR="00A6558C" w:rsidRPr="00117237" w:rsidRDefault="00A6558C" w:rsidP="00BD4E3B">
      <w:pPr>
        <w:pStyle w:val="FootnoteText"/>
        <w:spacing w:after="0"/>
        <w:contextualSpacing/>
        <w:rPr>
          <w:rFonts w:asciiTheme="majorHAnsi" w:hAnsiTheme="majorHAnsi"/>
          <w:szCs w:val="16"/>
          <w:lang w:val="en-AU"/>
        </w:rPr>
      </w:pPr>
      <w:r w:rsidRPr="00117237">
        <w:rPr>
          <w:rFonts w:asciiTheme="majorHAnsi" w:hAnsiTheme="majorHAnsi"/>
          <w:szCs w:val="16"/>
          <w:vertAlign w:val="superscript"/>
          <w:lang w:val="en-AU"/>
        </w:rPr>
        <w:footnoteRef/>
      </w:r>
      <w:r w:rsidRPr="00117237">
        <w:rPr>
          <w:rFonts w:asciiTheme="majorHAnsi" w:hAnsiTheme="majorHAnsi"/>
          <w:szCs w:val="16"/>
          <w:vertAlign w:val="superscript"/>
          <w:lang w:val="en-AU"/>
        </w:rPr>
        <w:t xml:space="preserve"> </w:t>
      </w:r>
      <w:r w:rsidR="00B761C2" w:rsidRPr="00117237">
        <w:rPr>
          <w:rFonts w:asciiTheme="majorHAnsi" w:hAnsiTheme="majorHAnsi"/>
          <w:szCs w:val="16"/>
          <w:lang w:val="en-AU"/>
        </w:rPr>
        <w:t>Ibid.</w:t>
      </w:r>
    </w:p>
  </w:footnote>
  <w:footnote w:id="20">
    <w:p w14:paraId="03A3EF6C" w14:textId="7A193C5D" w:rsidR="00F37D88" w:rsidRPr="00117237" w:rsidRDefault="00F37D88"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21">
    <w:p w14:paraId="36161025" w14:textId="5CC5DD3B" w:rsidR="00F37D88" w:rsidRPr="00117237" w:rsidRDefault="00F37D88" w:rsidP="00BD4E3B">
      <w:pPr>
        <w:pStyle w:val="FootnoteText"/>
        <w:spacing w:after="0"/>
        <w:contextualSpacing/>
        <w:rPr>
          <w:lang w:val="en-AU"/>
        </w:rPr>
      </w:pPr>
      <w:r w:rsidRPr="00117237">
        <w:rPr>
          <w:rStyle w:val="FootnoteReference"/>
          <w:lang w:val="en-AU"/>
        </w:rPr>
        <w:footnoteRef/>
      </w:r>
      <w:r w:rsidRPr="00117237">
        <w:rPr>
          <w:lang w:val="en-AU"/>
        </w:rPr>
        <w:t xml:space="preserve"> Ibid.</w:t>
      </w:r>
    </w:p>
  </w:footnote>
  <w:footnote w:id="22">
    <w:p w14:paraId="1F33EA2D" w14:textId="77777777" w:rsidR="00A6558C" w:rsidRPr="00117237" w:rsidRDefault="00A6558C" w:rsidP="00BD4E3B">
      <w:pPr>
        <w:pStyle w:val="FootnoteText"/>
        <w:spacing w:after="0"/>
        <w:contextualSpacing/>
        <w:rPr>
          <w:lang w:val="en-AU"/>
        </w:rPr>
      </w:pPr>
      <w:r w:rsidRPr="00117237">
        <w:rPr>
          <w:rStyle w:val="FootnoteReference"/>
          <w:lang w:val="en-AU"/>
        </w:rPr>
        <w:footnoteRef/>
      </w:r>
      <w:r w:rsidRPr="00117237">
        <w:rPr>
          <w:lang w:val="en-AU"/>
        </w:rPr>
        <w:t xml:space="preserve"> Study Australia, ‘Vocational Education and Training (VET)’, n.d., </w:t>
      </w:r>
      <w:hyperlink r:id="rId1" w:anchor=":~:text=and%20paramedic%20roles.-,What%20is%20VET%3F,the%20largest%20provider%20of%20VET" w:history="1">
        <w:r w:rsidRPr="00117237">
          <w:rPr>
            <w:rStyle w:val="Hyperlink"/>
            <w:lang w:val="en-AU"/>
          </w:rPr>
          <w:t>https://www.studyaustralia.gov.au/en/plan-your-studies/vocational-education-and-training#:~:text=and%20paramedic%20roles.-,What%20is%20VET%3F,the%20largest%20provider%20of%20VET</w:t>
        </w:r>
      </w:hyperlink>
      <w:r w:rsidRPr="00117237">
        <w:rPr>
          <w:lang w:val="en-AU"/>
        </w:rPr>
        <w:t xml:space="preserve">. </w:t>
      </w:r>
    </w:p>
  </w:footnote>
  <w:footnote w:id="23">
    <w:p w14:paraId="25AB89DB" w14:textId="77777777" w:rsidR="00A6558C" w:rsidRPr="00117237" w:rsidRDefault="00A6558C" w:rsidP="00BD4E3B">
      <w:pPr>
        <w:pStyle w:val="FootnoteText"/>
        <w:spacing w:after="0"/>
        <w:contextualSpacing/>
        <w:rPr>
          <w:lang w:val="en-AU"/>
        </w:rPr>
      </w:pPr>
      <w:r w:rsidRPr="00117237">
        <w:rPr>
          <w:rStyle w:val="FootnoteReference"/>
          <w:lang w:val="en-AU"/>
        </w:rPr>
        <w:footnoteRef/>
      </w:r>
      <w:r w:rsidRPr="00117237">
        <w:rPr>
          <w:lang w:val="en-AU"/>
        </w:rPr>
        <w:t xml:space="preserve"> Ibid. </w:t>
      </w:r>
    </w:p>
  </w:footnote>
  <w:footnote w:id="24">
    <w:p w14:paraId="1A570F82" w14:textId="77777777" w:rsidR="007121D2" w:rsidRPr="00117237" w:rsidRDefault="007121D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C Ey, ‘The vocational education and training sector: a quick guide’, </w:t>
      </w:r>
      <w:r w:rsidRPr="00117237">
        <w:rPr>
          <w:rFonts w:asciiTheme="majorHAnsi" w:hAnsiTheme="majorHAnsi"/>
          <w:i/>
          <w:szCs w:val="16"/>
          <w:lang w:val="en-AU"/>
        </w:rPr>
        <w:t>Parliament of Australia</w:t>
      </w:r>
      <w:r w:rsidRPr="00117237">
        <w:rPr>
          <w:rFonts w:asciiTheme="majorHAnsi" w:hAnsiTheme="majorHAnsi"/>
          <w:szCs w:val="16"/>
          <w:lang w:val="en-AU"/>
        </w:rPr>
        <w:t xml:space="preserve">, 2023, </w:t>
      </w:r>
      <w:hyperlink r:id="rId2" w:history="1">
        <w:r w:rsidRPr="00117237">
          <w:rPr>
            <w:rStyle w:val="Hyperlink"/>
            <w:rFonts w:asciiTheme="majorHAnsi" w:hAnsiTheme="majorHAnsi"/>
            <w:szCs w:val="16"/>
            <w:lang w:val="en-AU"/>
          </w:rPr>
          <w:t>https://www.aph.gov.au/About_Parliament/Parliamentary_departments/Parliamentary_Library/Research/Quick_Guides/2023-24/VocationalEducationandTraining</w:t>
        </w:r>
      </w:hyperlink>
      <w:r w:rsidRPr="00117237">
        <w:rPr>
          <w:rFonts w:asciiTheme="majorHAnsi" w:hAnsiTheme="majorHAnsi"/>
          <w:szCs w:val="16"/>
          <w:lang w:val="en-AU"/>
        </w:rPr>
        <w:t xml:space="preserve"> </w:t>
      </w:r>
    </w:p>
  </w:footnote>
  <w:footnote w:id="25">
    <w:p w14:paraId="18FAB64F" w14:textId="77777777" w:rsidR="007121D2" w:rsidRPr="00117237" w:rsidRDefault="007121D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Ibid.</w:t>
      </w:r>
    </w:p>
  </w:footnote>
  <w:footnote w:id="26">
    <w:p w14:paraId="6530C47F" w14:textId="77777777" w:rsidR="007121D2" w:rsidRPr="00117237" w:rsidRDefault="007121D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Jobs and Skills Australia, ‘VET Workforce Study’,</w:t>
      </w:r>
      <w:r w:rsidRPr="00117237">
        <w:rPr>
          <w:rFonts w:asciiTheme="majorHAnsi" w:hAnsiTheme="majorHAnsi"/>
          <w:i/>
          <w:szCs w:val="16"/>
          <w:lang w:val="en-AU"/>
        </w:rPr>
        <w:t xml:space="preserve"> Australian Government, </w:t>
      </w:r>
      <w:r w:rsidRPr="00117237">
        <w:rPr>
          <w:rFonts w:asciiTheme="majorHAnsi" w:hAnsiTheme="majorHAnsi"/>
          <w:szCs w:val="16"/>
          <w:lang w:val="en-AU"/>
        </w:rPr>
        <w:t xml:space="preserve">2024, </w:t>
      </w:r>
      <w:hyperlink r:id="rId3" w:history="1">
        <w:r w:rsidRPr="00117237">
          <w:rPr>
            <w:rStyle w:val="Hyperlink"/>
            <w:rFonts w:asciiTheme="majorHAnsi" w:hAnsiTheme="majorHAnsi"/>
            <w:szCs w:val="16"/>
            <w:lang w:val="en-AU"/>
          </w:rPr>
          <w:t>https://www.jobsandskills.gov.au/sites/default/files/2024-10/vet_workforce_study_2024.pdf</w:t>
        </w:r>
      </w:hyperlink>
      <w:r w:rsidRPr="00117237">
        <w:rPr>
          <w:rFonts w:asciiTheme="majorHAnsi" w:hAnsiTheme="majorHAnsi"/>
          <w:szCs w:val="16"/>
          <w:lang w:val="en-AU"/>
        </w:rPr>
        <w:t xml:space="preserve"> </w:t>
      </w:r>
    </w:p>
  </w:footnote>
  <w:footnote w:id="27">
    <w:p w14:paraId="1AEF2723" w14:textId="77777777" w:rsidR="007121D2" w:rsidRPr="00117237" w:rsidRDefault="007121D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C Ey, ‘The vocational education and training sector: a quick guide’, </w:t>
      </w:r>
      <w:r w:rsidRPr="00117237">
        <w:rPr>
          <w:rFonts w:asciiTheme="majorHAnsi" w:hAnsiTheme="majorHAnsi"/>
          <w:i/>
          <w:szCs w:val="16"/>
          <w:lang w:val="en-AU"/>
        </w:rPr>
        <w:t>Parliament of Australia</w:t>
      </w:r>
      <w:r w:rsidRPr="00117237">
        <w:rPr>
          <w:rFonts w:asciiTheme="majorHAnsi" w:hAnsiTheme="majorHAnsi"/>
          <w:szCs w:val="16"/>
          <w:lang w:val="en-AU"/>
        </w:rPr>
        <w:t xml:space="preserve">, 2023, </w:t>
      </w:r>
      <w:hyperlink r:id="rId4" w:history="1">
        <w:r w:rsidRPr="00117237">
          <w:rPr>
            <w:rStyle w:val="Hyperlink"/>
            <w:rFonts w:asciiTheme="majorHAnsi" w:hAnsiTheme="majorHAnsi"/>
            <w:szCs w:val="16"/>
            <w:lang w:val="en-AU"/>
          </w:rPr>
          <w:t>https://www.aph.gov.au/About_Parliament/Parliamentary_departments/Parliamentary_Library/Research/Quick_Guides/2023-24/VocationalEducationandTraining</w:t>
        </w:r>
      </w:hyperlink>
      <w:r w:rsidRPr="00117237">
        <w:rPr>
          <w:rFonts w:asciiTheme="majorHAnsi" w:hAnsiTheme="majorHAnsi"/>
          <w:szCs w:val="16"/>
          <w:lang w:val="en-AU"/>
        </w:rPr>
        <w:t>: Note The remaining students enrolled in VET were enrolled at community education providers, enterprise providers, schools and universities.</w:t>
      </w:r>
    </w:p>
  </w:footnote>
  <w:footnote w:id="28">
    <w:p w14:paraId="74B21355" w14:textId="5A79E8DC" w:rsidR="00BB1E30" w:rsidRPr="00117237" w:rsidRDefault="00BB1E30"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‘Change the story</w:t>
      </w:r>
      <w:r w:rsidR="0034549B" w:rsidRPr="00117237">
        <w:rPr>
          <w:rFonts w:asciiTheme="majorHAnsi" w:hAnsiTheme="majorHAnsi"/>
          <w:szCs w:val="16"/>
          <w:lang w:val="en-AU"/>
        </w:rPr>
        <w:t>: A shared framework for the primary prevention of violence against women in Australia</w:t>
      </w:r>
      <w:r w:rsidRPr="00117237">
        <w:rPr>
          <w:rFonts w:asciiTheme="majorHAnsi" w:hAnsiTheme="majorHAnsi"/>
          <w:szCs w:val="16"/>
          <w:lang w:val="en-AU"/>
        </w:rPr>
        <w:t xml:space="preserve"> (2</w:t>
      </w:r>
      <w:r w:rsidRPr="00117237">
        <w:rPr>
          <w:rFonts w:asciiTheme="majorHAnsi" w:hAnsiTheme="majorHAnsi"/>
          <w:szCs w:val="16"/>
          <w:vertAlign w:val="superscript"/>
          <w:lang w:val="en-AU"/>
        </w:rPr>
        <w:t>nd</w:t>
      </w:r>
      <w:r w:rsidRPr="00117237">
        <w:rPr>
          <w:rFonts w:asciiTheme="majorHAnsi" w:hAnsiTheme="majorHAnsi"/>
          <w:szCs w:val="16"/>
          <w:lang w:val="en-AU"/>
        </w:rPr>
        <w:t xml:space="preserve"> ed.)’, 2021, </w:t>
      </w:r>
      <w:hyperlink r:id="rId5" w:history="1">
        <w:r w:rsidRPr="00117237">
          <w:rPr>
            <w:rStyle w:val="Hyperlink"/>
            <w:rFonts w:asciiTheme="majorHAnsi" w:hAnsiTheme="majorHAnsi"/>
            <w:szCs w:val="16"/>
            <w:lang w:val="en-AU"/>
          </w:rPr>
          <w:t>https://assets.ourwatch.org.au/assets/Key-frameworks/Change-the-story-Our-Watch-AA.pdf</w:t>
        </w:r>
      </w:hyperlink>
      <w:r w:rsidRPr="00117237">
        <w:rPr>
          <w:rFonts w:asciiTheme="majorHAnsi" w:hAnsiTheme="majorHAnsi"/>
          <w:szCs w:val="16"/>
          <w:lang w:val="en-AU"/>
        </w:rPr>
        <w:t>.</w:t>
      </w:r>
    </w:p>
  </w:footnote>
  <w:footnote w:id="29">
    <w:p w14:paraId="40D4514D" w14:textId="77777777" w:rsidR="00A6558C" w:rsidRPr="00117237" w:rsidRDefault="00A6558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NCVER (2022) </w:t>
      </w:r>
      <w:hyperlink r:id="rId6" w:history="1">
        <w:r w:rsidRPr="00117237">
          <w:rPr>
            <w:rStyle w:val="Hyperlink"/>
            <w:rFonts w:asciiTheme="majorHAnsi" w:hAnsiTheme="majorHAnsi"/>
            <w:i/>
            <w:szCs w:val="16"/>
            <w:lang w:val="en-AU"/>
          </w:rPr>
          <w:t>VOCSTATS: Research and Statistics</w:t>
        </w:r>
      </w:hyperlink>
      <w:r w:rsidRPr="00117237">
        <w:rPr>
          <w:rFonts w:asciiTheme="majorHAnsi" w:hAnsiTheme="majorHAnsi"/>
          <w:szCs w:val="16"/>
          <w:lang w:val="en-AU"/>
        </w:rPr>
        <w:t>, NCVER, accessed 13 April 2023.</w:t>
      </w:r>
    </w:p>
  </w:footnote>
  <w:footnote w:id="30">
    <w:p w14:paraId="2C3FE066" w14:textId="77777777" w:rsidR="00A6558C" w:rsidRPr="00117237" w:rsidRDefault="00A6558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Ibid</w:t>
      </w:r>
    </w:p>
  </w:footnote>
  <w:footnote w:id="31">
    <w:p w14:paraId="29907256" w14:textId="77777777" w:rsidR="00A6558C" w:rsidRPr="00117237" w:rsidRDefault="00A6558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hyperlink r:id="rId7" w:history="1">
        <w:r w:rsidRPr="00117237">
          <w:rPr>
            <w:rStyle w:val="Hyperlink"/>
            <w:rFonts w:asciiTheme="majorHAnsi" w:hAnsiTheme="majorHAnsi"/>
            <w:szCs w:val="16"/>
            <w:lang w:val="en-AU"/>
          </w:rPr>
          <w:t>SFPARC 2017</w:t>
        </w:r>
      </w:hyperlink>
      <w:r w:rsidRPr="00117237">
        <w:rPr>
          <w:rFonts w:asciiTheme="majorHAnsi" w:hAnsiTheme="majorHAnsi"/>
          <w:szCs w:val="16"/>
          <w:lang w:val="en-AU"/>
        </w:rPr>
        <w:t xml:space="preserve"> SFPARC (Senate Finance and Public Administration References Committee) (2017) </w:t>
      </w:r>
      <w:hyperlink r:id="rId8" w:history="1">
        <w:r w:rsidRPr="00117237">
          <w:rPr>
            <w:rStyle w:val="Hyperlink"/>
            <w:rFonts w:asciiTheme="majorHAnsi" w:hAnsiTheme="majorHAnsi"/>
            <w:i/>
            <w:szCs w:val="16"/>
            <w:lang w:val="en-AU"/>
          </w:rPr>
          <w:t>Gender segregation in the workplace and its impact on women's economic equality</w:t>
        </w:r>
      </w:hyperlink>
      <w:r w:rsidRPr="00117237">
        <w:rPr>
          <w:rFonts w:asciiTheme="majorHAnsi" w:hAnsiTheme="majorHAnsi"/>
          <w:szCs w:val="16"/>
          <w:lang w:val="en-AU"/>
        </w:rPr>
        <w:t>, Canberra: Australian Parliament House, accessed 17 April 2023.</w:t>
      </w:r>
    </w:p>
  </w:footnote>
  <w:footnote w:id="32">
    <w:p w14:paraId="09D33A4F" w14:textId="63DA9EE3" w:rsidR="00717D97" w:rsidRPr="00117237" w:rsidRDefault="00717D97"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00495F61" w:rsidRPr="00117237">
        <w:rPr>
          <w:rFonts w:asciiTheme="majorHAnsi" w:hAnsiTheme="majorHAnsi"/>
          <w:szCs w:val="16"/>
          <w:lang w:val="en-AU"/>
        </w:rPr>
        <w:t>Jobs and Skills Australia, ‘VET Workforce Study’,</w:t>
      </w:r>
      <w:r w:rsidR="00495F61" w:rsidRPr="00117237">
        <w:rPr>
          <w:rFonts w:asciiTheme="majorHAnsi" w:hAnsiTheme="majorHAnsi"/>
          <w:i/>
          <w:szCs w:val="16"/>
          <w:lang w:val="en-AU"/>
        </w:rPr>
        <w:t xml:space="preserve"> Australian Government, </w:t>
      </w:r>
      <w:r w:rsidR="00495F61" w:rsidRPr="00117237">
        <w:rPr>
          <w:rFonts w:asciiTheme="majorHAnsi" w:hAnsiTheme="majorHAnsi"/>
          <w:szCs w:val="16"/>
          <w:lang w:val="en-AU"/>
        </w:rPr>
        <w:t xml:space="preserve">2024, </w:t>
      </w:r>
      <w:hyperlink r:id="rId9" w:history="1">
        <w:r w:rsidR="00495F61" w:rsidRPr="00117237">
          <w:rPr>
            <w:rStyle w:val="Hyperlink"/>
            <w:rFonts w:asciiTheme="majorHAnsi" w:hAnsiTheme="majorHAnsi"/>
            <w:szCs w:val="16"/>
            <w:lang w:val="en-AU"/>
          </w:rPr>
          <w:t>https://www.jobsandskills.gov.au/sites/default/files/2024-10/vet_workforce_study_2024.pdf</w:t>
        </w:r>
      </w:hyperlink>
    </w:p>
  </w:footnote>
  <w:footnote w:id="33">
    <w:p w14:paraId="3BA063EA" w14:textId="38687469" w:rsidR="00654E52" w:rsidRPr="00117237" w:rsidRDefault="00654E52"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008C7A99" w:rsidRPr="00117237">
        <w:rPr>
          <w:lang w:val="en-AU"/>
        </w:rPr>
        <w:t>Ibid.</w:t>
      </w:r>
    </w:p>
  </w:footnote>
  <w:footnote w:id="34">
    <w:p w14:paraId="028EEE53" w14:textId="05B50BB6" w:rsidR="00453A5D" w:rsidRPr="00117237" w:rsidRDefault="00453A5D"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00FC0FB3" w:rsidRPr="00117237">
        <w:rPr>
          <w:rFonts w:asciiTheme="majorHAnsi" w:hAnsiTheme="majorHAnsi"/>
          <w:szCs w:val="16"/>
          <w:lang w:val="en-AU"/>
        </w:rPr>
        <w:t xml:space="preserve">C Ey, ‘The vocational education and training sector: a quick guide’, </w:t>
      </w:r>
      <w:r w:rsidR="00FC0FB3" w:rsidRPr="00117237">
        <w:rPr>
          <w:rFonts w:asciiTheme="majorHAnsi" w:hAnsiTheme="majorHAnsi"/>
          <w:i/>
          <w:szCs w:val="16"/>
          <w:lang w:val="en-AU"/>
        </w:rPr>
        <w:t>Parliament of Australia</w:t>
      </w:r>
      <w:r w:rsidR="00FC0FB3" w:rsidRPr="00117237">
        <w:rPr>
          <w:rFonts w:asciiTheme="majorHAnsi" w:hAnsiTheme="majorHAnsi"/>
          <w:szCs w:val="16"/>
          <w:lang w:val="en-AU"/>
        </w:rPr>
        <w:t xml:space="preserve">, 2023, </w:t>
      </w:r>
      <w:hyperlink r:id="rId10" w:history="1">
        <w:r w:rsidR="00FC0FB3" w:rsidRPr="00117237">
          <w:rPr>
            <w:rStyle w:val="Hyperlink"/>
            <w:rFonts w:asciiTheme="majorHAnsi" w:hAnsiTheme="majorHAnsi"/>
            <w:szCs w:val="16"/>
            <w:lang w:val="en-AU"/>
          </w:rPr>
          <w:t>https://www.aph.gov.au/About_Parliament/Parliamentary_departments/Parliamentary_Library/Research/Quick_Guides/2023-24/VocationalEducationandTraining</w:t>
        </w:r>
      </w:hyperlink>
    </w:p>
  </w:footnote>
  <w:footnote w:id="35">
    <w:p w14:paraId="774005B8" w14:textId="0581C270" w:rsidR="001B4113" w:rsidRPr="00117237" w:rsidRDefault="001B4113"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 xml:space="preserve">Skills and Workforce Ministerial Council, ‘VET Workforce Blueprint’, </w:t>
      </w:r>
      <w:r w:rsidRPr="00117237">
        <w:rPr>
          <w:rFonts w:asciiTheme="majorHAnsi" w:hAnsiTheme="majorHAnsi"/>
          <w:i/>
          <w:szCs w:val="16"/>
          <w:lang w:val="en-AU"/>
        </w:rPr>
        <w:t xml:space="preserve">Department of Employment and Workplace Relations, </w:t>
      </w:r>
      <w:r w:rsidRPr="00117237">
        <w:rPr>
          <w:rFonts w:asciiTheme="majorHAnsi" w:hAnsiTheme="majorHAnsi"/>
          <w:szCs w:val="16"/>
          <w:lang w:val="en-AU"/>
        </w:rPr>
        <w:t xml:space="preserve">2024, </w:t>
      </w:r>
      <w:hyperlink r:id="rId11" w:history="1">
        <w:r w:rsidRPr="00117237">
          <w:rPr>
            <w:rStyle w:val="Hyperlink"/>
            <w:rFonts w:asciiTheme="majorHAnsi" w:hAnsiTheme="majorHAnsi"/>
            <w:szCs w:val="16"/>
            <w:lang w:val="en-AU"/>
          </w:rPr>
          <w:t>https://www.dewr.gov.au/download/16477/vet-workforce-blueprint/38784/vet-workforce-blueprint/pdf</w:t>
        </w:r>
      </w:hyperlink>
      <w:r w:rsidRPr="00117237">
        <w:rPr>
          <w:rFonts w:asciiTheme="majorHAnsi" w:hAnsiTheme="majorHAnsi"/>
          <w:szCs w:val="16"/>
          <w:lang w:val="en-AU"/>
        </w:rPr>
        <w:t>.</w:t>
      </w:r>
    </w:p>
  </w:footnote>
  <w:footnote w:id="36">
    <w:p w14:paraId="156CE444" w14:textId="066B4B18" w:rsidR="00575E7F" w:rsidRPr="00117237" w:rsidRDefault="00575E7F"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Jobs and Skills Australia, ‘VETWorkforce Study’,</w:t>
      </w:r>
      <w:r w:rsidRPr="00117237">
        <w:rPr>
          <w:rFonts w:asciiTheme="majorHAnsi" w:hAnsiTheme="majorHAnsi"/>
          <w:i/>
          <w:szCs w:val="16"/>
          <w:lang w:val="en-AU"/>
        </w:rPr>
        <w:t xml:space="preserve"> Australian Government, </w:t>
      </w:r>
      <w:r w:rsidRPr="00117237">
        <w:rPr>
          <w:rFonts w:asciiTheme="majorHAnsi" w:hAnsiTheme="majorHAnsi"/>
          <w:szCs w:val="16"/>
          <w:lang w:val="en-AU"/>
        </w:rPr>
        <w:t xml:space="preserve">2024, </w:t>
      </w:r>
      <w:hyperlink r:id="rId12" w:history="1">
        <w:r w:rsidRPr="00117237">
          <w:rPr>
            <w:rStyle w:val="Hyperlink"/>
            <w:rFonts w:asciiTheme="majorHAnsi" w:hAnsiTheme="majorHAnsi"/>
            <w:szCs w:val="16"/>
            <w:lang w:val="en-AU"/>
          </w:rPr>
          <w:t>https://www.jobsandskills.gov.au/sites/default/files/2024-10/vet_workforce_study_2024.pdf</w:t>
        </w:r>
      </w:hyperlink>
    </w:p>
  </w:footnote>
  <w:footnote w:id="37">
    <w:p w14:paraId="326A869B" w14:textId="53F405B5" w:rsidR="00CD580B" w:rsidRPr="00117237" w:rsidRDefault="00CD580B"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00557763" w:rsidRPr="00117237">
        <w:rPr>
          <w:lang w:val="en-AU"/>
        </w:rPr>
        <w:t xml:space="preserve">Dandolo analysis of publicly available data, </w:t>
      </w:r>
      <w:r w:rsidR="005541AC" w:rsidRPr="00117237">
        <w:rPr>
          <w:lang w:val="en-AU"/>
        </w:rPr>
        <w:t xml:space="preserve">sources listed in Appendix </w:t>
      </w:r>
      <w:r w:rsidR="00347623" w:rsidRPr="00117237">
        <w:rPr>
          <w:lang w:val="en-AU"/>
        </w:rPr>
        <w:t>H</w:t>
      </w:r>
      <w:r w:rsidR="001E1DE1" w:rsidRPr="00117237">
        <w:rPr>
          <w:lang w:val="en-AU"/>
        </w:rPr>
        <w:t>.</w:t>
      </w:r>
    </w:p>
  </w:footnote>
  <w:footnote w:id="38">
    <w:p w14:paraId="2F4D11C7" w14:textId="76144BA3" w:rsidR="00AC4839" w:rsidRPr="00117237" w:rsidRDefault="00AC4839"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007E64A0" w:rsidRPr="00117237">
        <w:rPr>
          <w:lang w:val="en-AU"/>
        </w:rPr>
        <w:t>Ibid.</w:t>
      </w:r>
    </w:p>
  </w:footnote>
  <w:footnote w:id="39">
    <w:p w14:paraId="01195548" w14:textId="1B1FA880" w:rsidR="001012B5" w:rsidRPr="00117237" w:rsidRDefault="001012B5"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‘Change the story</w:t>
      </w:r>
      <w:r w:rsidR="0034549B" w:rsidRPr="00117237">
        <w:rPr>
          <w:rFonts w:asciiTheme="majorHAnsi" w:hAnsiTheme="majorHAnsi"/>
          <w:szCs w:val="16"/>
          <w:lang w:val="en-AU"/>
        </w:rPr>
        <w:t>: A shared framework for the primary prevention of violence against women in Australia’</w:t>
      </w:r>
      <w:r w:rsidRPr="00117237">
        <w:rPr>
          <w:rFonts w:asciiTheme="majorHAnsi" w:hAnsiTheme="majorHAnsi"/>
          <w:szCs w:val="16"/>
          <w:lang w:val="en-AU"/>
        </w:rPr>
        <w:t xml:space="preserve"> (2</w:t>
      </w:r>
      <w:r w:rsidRPr="00117237">
        <w:rPr>
          <w:rFonts w:asciiTheme="majorHAnsi" w:hAnsiTheme="majorHAnsi"/>
          <w:szCs w:val="16"/>
          <w:vertAlign w:val="superscript"/>
          <w:lang w:val="en-AU"/>
        </w:rPr>
        <w:t>nd</w:t>
      </w:r>
      <w:r w:rsidRPr="00117237">
        <w:rPr>
          <w:rFonts w:asciiTheme="majorHAnsi" w:hAnsiTheme="majorHAnsi"/>
          <w:szCs w:val="16"/>
          <w:lang w:val="en-AU"/>
        </w:rPr>
        <w:t xml:space="preserve"> ed.)’, 2021, </w:t>
      </w:r>
      <w:hyperlink r:id="rId13" w:history="1">
        <w:r w:rsidRPr="00117237">
          <w:rPr>
            <w:rStyle w:val="Hyperlink"/>
            <w:rFonts w:asciiTheme="majorHAnsi" w:hAnsiTheme="majorHAnsi"/>
            <w:szCs w:val="16"/>
            <w:lang w:val="en-AU"/>
          </w:rPr>
          <w:t>https://assets.ourwatch.org.au/assets/Key-frameworks/Change-the-story-Our-Watch-AA.pdf</w:t>
        </w:r>
      </w:hyperlink>
      <w:r w:rsidRPr="00117237">
        <w:rPr>
          <w:rFonts w:asciiTheme="majorHAnsi" w:hAnsiTheme="majorHAnsi"/>
          <w:szCs w:val="16"/>
          <w:lang w:val="en-AU"/>
        </w:rPr>
        <w:t xml:space="preserve">. </w:t>
      </w:r>
    </w:p>
  </w:footnote>
  <w:footnote w:id="40">
    <w:p w14:paraId="21F165F3" w14:textId="2970DD96" w:rsidR="00C2671C" w:rsidRPr="00117237" w:rsidRDefault="00C2671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‘Change the story</w:t>
      </w:r>
      <w:r w:rsidR="0034549B" w:rsidRPr="00117237">
        <w:rPr>
          <w:rFonts w:asciiTheme="majorHAnsi" w:hAnsiTheme="majorHAnsi"/>
          <w:szCs w:val="16"/>
          <w:lang w:val="en-AU"/>
        </w:rPr>
        <w:t>: A shared framework for the primary prevention of violence against women in Australia’</w:t>
      </w:r>
      <w:r w:rsidRPr="00117237">
        <w:rPr>
          <w:rFonts w:asciiTheme="majorHAnsi" w:hAnsiTheme="majorHAnsi"/>
          <w:szCs w:val="16"/>
          <w:lang w:val="en-AU"/>
        </w:rPr>
        <w:t xml:space="preserve"> (2</w:t>
      </w:r>
      <w:r w:rsidRPr="00117237">
        <w:rPr>
          <w:rFonts w:asciiTheme="majorHAnsi" w:hAnsiTheme="majorHAnsi"/>
          <w:szCs w:val="16"/>
          <w:vertAlign w:val="superscript"/>
          <w:lang w:val="en-AU"/>
        </w:rPr>
        <w:t>nd</w:t>
      </w:r>
      <w:r w:rsidRPr="00117237">
        <w:rPr>
          <w:rFonts w:asciiTheme="majorHAnsi" w:hAnsiTheme="majorHAnsi"/>
          <w:szCs w:val="16"/>
          <w:lang w:val="en-AU"/>
        </w:rPr>
        <w:t xml:space="preserve"> ed.)’, 2021, </w:t>
      </w:r>
      <w:hyperlink r:id="rId14" w:history="1">
        <w:r w:rsidRPr="00117237">
          <w:rPr>
            <w:rStyle w:val="Hyperlink"/>
            <w:rFonts w:asciiTheme="majorHAnsi" w:hAnsiTheme="majorHAnsi"/>
            <w:szCs w:val="16"/>
            <w:lang w:val="en-AU"/>
          </w:rPr>
          <w:t>https://assets.ourwatch.org.au/assets/Key-frameworks/Change-the-story-Our-Watch-AA.pdf</w:t>
        </w:r>
      </w:hyperlink>
      <w:r w:rsidRPr="00117237">
        <w:rPr>
          <w:rFonts w:asciiTheme="majorHAnsi" w:hAnsiTheme="majorHAnsi"/>
          <w:szCs w:val="16"/>
          <w:lang w:val="en-AU"/>
        </w:rPr>
        <w:t>.</w:t>
      </w:r>
    </w:p>
  </w:footnote>
  <w:footnote w:id="41">
    <w:p w14:paraId="09D70D4D" w14:textId="77777777" w:rsidR="001012B5" w:rsidRPr="00117237" w:rsidRDefault="001012B5"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Skills and Workforce Ministerial Council, ‘VET Workforce Blueprint’, </w:t>
      </w:r>
      <w:r w:rsidRPr="00117237">
        <w:rPr>
          <w:rFonts w:asciiTheme="majorHAnsi" w:hAnsiTheme="majorHAnsi"/>
          <w:i/>
          <w:szCs w:val="16"/>
          <w:lang w:val="en-AU"/>
        </w:rPr>
        <w:t xml:space="preserve">Department of Employment and Workplace Relations, </w:t>
      </w:r>
      <w:r w:rsidRPr="00117237">
        <w:rPr>
          <w:rFonts w:asciiTheme="majorHAnsi" w:hAnsiTheme="majorHAnsi"/>
          <w:szCs w:val="16"/>
          <w:lang w:val="en-AU"/>
        </w:rPr>
        <w:t xml:space="preserve">2024, </w:t>
      </w:r>
      <w:hyperlink r:id="rId15" w:history="1">
        <w:r w:rsidRPr="00117237">
          <w:rPr>
            <w:rStyle w:val="Hyperlink"/>
            <w:rFonts w:asciiTheme="majorHAnsi" w:hAnsiTheme="majorHAnsi"/>
            <w:szCs w:val="16"/>
            <w:lang w:val="en-AU"/>
          </w:rPr>
          <w:t>https://www.dewr.gov.au/download/16477/vet-workforce-blueprint/38784/vet-workforce-blueprint/pdf</w:t>
        </w:r>
      </w:hyperlink>
      <w:r w:rsidRPr="00117237">
        <w:rPr>
          <w:rFonts w:asciiTheme="majorHAnsi" w:hAnsiTheme="majorHAnsi"/>
          <w:szCs w:val="16"/>
          <w:lang w:val="en-AU"/>
        </w:rPr>
        <w:t>.</w:t>
      </w:r>
    </w:p>
  </w:footnote>
  <w:footnote w:id="42">
    <w:p w14:paraId="526405D1" w14:textId="5B947760" w:rsidR="001012B5" w:rsidRPr="00117237" w:rsidRDefault="001012B5"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‘Change the story</w:t>
      </w:r>
      <w:r w:rsidR="0034549B" w:rsidRPr="00117237">
        <w:rPr>
          <w:rFonts w:asciiTheme="majorHAnsi" w:hAnsiTheme="majorHAnsi"/>
          <w:szCs w:val="16"/>
          <w:lang w:val="en-AU"/>
        </w:rPr>
        <w:t>: A shared framework for the primary prevention of violence against women in Australia’</w:t>
      </w:r>
      <w:r w:rsidRPr="00117237">
        <w:rPr>
          <w:rFonts w:asciiTheme="majorHAnsi" w:hAnsiTheme="majorHAnsi"/>
          <w:szCs w:val="16"/>
          <w:lang w:val="en-AU"/>
        </w:rPr>
        <w:t xml:space="preserve"> (2</w:t>
      </w:r>
      <w:r w:rsidRPr="00117237">
        <w:rPr>
          <w:rFonts w:asciiTheme="majorHAnsi" w:hAnsiTheme="majorHAnsi"/>
          <w:szCs w:val="16"/>
          <w:vertAlign w:val="superscript"/>
          <w:lang w:val="en-AU"/>
        </w:rPr>
        <w:t>nd</w:t>
      </w:r>
      <w:r w:rsidRPr="00117237">
        <w:rPr>
          <w:rFonts w:asciiTheme="majorHAnsi" w:hAnsiTheme="majorHAnsi"/>
          <w:szCs w:val="16"/>
          <w:lang w:val="en-AU"/>
        </w:rPr>
        <w:t xml:space="preserve"> ed.)’, 2021, </w:t>
      </w:r>
      <w:hyperlink r:id="rId16" w:history="1">
        <w:r w:rsidRPr="00117237">
          <w:rPr>
            <w:rStyle w:val="Hyperlink"/>
            <w:rFonts w:asciiTheme="majorHAnsi" w:hAnsiTheme="majorHAnsi"/>
            <w:szCs w:val="16"/>
            <w:lang w:val="en-AU"/>
          </w:rPr>
          <w:t>https://assets.ourwatch.org.au/assets/Key-frameworks/Change-the-story-Our-Watch-AA.pdf</w:t>
        </w:r>
      </w:hyperlink>
      <w:r w:rsidRPr="00117237">
        <w:rPr>
          <w:rFonts w:asciiTheme="majorHAnsi" w:hAnsiTheme="majorHAnsi"/>
          <w:szCs w:val="16"/>
          <w:lang w:val="en-AU"/>
        </w:rPr>
        <w:t>.</w:t>
      </w:r>
    </w:p>
  </w:footnote>
  <w:footnote w:id="43">
    <w:p w14:paraId="4A7CE024" w14:textId="66A2350C" w:rsidR="00681396" w:rsidRPr="00117237" w:rsidRDefault="00681396"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00F87A92" w:rsidRPr="00117237">
        <w:rPr>
          <w:rFonts w:asciiTheme="majorHAnsi" w:hAnsiTheme="majorHAnsi"/>
          <w:szCs w:val="16"/>
          <w:lang w:val="en-AU"/>
        </w:rPr>
        <w:t xml:space="preserve"> </w:t>
      </w:r>
      <w:r w:rsidR="00F87A92" w:rsidRPr="00117237">
        <w:rPr>
          <w:rFonts w:asciiTheme="majorHAnsi" w:hAnsiTheme="majorHAnsi"/>
          <w:i/>
          <w:szCs w:val="16"/>
          <w:lang w:val="en-AU"/>
        </w:rPr>
        <w:t>Sex Discrimination Act 1984</w:t>
      </w:r>
      <w:r w:rsidR="00F87A92" w:rsidRPr="00117237">
        <w:rPr>
          <w:rFonts w:asciiTheme="majorHAnsi" w:hAnsiTheme="majorHAnsi"/>
          <w:szCs w:val="16"/>
          <w:lang w:val="en-AU"/>
        </w:rPr>
        <w:t xml:space="preserve"> (Cth)</w:t>
      </w:r>
      <w:r w:rsidRPr="00117237">
        <w:rPr>
          <w:rFonts w:asciiTheme="majorHAnsi" w:hAnsiTheme="majorHAnsi"/>
          <w:szCs w:val="16"/>
          <w:lang w:val="en-AU"/>
        </w:rPr>
        <w:t xml:space="preserve"> </w:t>
      </w:r>
      <w:r w:rsidR="00F20A08" w:rsidRPr="00117237">
        <w:rPr>
          <w:rFonts w:asciiTheme="majorHAnsi" w:hAnsiTheme="majorHAnsi"/>
          <w:szCs w:val="16"/>
          <w:lang w:val="en-AU"/>
        </w:rPr>
        <w:t>s 47C</w:t>
      </w:r>
    </w:p>
  </w:footnote>
  <w:footnote w:id="44">
    <w:p w14:paraId="22B9ADFA" w14:textId="77777777" w:rsidR="009322DB" w:rsidRPr="00117237" w:rsidRDefault="009322DB"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‘Evaluation findings: Respect and Equality in TAFE, 2021.</w:t>
      </w:r>
    </w:p>
  </w:footnote>
  <w:footnote w:id="45">
    <w:p w14:paraId="7D60640D" w14:textId="287D9F5D" w:rsidR="001361E5" w:rsidRPr="00117237" w:rsidRDefault="001361E5"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FA2E29" w:rsidRPr="00117237">
        <w:rPr>
          <w:rFonts w:asciiTheme="majorHAnsi" w:hAnsiTheme="majorHAnsi"/>
          <w:szCs w:val="16"/>
          <w:lang w:val="en-AU"/>
        </w:rPr>
        <w:t xml:space="preserve">Universities Australia, ‘2021 National Student Safety Survey’, 2025, </w:t>
      </w:r>
      <w:hyperlink r:id="rId17" w:history="1">
        <w:r w:rsidR="00FA2E29" w:rsidRPr="00117237">
          <w:rPr>
            <w:rStyle w:val="Hyperlink"/>
            <w:rFonts w:asciiTheme="majorHAnsi" w:hAnsiTheme="majorHAnsi"/>
            <w:szCs w:val="16"/>
            <w:lang w:val="en-AU"/>
          </w:rPr>
          <w:t>https://universitiesaustralia.edu.au/project/2021-nsss/</w:t>
        </w:r>
      </w:hyperlink>
      <w:r w:rsidR="00FA2E29" w:rsidRPr="00117237">
        <w:rPr>
          <w:rFonts w:asciiTheme="majorHAnsi" w:hAnsiTheme="majorHAnsi"/>
          <w:szCs w:val="16"/>
          <w:lang w:val="en-AU"/>
        </w:rPr>
        <w:t xml:space="preserve">. </w:t>
      </w:r>
    </w:p>
  </w:footnote>
  <w:footnote w:id="46">
    <w:p w14:paraId="48540671" w14:textId="77777777" w:rsidR="009322DB" w:rsidRPr="00117237" w:rsidRDefault="009322DB"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‘Education for Equality’, 2020. </w:t>
      </w:r>
    </w:p>
  </w:footnote>
  <w:footnote w:id="47">
    <w:p w14:paraId="5A8806D9" w14:textId="77777777" w:rsidR="009322DB" w:rsidRPr="00117237" w:rsidRDefault="009322DB"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‘Evaluation findings: Respect and Equality in TAFE, 2021.</w:t>
      </w:r>
    </w:p>
  </w:footnote>
  <w:footnote w:id="48">
    <w:p w14:paraId="0AA3C9C7" w14:textId="47B3AEAB" w:rsidR="00684602" w:rsidRPr="00117237" w:rsidRDefault="0068460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‘Respect and Equality in TAFES: National guide’, </w:t>
      </w:r>
      <w:r w:rsidR="00D950D1" w:rsidRPr="00117237">
        <w:rPr>
          <w:rFonts w:asciiTheme="majorHAnsi" w:hAnsiTheme="majorHAnsi"/>
          <w:szCs w:val="16"/>
          <w:lang w:val="en-AU"/>
        </w:rPr>
        <w:t xml:space="preserve">2021, </w:t>
      </w:r>
      <w:hyperlink r:id="rId18" w:history="1">
        <w:r w:rsidR="00D950D1" w:rsidRPr="00117237">
          <w:rPr>
            <w:rStyle w:val="Hyperlink"/>
            <w:rFonts w:asciiTheme="majorHAnsi" w:hAnsiTheme="majorHAnsi"/>
            <w:szCs w:val="16"/>
            <w:lang w:val="en-AU"/>
          </w:rPr>
          <w:t>https://assets.ourwatch.org.au/assets/TAFE-resources/Respect-and-Equality-in-TAFE-National-Guide.pdf</w:t>
        </w:r>
      </w:hyperlink>
      <w:r w:rsidR="00D950D1" w:rsidRPr="00117237">
        <w:rPr>
          <w:rFonts w:asciiTheme="majorHAnsi" w:hAnsiTheme="majorHAnsi"/>
          <w:szCs w:val="16"/>
          <w:lang w:val="en-AU"/>
        </w:rPr>
        <w:t xml:space="preserve">. </w:t>
      </w:r>
    </w:p>
  </w:footnote>
  <w:footnote w:id="49">
    <w:p w14:paraId="28755BDC" w14:textId="7D06D7D6" w:rsidR="00D979B1" w:rsidRPr="00117237" w:rsidRDefault="00D979B1">
      <w:pPr>
        <w:pStyle w:val="FootnoteText"/>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 xml:space="preserve">Our Watch, ‘Respect and Equality in TAFES: National guide’, 2021, </w:t>
      </w:r>
      <w:hyperlink r:id="rId19" w:history="1">
        <w:r w:rsidRPr="00117237">
          <w:rPr>
            <w:rStyle w:val="Hyperlink"/>
            <w:rFonts w:asciiTheme="majorHAnsi" w:hAnsiTheme="majorHAnsi"/>
            <w:szCs w:val="16"/>
            <w:lang w:val="en-AU"/>
          </w:rPr>
          <w:t>https://assets.ourwatch.org.au/assets/TAFE-resources/Respect-and-Equality-in-TAFE-National-Guide.pdf</w:t>
        </w:r>
      </w:hyperlink>
      <w:r w:rsidRPr="00117237">
        <w:rPr>
          <w:rFonts w:asciiTheme="majorHAnsi" w:hAnsiTheme="majorHAnsi"/>
          <w:szCs w:val="16"/>
          <w:lang w:val="en-AU"/>
        </w:rPr>
        <w:t>.</w:t>
      </w:r>
    </w:p>
  </w:footnote>
  <w:footnote w:id="50">
    <w:p w14:paraId="0CAD1617" w14:textId="51FE7A57" w:rsidR="00EB380C" w:rsidRPr="00117237" w:rsidRDefault="00EB380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‘Change the story</w:t>
      </w:r>
      <w:r w:rsidR="0034549B" w:rsidRPr="00117237">
        <w:rPr>
          <w:rFonts w:asciiTheme="majorHAnsi" w:hAnsiTheme="majorHAnsi"/>
          <w:szCs w:val="16"/>
          <w:lang w:val="en-AU"/>
        </w:rPr>
        <w:t>: A shared framework for the primary prevention of violence against women in Australia’</w:t>
      </w:r>
      <w:r w:rsidRPr="00117237">
        <w:rPr>
          <w:rFonts w:asciiTheme="majorHAnsi" w:hAnsiTheme="majorHAnsi"/>
          <w:szCs w:val="16"/>
          <w:lang w:val="en-AU"/>
        </w:rPr>
        <w:t xml:space="preserve"> (2</w:t>
      </w:r>
      <w:r w:rsidRPr="00117237">
        <w:rPr>
          <w:rFonts w:asciiTheme="majorHAnsi" w:hAnsiTheme="majorHAnsi"/>
          <w:szCs w:val="16"/>
          <w:vertAlign w:val="superscript"/>
          <w:lang w:val="en-AU"/>
        </w:rPr>
        <w:t>nd</w:t>
      </w:r>
      <w:r w:rsidRPr="00117237">
        <w:rPr>
          <w:rFonts w:asciiTheme="majorHAnsi" w:hAnsiTheme="majorHAnsi"/>
          <w:szCs w:val="16"/>
          <w:lang w:val="en-AU"/>
        </w:rPr>
        <w:t xml:space="preserve"> ed.)’, 2021, </w:t>
      </w:r>
      <w:hyperlink r:id="rId20" w:history="1">
        <w:r w:rsidRPr="00117237">
          <w:rPr>
            <w:rStyle w:val="Hyperlink"/>
            <w:rFonts w:asciiTheme="majorHAnsi" w:hAnsiTheme="majorHAnsi"/>
            <w:szCs w:val="16"/>
            <w:lang w:val="en-AU"/>
          </w:rPr>
          <w:t>https://assets.ourwatch.org.au/assets/Key-frameworks/Change-the-story-Our-Watch-AA.pdf</w:t>
        </w:r>
      </w:hyperlink>
      <w:r w:rsidRPr="00117237">
        <w:rPr>
          <w:rFonts w:asciiTheme="majorHAnsi" w:hAnsiTheme="majorHAnsi"/>
          <w:szCs w:val="16"/>
          <w:lang w:val="en-AU"/>
        </w:rPr>
        <w:t>.</w:t>
      </w:r>
    </w:p>
  </w:footnote>
  <w:footnote w:id="51">
    <w:p w14:paraId="7DBE42CF" w14:textId="1D241A7D" w:rsidR="00AA26E1" w:rsidRPr="00117237" w:rsidRDefault="00AA26E1"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EB380C" w:rsidRPr="00117237">
        <w:rPr>
          <w:rFonts w:asciiTheme="majorHAnsi" w:hAnsiTheme="majorHAnsi"/>
          <w:szCs w:val="16"/>
          <w:lang w:val="en-AU"/>
        </w:rPr>
        <w:t xml:space="preserve">Our Watch, ‘Respect and Equality in TAFES: National guide’, 2021, </w:t>
      </w:r>
      <w:hyperlink r:id="rId21" w:history="1">
        <w:r w:rsidR="00EB380C" w:rsidRPr="00117237">
          <w:rPr>
            <w:rStyle w:val="Hyperlink"/>
            <w:rFonts w:asciiTheme="majorHAnsi" w:hAnsiTheme="majorHAnsi"/>
            <w:szCs w:val="16"/>
            <w:lang w:val="en-AU"/>
          </w:rPr>
          <w:t>https://assets.ourwatch.org.au/assets/TAFE-resources/Respect-and-Equality-in-TAFE-National-Guide.pdf</w:t>
        </w:r>
      </w:hyperlink>
      <w:r w:rsidR="00EB380C" w:rsidRPr="00117237">
        <w:rPr>
          <w:rFonts w:asciiTheme="majorHAnsi" w:hAnsiTheme="majorHAnsi"/>
          <w:szCs w:val="16"/>
          <w:lang w:val="en-AU"/>
        </w:rPr>
        <w:t>.</w:t>
      </w:r>
    </w:p>
  </w:footnote>
  <w:footnote w:id="52">
    <w:p w14:paraId="666B57A6" w14:textId="5905E409" w:rsidR="008D5AEA" w:rsidRPr="00117237" w:rsidRDefault="008D5AEA">
      <w:pPr>
        <w:pStyle w:val="FootnoteText"/>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 xml:space="preserve">Our Watch, ‘Respect and Equality in TAFES: National guide’, 2021, </w:t>
      </w:r>
      <w:hyperlink r:id="rId22" w:history="1">
        <w:r w:rsidRPr="00117237">
          <w:rPr>
            <w:rStyle w:val="Hyperlink"/>
            <w:rFonts w:asciiTheme="majorHAnsi" w:hAnsiTheme="majorHAnsi"/>
            <w:szCs w:val="16"/>
            <w:lang w:val="en-AU"/>
          </w:rPr>
          <w:t>https://assets.ourwatch.org.au/assets/TAFE-resources/Respect-and-Equality-in-TAFE-National-Guide.pdf</w:t>
        </w:r>
      </w:hyperlink>
      <w:r w:rsidRPr="00117237">
        <w:rPr>
          <w:rFonts w:asciiTheme="majorHAnsi" w:hAnsiTheme="majorHAnsi"/>
          <w:szCs w:val="16"/>
          <w:lang w:val="en-AU"/>
        </w:rPr>
        <w:t>.</w:t>
      </w:r>
    </w:p>
  </w:footnote>
  <w:footnote w:id="53">
    <w:p w14:paraId="184F06A4" w14:textId="185840BD" w:rsidR="008557B7" w:rsidRPr="00117237" w:rsidRDefault="008557B7"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NCVER, </w:t>
      </w:r>
      <w:r w:rsidR="0042403E" w:rsidRPr="00117237">
        <w:rPr>
          <w:rFonts w:asciiTheme="majorHAnsi" w:hAnsiTheme="majorHAnsi"/>
          <w:szCs w:val="16"/>
          <w:lang w:val="en-AU"/>
        </w:rPr>
        <w:t>Gender segregation in the workplace and its impact on women’s economic equality’, 2017</w:t>
      </w:r>
      <w:r w:rsidR="00794FE4" w:rsidRPr="00117237">
        <w:rPr>
          <w:rFonts w:asciiTheme="majorHAnsi" w:hAnsiTheme="majorHAnsi"/>
          <w:szCs w:val="16"/>
          <w:lang w:val="en-AU"/>
        </w:rPr>
        <w:t>.</w:t>
      </w:r>
      <w:r w:rsidR="00B35928" w:rsidRPr="00117237">
        <w:rPr>
          <w:rFonts w:asciiTheme="majorHAnsi" w:hAnsiTheme="majorHAnsi"/>
          <w:szCs w:val="16"/>
          <w:lang w:val="en-AU"/>
        </w:rPr>
        <w:t xml:space="preserve">; Skills and Workforce Ministerial Council, ‘VET Workforce Blueprint’, </w:t>
      </w:r>
      <w:r w:rsidR="00B35928" w:rsidRPr="00117237">
        <w:rPr>
          <w:rFonts w:asciiTheme="majorHAnsi" w:hAnsiTheme="majorHAnsi"/>
          <w:i/>
          <w:szCs w:val="16"/>
          <w:lang w:val="en-AU"/>
        </w:rPr>
        <w:t xml:space="preserve">Department of Employment and Workplace Relations, </w:t>
      </w:r>
      <w:r w:rsidR="00B35928" w:rsidRPr="00117237">
        <w:rPr>
          <w:rFonts w:asciiTheme="majorHAnsi" w:hAnsiTheme="majorHAnsi"/>
          <w:szCs w:val="16"/>
          <w:lang w:val="en-AU"/>
        </w:rPr>
        <w:t xml:space="preserve">2024, </w:t>
      </w:r>
      <w:hyperlink r:id="rId23" w:history="1">
        <w:r w:rsidR="00B35928" w:rsidRPr="00117237">
          <w:rPr>
            <w:rStyle w:val="Hyperlink"/>
            <w:rFonts w:asciiTheme="majorHAnsi" w:hAnsiTheme="majorHAnsi"/>
            <w:szCs w:val="16"/>
            <w:lang w:val="en-AU"/>
          </w:rPr>
          <w:t>https://www.dewr.gov.au/download/16477/vet-workforce-blueprint/38784/vet-workforce-blueprint/pdf</w:t>
        </w:r>
      </w:hyperlink>
      <w:r w:rsidR="00B35928" w:rsidRPr="00117237">
        <w:rPr>
          <w:rFonts w:asciiTheme="majorHAnsi" w:hAnsiTheme="majorHAnsi"/>
          <w:szCs w:val="16"/>
          <w:lang w:val="en-AU"/>
        </w:rPr>
        <w:t>.</w:t>
      </w:r>
    </w:p>
  </w:footnote>
  <w:footnote w:id="54">
    <w:p w14:paraId="78AF1A26" w14:textId="67236256" w:rsidR="007F39F9" w:rsidRPr="00117237" w:rsidRDefault="007F39F9"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00570316" w:rsidRPr="00117237">
        <w:rPr>
          <w:rFonts w:asciiTheme="majorHAnsi" w:hAnsiTheme="majorHAnsi"/>
          <w:szCs w:val="16"/>
          <w:lang w:val="en-AU"/>
        </w:rPr>
        <w:t xml:space="preserve"> NCVER, Gender segregation in the workplace and its impact on women’s economic equality’, 2017.; Skills and Workforce Ministerial Council, ‘VET Workforce Blueprint’, </w:t>
      </w:r>
      <w:r w:rsidR="00570316" w:rsidRPr="00117237">
        <w:rPr>
          <w:rFonts w:asciiTheme="majorHAnsi" w:hAnsiTheme="majorHAnsi"/>
          <w:i/>
          <w:szCs w:val="16"/>
          <w:lang w:val="en-AU"/>
        </w:rPr>
        <w:t xml:space="preserve">Department of Employment and Workplace Relations, </w:t>
      </w:r>
      <w:r w:rsidR="00570316" w:rsidRPr="00117237">
        <w:rPr>
          <w:rFonts w:asciiTheme="majorHAnsi" w:hAnsiTheme="majorHAnsi"/>
          <w:szCs w:val="16"/>
          <w:lang w:val="en-AU"/>
        </w:rPr>
        <w:t xml:space="preserve">2024, </w:t>
      </w:r>
      <w:hyperlink r:id="rId24" w:history="1">
        <w:r w:rsidR="00570316" w:rsidRPr="00117237">
          <w:rPr>
            <w:rStyle w:val="Hyperlink"/>
            <w:rFonts w:asciiTheme="majorHAnsi" w:hAnsiTheme="majorHAnsi"/>
            <w:szCs w:val="16"/>
            <w:lang w:val="en-AU"/>
          </w:rPr>
          <w:t>https://www.dewr.gov.au/download/16477/vet-workforce-blueprint/38784/vet-workforce-blueprint/pdf</w:t>
        </w:r>
      </w:hyperlink>
      <w:r w:rsidR="00570316" w:rsidRPr="00117237">
        <w:rPr>
          <w:rFonts w:asciiTheme="majorHAnsi" w:hAnsiTheme="majorHAnsi"/>
          <w:szCs w:val="16"/>
          <w:lang w:val="en-AU"/>
        </w:rPr>
        <w:t>.</w:t>
      </w:r>
    </w:p>
  </w:footnote>
  <w:footnote w:id="55">
    <w:p w14:paraId="14786B6A" w14:textId="77777777" w:rsidR="005C025A" w:rsidRPr="00117237" w:rsidRDefault="005C025A"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McCall et al., ‘A Comparative Account of Institutional Approaches to Addressing Campus-Based Sexual Violence in Australia and Aotearoa New Zealand’, 2023’ </w:t>
      </w:r>
      <w:hyperlink r:id="rId25" w:history="1">
        <w:r w:rsidRPr="00117237">
          <w:rPr>
            <w:rStyle w:val="Hyperlink"/>
            <w:rFonts w:asciiTheme="majorHAnsi" w:hAnsiTheme="majorHAnsi"/>
            <w:szCs w:val="16"/>
            <w:lang w:val="en-AU"/>
          </w:rPr>
          <w:t>https://journals.sagepub.com/doi/pdf/10.1177/10778012231183654</w:t>
        </w:r>
      </w:hyperlink>
      <w:r w:rsidRPr="00117237">
        <w:rPr>
          <w:rFonts w:asciiTheme="majorHAnsi" w:hAnsiTheme="majorHAnsi"/>
          <w:szCs w:val="16"/>
          <w:lang w:val="en-AU"/>
        </w:rPr>
        <w:t xml:space="preserve">; M Flood, ‘Best practice in the prevention of sexual violence and sexual harassment: a literature review’, 2020, </w:t>
      </w:r>
      <w:hyperlink r:id="rId26" w:history="1">
        <w:r w:rsidRPr="00117237">
          <w:rPr>
            <w:rStyle w:val="Hyperlink"/>
            <w:rFonts w:asciiTheme="majorHAnsi" w:hAnsiTheme="majorHAnsi"/>
            <w:szCs w:val="16"/>
            <w:lang w:val="en-AU"/>
          </w:rPr>
          <w:t>https://xyonline.net/sites/xyonline.net/files/2022-09/Flood%2C%20Literature%20review%20on%20Prevention%20best%20practice%202020.pdf</w:t>
        </w:r>
      </w:hyperlink>
      <w:r w:rsidRPr="00117237">
        <w:rPr>
          <w:rFonts w:asciiTheme="majorHAnsi" w:hAnsiTheme="majorHAnsi"/>
          <w:szCs w:val="16"/>
          <w:lang w:val="en-AU"/>
        </w:rPr>
        <w:t xml:space="preserve">. </w:t>
      </w:r>
    </w:p>
  </w:footnote>
  <w:footnote w:id="56">
    <w:p w14:paraId="49129090" w14:textId="77777777" w:rsidR="00157261" w:rsidRPr="00117237" w:rsidRDefault="00157261"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‘Respect and Equality in TAFES: National guide’, 2021, </w:t>
      </w:r>
      <w:hyperlink r:id="rId27" w:history="1">
        <w:r w:rsidRPr="00117237">
          <w:rPr>
            <w:rStyle w:val="Hyperlink"/>
            <w:rFonts w:asciiTheme="majorHAnsi" w:hAnsiTheme="majorHAnsi"/>
            <w:szCs w:val="16"/>
            <w:lang w:val="en-AU"/>
          </w:rPr>
          <w:t>https://assets.ourwatch.org.au/assets/TAFE-resources/Respect-and-Equality-in-TAFE-National-Guide.pdf</w:t>
        </w:r>
      </w:hyperlink>
      <w:r w:rsidRPr="00117237">
        <w:rPr>
          <w:rFonts w:asciiTheme="majorHAnsi" w:hAnsiTheme="majorHAnsi"/>
          <w:szCs w:val="16"/>
          <w:lang w:val="en-AU"/>
        </w:rPr>
        <w:t>.</w:t>
      </w:r>
    </w:p>
  </w:footnote>
  <w:footnote w:id="57">
    <w:p w14:paraId="6D4410D7" w14:textId="77777777" w:rsidR="00231B2F" w:rsidRPr="00117237" w:rsidRDefault="00231B2F"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Department for Jobs, Skills, Industry and Regions, ‘TAFE Network Statement of Priorities’, 2024. </w:t>
      </w:r>
      <w:hyperlink r:id="rId28" w:history="1">
        <w:r w:rsidRPr="00117237">
          <w:rPr>
            <w:rStyle w:val="Hyperlink"/>
            <w:rFonts w:asciiTheme="majorHAnsi" w:hAnsiTheme="majorHAnsi"/>
            <w:szCs w:val="16"/>
            <w:lang w:val="en-AU"/>
          </w:rPr>
          <w:t>https://djsir.vic.gov.au/about-us/publications/statement-of-priorities</w:t>
        </w:r>
      </w:hyperlink>
      <w:r w:rsidRPr="00117237">
        <w:rPr>
          <w:rFonts w:asciiTheme="majorHAnsi" w:hAnsiTheme="majorHAnsi"/>
          <w:szCs w:val="16"/>
          <w:lang w:val="en-AU"/>
        </w:rPr>
        <w:t xml:space="preserve"> </w:t>
      </w:r>
    </w:p>
  </w:footnote>
  <w:footnote w:id="58">
    <w:p w14:paraId="0FDFAEEF" w14:textId="0EDE21D9" w:rsidR="00581AB3" w:rsidRPr="00117237" w:rsidRDefault="00CA49D3" w:rsidP="00BD4E3B">
      <w:pPr>
        <w:pStyle w:val="FootnoteText"/>
        <w:spacing w:after="0"/>
        <w:contextualSpacing/>
        <w:rPr>
          <w:lang w:val="en-AU"/>
        </w:rPr>
      </w:pPr>
      <w:r w:rsidRPr="00117237">
        <w:rPr>
          <w:rStyle w:val="FootnoteReference"/>
          <w:lang w:val="en-AU"/>
        </w:rPr>
        <w:footnoteRef/>
      </w:r>
      <w:r w:rsidRPr="00117237">
        <w:rPr>
          <w:lang w:val="en-AU"/>
        </w:rPr>
        <w:t xml:space="preserve"> </w:t>
      </w:r>
      <w:r w:rsidR="00581AB3" w:rsidRPr="00117237">
        <w:rPr>
          <w:lang w:val="en-AU"/>
        </w:rPr>
        <w:t xml:space="preserve">Commission for Gender Equality in the Public Sector, ‘About the Gender Equality Act 2020’, 2020, </w:t>
      </w:r>
      <w:hyperlink r:id="rId29" w:anchor="what-is-a-defined-entity" w:history="1">
        <w:r w:rsidR="00581AB3" w:rsidRPr="00117237">
          <w:rPr>
            <w:rStyle w:val="Hyperlink"/>
            <w:lang w:val="en-AU"/>
          </w:rPr>
          <w:t>https://www.genderequalitycommission.vic.gov.au/about-gender-equality-act-2020#what-is-a-defined-entity</w:t>
        </w:r>
      </w:hyperlink>
      <w:r w:rsidR="00581AB3" w:rsidRPr="00117237">
        <w:rPr>
          <w:lang w:val="en-AU"/>
        </w:rPr>
        <w:t>.</w:t>
      </w:r>
    </w:p>
  </w:footnote>
  <w:footnote w:id="59">
    <w:p w14:paraId="3441B634" w14:textId="06487CFB" w:rsidR="00581AB3" w:rsidRPr="00117237" w:rsidRDefault="00581AB3" w:rsidP="00BD4E3B">
      <w:pPr>
        <w:pStyle w:val="FootnoteText"/>
        <w:spacing w:after="0"/>
        <w:contextualSpacing/>
        <w:rPr>
          <w:lang w:val="en-AU"/>
        </w:rPr>
      </w:pPr>
      <w:r w:rsidRPr="00117237">
        <w:rPr>
          <w:rStyle w:val="FootnoteReference"/>
          <w:lang w:val="en-AU"/>
        </w:rPr>
        <w:footnoteRef/>
      </w:r>
      <w:r w:rsidRPr="00117237">
        <w:rPr>
          <w:lang w:val="en-AU"/>
        </w:rPr>
        <w:t xml:space="preserve"> Ibid. </w:t>
      </w:r>
    </w:p>
  </w:footnote>
  <w:footnote w:id="60">
    <w:p w14:paraId="26BA7606" w14:textId="77777777" w:rsidR="002500D2" w:rsidRPr="00117237" w:rsidRDefault="002500D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Developed in consultation with Our Watch and using Our Watch Asana platform updates and MoUs.</w:t>
      </w:r>
    </w:p>
  </w:footnote>
  <w:footnote w:id="61">
    <w:p w14:paraId="3F71F97A" w14:textId="1AB1CF59" w:rsidR="001448E4" w:rsidRPr="00117237" w:rsidRDefault="001448E4"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Information taken from dandolo’s analysis of publicly available information on TAFEs. See Appendix </w:t>
      </w:r>
      <w:r w:rsidR="00164D8C" w:rsidRPr="00117237">
        <w:rPr>
          <w:rFonts w:asciiTheme="majorHAnsi" w:hAnsiTheme="majorHAnsi"/>
          <w:szCs w:val="16"/>
          <w:lang w:val="en-AU"/>
        </w:rPr>
        <w:t>H</w:t>
      </w:r>
      <w:r w:rsidRPr="00117237">
        <w:rPr>
          <w:rFonts w:asciiTheme="majorHAnsi" w:hAnsiTheme="majorHAnsi"/>
          <w:szCs w:val="16"/>
          <w:lang w:val="en-AU"/>
        </w:rPr>
        <w:t xml:space="preserve"> for a record of sources of this analysis. </w:t>
      </w:r>
    </w:p>
  </w:footnote>
  <w:footnote w:id="62">
    <w:p w14:paraId="56D86836" w14:textId="1045E48C" w:rsidR="00790658" w:rsidRPr="00117237" w:rsidRDefault="00790658" w:rsidP="00790658">
      <w:pPr>
        <w:pStyle w:val="FootnoteText"/>
        <w:spacing w:after="0"/>
        <w:contextualSpacing/>
        <w:rPr>
          <w:rFonts w:asciiTheme="majorHAnsi" w:hAnsiTheme="majorHAnsi"/>
          <w:szCs w:val="16"/>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Our Watch case studies on the starting conditions of each TAFE.</w:t>
      </w:r>
    </w:p>
  </w:footnote>
  <w:footnote w:id="63">
    <w:p w14:paraId="2FAF2946" w14:textId="77777777" w:rsidR="00B168E3" w:rsidRPr="00117237" w:rsidRDefault="00B168E3"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CDU participated in The Purple Bench project, which involved engineering students creating a purple bench that in a prominent location on campus as a visual reminder that gendered and family violence is present in the community.</w:t>
      </w:r>
    </w:p>
  </w:footnote>
  <w:footnote w:id="64">
    <w:p w14:paraId="45FF2450" w14:textId="1A619AFD" w:rsidR="000E256C" w:rsidRPr="00117237" w:rsidRDefault="000E256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Our Watch case studies on the starting conditions of each TAFE.</w:t>
      </w:r>
    </w:p>
  </w:footnote>
  <w:footnote w:id="65">
    <w:p w14:paraId="02BE3B1E" w14:textId="5258051E" w:rsidR="004D61E1" w:rsidRPr="00117237" w:rsidRDefault="004D61E1">
      <w:pPr>
        <w:pStyle w:val="FootnoteText"/>
        <w:rPr>
          <w:lang w:val="en-AU"/>
        </w:rPr>
      </w:pPr>
      <w:r w:rsidRPr="00117237">
        <w:rPr>
          <w:rStyle w:val="FootnoteReference"/>
          <w:lang w:val="en-AU"/>
        </w:rPr>
        <w:footnoteRef/>
      </w:r>
      <w:r w:rsidRPr="00117237">
        <w:rPr>
          <w:lang w:val="en-AU"/>
        </w:rPr>
        <w:t xml:space="preserve"> </w:t>
      </w:r>
      <w:r w:rsidRPr="00117237">
        <w:rPr>
          <w:rFonts w:asciiTheme="majorHAnsi" w:hAnsiTheme="majorHAnsi"/>
          <w:szCs w:val="16"/>
          <w:lang w:val="en-AU"/>
        </w:rPr>
        <w:t>Interviews with Our Watch stakeholders.</w:t>
      </w:r>
    </w:p>
  </w:footnote>
  <w:footnote w:id="66">
    <w:p w14:paraId="5B226C84" w14:textId="4CADE540" w:rsidR="00454090" w:rsidRPr="00117237" w:rsidRDefault="00454090">
      <w:pPr>
        <w:pStyle w:val="FootnoteText"/>
        <w:rPr>
          <w:lang w:val="en-AU"/>
        </w:rPr>
      </w:pPr>
      <w:r w:rsidRPr="00117237">
        <w:rPr>
          <w:rStyle w:val="FootnoteReference"/>
          <w:lang w:val="en-AU"/>
        </w:rPr>
        <w:footnoteRef/>
      </w:r>
      <w:r w:rsidRPr="00117237">
        <w:rPr>
          <w:lang w:val="en-AU"/>
        </w:rPr>
        <w:t xml:space="preserve"> Our Watch, ‘Changing the picture: A national resource to support the prevention of violence against Aboriginal and Torres Strait Islander women and their children’, 2018. </w:t>
      </w:r>
    </w:p>
  </w:footnote>
  <w:footnote w:id="67">
    <w:p w14:paraId="3AD9A4BD" w14:textId="40D0D181" w:rsidR="00A70E9E" w:rsidRDefault="00A70E9E">
      <w:pPr>
        <w:pStyle w:val="FootnoteText"/>
      </w:pPr>
      <w:r>
        <w:rPr>
          <w:rStyle w:val="FootnoteReference"/>
        </w:rPr>
        <w:footnoteRef/>
      </w:r>
      <w:r>
        <w:t xml:space="preserve"> </w:t>
      </w:r>
      <w:r w:rsidRPr="00A70E9E">
        <w:t>CIT was unable to attend Summit 2 due to internal resourcing constraints.</w:t>
      </w:r>
    </w:p>
  </w:footnote>
  <w:footnote w:id="68">
    <w:p w14:paraId="727422D5" w14:textId="18F2B70A" w:rsidR="007A191D" w:rsidRPr="00117237" w:rsidRDefault="007A191D" w:rsidP="00BD4E3B">
      <w:pPr>
        <w:pStyle w:val="Footer"/>
        <w:contextualSpacing/>
        <w:rPr>
          <w:sz w:val="16"/>
          <w:szCs w:val="16"/>
        </w:rPr>
      </w:pPr>
      <w:r w:rsidRPr="00117237">
        <w:rPr>
          <w:rStyle w:val="FootnoteReference"/>
          <w:sz w:val="16"/>
          <w:szCs w:val="16"/>
        </w:rPr>
        <w:footnoteRef/>
      </w:r>
      <w:r w:rsidRPr="00117237">
        <w:rPr>
          <w:sz w:val="16"/>
          <w:szCs w:val="16"/>
        </w:rPr>
        <w:t xml:space="preserve"> Key: Strong influence = We believe there is strong evidence that principle had a strong influence on project outcomes,  Some </w:t>
      </w:r>
      <w:r w:rsidR="00D77B83">
        <w:rPr>
          <w:sz w:val="16"/>
          <w:szCs w:val="16"/>
        </w:rPr>
        <w:t>influence</w:t>
      </w:r>
      <w:r w:rsidR="00D77B83" w:rsidRPr="00117237">
        <w:rPr>
          <w:sz w:val="16"/>
          <w:szCs w:val="16"/>
        </w:rPr>
        <w:t xml:space="preserve"> </w:t>
      </w:r>
      <w:r w:rsidRPr="00117237">
        <w:rPr>
          <w:sz w:val="16"/>
          <w:szCs w:val="16"/>
        </w:rPr>
        <w:t xml:space="preserve">= We believe there is some evidence of that this principle influenced project outcomes, Limited influence = We believe there is limited evidence that this principles influenced the project outcomes, Unclear = We believe it is unclear the level to which this principle impacted project outcomes. </w:t>
      </w:r>
      <w:r w:rsidRPr="00117237">
        <w:rPr>
          <w:sz w:val="16"/>
          <w:szCs w:val="16"/>
        </w:rPr>
        <w:br/>
      </w:r>
    </w:p>
  </w:footnote>
  <w:footnote w:id="69">
    <w:p w14:paraId="5624B7C6" w14:textId="2EB067D4" w:rsidR="007A191D" w:rsidRPr="00117237" w:rsidRDefault="007A191D" w:rsidP="00BD4E3B">
      <w:pPr>
        <w:pStyle w:val="Footer"/>
        <w:contextualSpacing/>
        <w:rPr>
          <w:sz w:val="16"/>
          <w:szCs w:val="16"/>
        </w:rPr>
      </w:pPr>
      <w:r w:rsidRPr="00117237">
        <w:rPr>
          <w:rStyle w:val="FootnoteReference"/>
          <w:sz w:val="16"/>
          <w:szCs w:val="16"/>
        </w:rPr>
        <w:footnoteRef/>
      </w:r>
      <w:r w:rsidRPr="00117237">
        <w:rPr>
          <w:sz w:val="16"/>
          <w:szCs w:val="16"/>
        </w:rPr>
        <w:t xml:space="preserve"> Key: Strong influence = We believe there is strong evidence that principle had a strong influence on project outcomes,  Some </w:t>
      </w:r>
      <w:r w:rsidR="00D77B83">
        <w:rPr>
          <w:sz w:val="16"/>
          <w:szCs w:val="16"/>
        </w:rPr>
        <w:t>influence</w:t>
      </w:r>
      <w:r w:rsidR="00D77B83" w:rsidRPr="00117237">
        <w:rPr>
          <w:sz w:val="16"/>
          <w:szCs w:val="16"/>
        </w:rPr>
        <w:t xml:space="preserve"> </w:t>
      </w:r>
      <w:r w:rsidRPr="00117237">
        <w:rPr>
          <w:sz w:val="16"/>
          <w:szCs w:val="16"/>
        </w:rPr>
        <w:t xml:space="preserve">= We believe there is some evidence of that this principle influenced project outcomes, Limited influence = We believe there is limited evidence that this principles influenced the project outcomes, Unclear = We believe it is unclear the level to which this principle impacted project outcomes. </w:t>
      </w:r>
      <w:r w:rsidRPr="00117237">
        <w:rPr>
          <w:sz w:val="16"/>
          <w:szCs w:val="16"/>
        </w:rPr>
        <w:br/>
      </w:r>
    </w:p>
  </w:footnote>
  <w:footnote w:id="70">
    <w:p w14:paraId="73CAE855" w14:textId="240445B0" w:rsidR="004548E8" w:rsidRPr="00117237" w:rsidRDefault="004548E8"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For confidentially reasons we have not provided examples of specific individuals and have instead aggregated examples of changes seen within individuals. </w:t>
      </w:r>
    </w:p>
  </w:footnote>
  <w:footnote w:id="71">
    <w:p w14:paraId="3CFD66B2" w14:textId="4605A91C" w:rsidR="006B5FA6" w:rsidRPr="00117237" w:rsidRDefault="006B5FA6"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TAFE stakeholder interview.</w:t>
      </w:r>
    </w:p>
  </w:footnote>
  <w:footnote w:id="72">
    <w:p w14:paraId="77615B3C" w14:textId="410E172C" w:rsidR="00AA2C4A" w:rsidRPr="00117237" w:rsidRDefault="00AA2C4A"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AB734A" w:rsidRPr="00117237">
        <w:rPr>
          <w:rFonts w:asciiTheme="majorHAnsi" w:hAnsiTheme="majorHAnsi"/>
          <w:szCs w:val="16"/>
          <w:lang w:val="en-AU"/>
        </w:rPr>
        <w:t>TAFE stakeholder interview.</w:t>
      </w:r>
    </w:p>
  </w:footnote>
  <w:footnote w:id="73">
    <w:p w14:paraId="7B440045" w14:textId="5EF33469" w:rsidR="00F702EC" w:rsidRPr="00117237" w:rsidRDefault="00F702EC"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B914B1" w:rsidRPr="00117237">
        <w:rPr>
          <w:rFonts w:asciiTheme="majorHAnsi" w:hAnsiTheme="majorHAnsi"/>
          <w:szCs w:val="16"/>
          <w:lang w:val="en-AU"/>
        </w:rPr>
        <w:t>K Y Burgess, ‘Status update – Sep 30’, 2024</w:t>
      </w:r>
      <w:r w:rsidR="00A84A4E" w:rsidRPr="00117237">
        <w:rPr>
          <w:rFonts w:asciiTheme="majorHAnsi" w:hAnsiTheme="majorHAnsi"/>
          <w:szCs w:val="16"/>
          <w:lang w:val="en-AU"/>
        </w:rPr>
        <w:t>.</w:t>
      </w:r>
    </w:p>
  </w:footnote>
  <w:footnote w:id="74">
    <w:p w14:paraId="4BDE882E" w14:textId="2D8DF846" w:rsidR="005C7A42" w:rsidRPr="00117237" w:rsidRDefault="005C7A42"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C Ey, ‘The vocational education and training sector: a quick guide’, 2023, </w:t>
      </w:r>
      <w:hyperlink r:id="rId30" w:history="1">
        <w:r w:rsidRPr="00117237">
          <w:rPr>
            <w:rStyle w:val="Hyperlink"/>
            <w:rFonts w:asciiTheme="majorHAnsi" w:hAnsiTheme="majorHAnsi"/>
            <w:szCs w:val="16"/>
            <w:lang w:val="en-AU"/>
          </w:rPr>
          <w:t>https://www.aph.gov.au/About_Parliament/Parliamentary_departments/Parliamentary_Library/Research/Quick_Guides/2023-24/VocationalEducationandTraining</w:t>
        </w:r>
      </w:hyperlink>
      <w:r w:rsidRPr="00117237">
        <w:rPr>
          <w:rFonts w:asciiTheme="majorHAnsi" w:hAnsiTheme="majorHAnsi"/>
          <w:szCs w:val="16"/>
          <w:lang w:val="en-AU"/>
        </w:rPr>
        <w:t xml:space="preserve"> </w:t>
      </w:r>
    </w:p>
  </w:footnote>
  <w:footnote w:id="75">
    <w:p w14:paraId="4A9379F0" w14:textId="0ADDD028" w:rsidR="00A37476" w:rsidRPr="00117237" w:rsidRDefault="00A37476" w:rsidP="00BD4E3B">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t>
      </w:r>
      <w:r w:rsidR="00453E99" w:rsidRPr="00117237">
        <w:rPr>
          <w:rFonts w:asciiTheme="majorHAnsi" w:hAnsiTheme="majorHAnsi"/>
          <w:szCs w:val="16"/>
          <w:lang w:val="en-AU"/>
        </w:rPr>
        <w:t xml:space="preserve">Skills and Workforce Ministerial Council, ‘VET Workforce Blueprint’, </w:t>
      </w:r>
      <w:r w:rsidR="00453E99" w:rsidRPr="00117237">
        <w:rPr>
          <w:rFonts w:asciiTheme="majorHAnsi" w:hAnsiTheme="majorHAnsi"/>
          <w:i/>
          <w:szCs w:val="16"/>
          <w:lang w:val="en-AU"/>
        </w:rPr>
        <w:t xml:space="preserve">Department of Employment and Workplace Relations, </w:t>
      </w:r>
      <w:r w:rsidR="00453E99" w:rsidRPr="00117237">
        <w:rPr>
          <w:rFonts w:asciiTheme="majorHAnsi" w:hAnsiTheme="majorHAnsi"/>
          <w:szCs w:val="16"/>
          <w:lang w:val="en-AU"/>
        </w:rPr>
        <w:t xml:space="preserve">2024, </w:t>
      </w:r>
      <w:hyperlink r:id="rId31" w:history="1">
        <w:r w:rsidR="00453E99" w:rsidRPr="00117237">
          <w:rPr>
            <w:rStyle w:val="Hyperlink"/>
            <w:rFonts w:asciiTheme="majorHAnsi" w:hAnsiTheme="majorHAnsi"/>
            <w:szCs w:val="16"/>
            <w:lang w:val="en-AU"/>
          </w:rPr>
          <w:t>https://www.dewr.gov.au/download/16477/vet-workforce-blueprint/38784/vet-workforce-blueprint/pdf</w:t>
        </w:r>
      </w:hyperlink>
      <w:r w:rsidR="00453E99" w:rsidRPr="00117237">
        <w:rPr>
          <w:rFonts w:asciiTheme="majorHAnsi" w:hAnsiTheme="majorHAnsi"/>
          <w:szCs w:val="16"/>
          <w:lang w:val="en-AU"/>
        </w:rPr>
        <w:t>.</w:t>
      </w:r>
    </w:p>
  </w:footnote>
  <w:footnote w:id="76">
    <w:p w14:paraId="6A3D1EA2" w14:textId="3E39C686" w:rsidR="00682290" w:rsidRPr="00117237" w:rsidRDefault="00682290" w:rsidP="00D67570">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Workplace Gender Equality Agency, ‘Gender segregation in Australia’s workforce’, 2019, </w:t>
      </w:r>
      <w:hyperlink r:id="rId32" w:anchor="gender-seg-industry" w:history="1">
        <w:r w:rsidRPr="00117237">
          <w:rPr>
            <w:rStyle w:val="Hyperlink"/>
            <w:rFonts w:asciiTheme="majorHAnsi" w:hAnsiTheme="majorHAnsi"/>
            <w:szCs w:val="16"/>
            <w:lang w:val="en-AU"/>
          </w:rPr>
          <w:t>https://www.wgea.gov.au/publications/gender-segregation-in-australias-workforce#gender-seg-industry</w:t>
        </w:r>
      </w:hyperlink>
      <w:r w:rsidRPr="00117237">
        <w:rPr>
          <w:rFonts w:asciiTheme="majorHAnsi" w:hAnsiTheme="majorHAnsi"/>
          <w:szCs w:val="16"/>
          <w:lang w:val="en-AU"/>
        </w:rPr>
        <w:t xml:space="preserve"> </w:t>
      </w:r>
    </w:p>
  </w:footnote>
  <w:footnote w:id="77">
    <w:p w14:paraId="1015DE78" w14:textId="12377AC7" w:rsidR="0054366E" w:rsidRPr="00117237" w:rsidRDefault="0054366E" w:rsidP="00D67570">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00A0670B" w:rsidRPr="00117237">
        <w:rPr>
          <w:rFonts w:asciiTheme="majorHAnsi" w:hAnsiTheme="majorHAnsi"/>
          <w:szCs w:val="16"/>
          <w:lang w:val="en-AU"/>
        </w:rPr>
        <w:t xml:space="preserve"> L</w:t>
      </w:r>
      <w:r w:rsidRPr="00117237">
        <w:rPr>
          <w:rFonts w:asciiTheme="majorHAnsi" w:hAnsiTheme="majorHAnsi"/>
          <w:szCs w:val="16"/>
          <w:lang w:val="en-AU"/>
        </w:rPr>
        <w:t xml:space="preserve"> </w:t>
      </w:r>
      <w:r w:rsidR="00A0670B" w:rsidRPr="00117237">
        <w:rPr>
          <w:rFonts w:asciiTheme="majorHAnsi" w:hAnsiTheme="majorHAnsi"/>
          <w:szCs w:val="16"/>
          <w:lang w:val="en-AU"/>
        </w:rPr>
        <w:t xml:space="preserve">Hamilton-Smith, ‘Former female </w:t>
      </w:r>
      <w:r w:rsidR="00CB0A02" w:rsidRPr="00117237">
        <w:rPr>
          <w:rFonts w:asciiTheme="majorHAnsi" w:hAnsiTheme="majorHAnsi"/>
          <w:szCs w:val="16"/>
          <w:lang w:val="en-AU"/>
        </w:rPr>
        <w:t xml:space="preserve">employees detail alleged sexual harassment in class actions against Rio Tinto and BHP’, 2024, </w:t>
      </w:r>
      <w:hyperlink r:id="rId33" w:history="1">
        <w:r w:rsidR="00CB0A02" w:rsidRPr="00117237">
          <w:rPr>
            <w:rStyle w:val="Hyperlink"/>
            <w:rFonts w:asciiTheme="majorHAnsi" w:hAnsiTheme="majorHAnsi"/>
            <w:szCs w:val="16"/>
            <w:lang w:val="en-AU"/>
          </w:rPr>
          <w:t>https://www.abc.net.au/news/2024-12-11/class-actions-launched-against-rio-tinto-bhp-abuse-allegations/104687304</w:t>
        </w:r>
      </w:hyperlink>
      <w:r w:rsidR="00CB0A02" w:rsidRPr="00117237">
        <w:rPr>
          <w:rFonts w:asciiTheme="majorHAnsi" w:hAnsiTheme="majorHAnsi"/>
          <w:szCs w:val="16"/>
          <w:lang w:val="en-AU"/>
        </w:rPr>
        <w:t xml:space="preserve">. </w:t>
      </w:r>
    </w:p>
  </w:footnote>
  <w:footnote w:id="78">
    <w:p w14:paraId="21B31A09" w14:textId="6905AED7" w:rsidR="004777FB" w:rsidRPr="00117237" w:rsidRDefault="004777FB" w:rsidP="00D67570">
      <w:pPr>
        <w:pStyle w:val="FootnoteText"/>
        <w:spacing w:after="0"/>
        <w:contextualSpacing/>
        <w:rPr>
          <w:rFonts w:asciiTheme="majorHAnsi" w:hAnsiTheme="majorHAnsi"/>
          <w:szCs w:val="16"/>
          <w:lang w:val="en-AU"/>
        </w:rPr>
      </w:pPr>
      <w:r w:rsidRPr="00117237">
        <w:rPr>
          <w:rStyle w:val="FootnoteReference"/>
          <w:rFonts w:asciiTheme="majorHAnsi" w:hAnsiTheme="majorHAnsi"/>
          <w:szCs w:val="16"/>
          <w:lang w:val="en-AU"/>
        </w:rPr>
        <w:footnoteRef/>
      </w:r>
      <w:r w:rsidRPr="00117237">
        <w:rPr>
          <w:rFonts w:asciiTheme="majorHAnsi" w:hAnsiTheme="majorHAnsi"/>
          <w:szCs w:val="16"/>
          <w:lang w:val="en-AU"/>
        </w:rPr>
        <w:t xml:space="preserve"> MINRES, ‘About MINRES’, n.d. https://minres.com.au/about/ ; </w:t>
      </w:r>
    </w:p>
  </w:footnote>
  <w:footnote w:id="79">
    <w:p w14:paraId="30946EFD" w14:textId="55B9F3D4" w:rsidR="00491D79" w:rsidRPr="00117237" w:rsidRDefault="00491D79">
      <w:pPr>
        <w:pStyle w:val="FootnoteText"/>
        <w:rPr>
          <w:lang w:val="en-AU"/>
        </w:rPr>
      </w:pPr>
      <w:r w:rsidRPr="00117237">
        <w:rPr>
          <w:rStyle w:val="FootnoteReference"/>
          <w:lang w:val="en-AU"/>
        </w:rPr>
        <w:footnoteRef/>
      </w:r>
      <w:r w:rsidRPr="00117237">
        <w:rPr>
          <w:lang w:val="en-AU"/>
        </w:rPr>
        <w:t xml:space="preserve"> </w:t>
      </w:r>
      <w:r w:rsidRPr="00117237">
        <w:rPr>
          <w:rFonts w:asciiTheme="majorHAnsi" w:hAnsiTheme="majorHAnsi"/>
          <w:i/>
          <w:szCs w:val="16"/>
          <w:lang w:val="en-AU"/>
        </w:rPr>
        <w:t>Sex Discrimination Act 1984</w:t>
      </w:r>
      <w:r w:rsidRPr="00117237">
        <w:rPr>
          <w:rFonts w:asciiTheme="majorHAnsi" w:hAnsiTheme="majorHAnsi"/>
          <w:szCs w:val="16"/>
          <w:lang w:val="en-AU"/>
        </w:rPr>
        <w:t xml:space="preserve"> (Cth) s 47C</w:t>
      </w:r>
    </w:p>
  </w:footnote>
  <w:footnote w:id="80">
    <w:p w14:paraId="2FFDB761" w14:textId="77777777" w:rsidR="005A7D47" w:rsidRPr="00117237" w:rsidRDefault="005A7D47" w:rsidP="005A7D47">
      <w:pPr>
        <w:pStyle w:val="FootnoteText"/>
        <w:rPr>
          <w:lang w:val="en-AU"/>
        </w:rPr>
      </w:pPr>
      <w:r w:rsidRPr="00117237">
        <w:rPr>
          <w:rStyle w:val="FootnoteReference"/>
          <w:lang w:val="en-AU"/>
        </w:rPr>
        <w:footnoteRef/>
      </w:r>
      <w:r w:rsidRPr="00117237">
        <w:rPr>
          <w:lang w:val="en-AU"/>
        </w:rPr>
        <w:t xml:space="preserve"> SBS News, ‘’Transformative’: New national code would target gender-based violence at universities’, 2024, </w:t>
      </w:r>
      <w:hyperlink r:id="rId34" w:history="1">
        <w:r w:rsidRPr="00117237">
          <w:rPr>
            <w:rStyle w:val="Hyperlink"/>
            <w:lang w:val="en-AU"/>
          </w:rPr>
          <w:t>https://www.sbs.com.au/news/article/national-code-universities-gender-based-violence/7zi1ntehd</w:t>
        </w:r>
      </w:hyperlink>
      <w:r w:rsidRPr="00117237">
        <w:rPr>
          <w:lang w:val="en-AU"/>
        </w:rPr>
        <w:t xml:space="preserve">. </w:t>
      </w:r>
    </w:p>
  </w:footnote>
  <w:footnote w:id="81">
    <w:p w14:paraId="74774174" w14:textId="393B7F92" w:rsidR="00481C30" w:rsidRPr="00117237" w:rsidRDefault="00481C30" w:rsidP="00BD4E3B">
      <w:pPr>
        <w:spacing w:after="0"/>
        <w:contextualSpacing/>
        <w:rPr>
          <w:rFonts w:asciiTheme="majorHAnsi" w:hAnsiTheme="majorHAnsi"/>
          <w:sz w:val="16"/>
          <w:szCs w:val="16"/>
        </w:rPr>
      </w:pPr>
      <w:r w:rsidRPr="00117237">
        <w:rPr>
          <w:rStyle w:val="FootnoteReference"/>
          <w:rFonts w:asciiTheme="majorHAnsi" w:hAnsiTheme="majorHAnsi"/>
          <w:sz w:val="16"/>
          <w:szCs w:val="16"/>
        </w:rPr>
        <w:footnoteRef/>
      </w:r>
      <w:r w:rsidRPr="00117237">
        <w:rPr>
          <w:rFonts w:asciiTheme="majorHAnsi" w:hAnsiTheme="majorHAnsi"/>
          <w:sz w:val="16"/>
          <w:szCs w:val="16"/>
        </w:rPr>
        <w:t xml:space="preserve"> Entry points </w:t>
      </w:r>
      <w:r w:rsidR="00847C4D" w:rsidRPr="00117237">
        <w:rPr>
          <w:rFonts w:asciiTheme="majorHAnsi" w:hAnsiTheme="majorHAnsi"/>
          <w:sz w:val="16"/>
          <w:szCs w:val="16"/>
        </w:rPr>
        <w:t>- who</w:t>
      </w:r>
      <w:r w:rsidRPr="00117237">
        <w:rPr>
          <w:rFonts w:asciiTheme="majorHAnsi" w:hAnsiTheme="majorHAnsi"/>
          <w:sz w:val="16"/>
          <w:szCs w:val="16"/>
        </w:rPr>
        <w:t xml:space="preserve"> are we working with (anticipated to be actors at the TAFE organisation and system levels), and how will we work with them</w:t>
      </w:r>
    </w:p>
  </w:footnote>
  <w:footnote w:id="82">
    <w:p w14:paraId="1E16F11C" w14:textId="77777777" w:rsidR="00481C30" w:rsidRPr="00D67570" w:rsidRDefault="00481C30" w:rsidP="00BD4E3B">
      <w:pPr>
        <w:spacing w:after="0"/>
        <w:contextualSpacing/>
        <w:rPr>
          <w:rFonts w:asciiTheme="majorHAnsi" w:hAnsiTheme="majorHAnsi"/>
          <w:sz w:val="16"/>
          <w:szCs w:val="16"/>
        </w:rPr>
      </w:pPr>
      <w:r w:rsidRPr="00117237">
        <w:rPr>
          <w:rStyle w:val="FootnoteReference"/>
          <w:rFonts w:asciiTheme="majorHAnsi" w:hAnsiTheme="majorHAnsi"/>
          <w:sz w:val="16"/>
          <w:szCs w:val="16"/>
        </w:rPr>
        <w:footnoteRef/>
      </w:r>
      <w:r w:rsidRPr="00117237">
        <w:rPr>
          <w:rFonts w:asciiTheme="majorHAnsi" w:hAnsiTheme="majorHAnsi"/>
          <w:sz w:val="16"/>
          <w:szCs w:val="16"/>
        </w:rPr>
        <w:t xml:space="preserve"> Levers - opportunities at the TAFE organisation and systems levels to direct, manage or shape changes in behaviour e.g. changes to practice, policy or structures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9978"/>
    </w:tblGrid>
    <w:tr w:rsidR="00113DC6" w:rsidRPr="00117237" w14:paraId="7C174265" w14:textId="77777777" w:rsidTr="0016178E">
      <w:tc>
        <w:tcPr>
          <w:tcW w:w="9978" w:type="dxa"/>
        </w:tcPr>
        <w:p w14:paraId="24F5930E" w14:textId="77777777" w:rsidR="00113DC6" w:rsidRPr="00117237" w:rsidRDefault="00113DC6">
          <w:pPr>
            <w:pStyle w:val="Header"/>
          </w:pPr>
        </w:p>
      </w:tc>
    </w:tr>
  </w:tbl>
  <w:p w14:paraId="235B1361" w14:textId="77777777" w:rsidR="00113DC6" w:rsidRPr="00117237" w:rsidRDefault="00113DC6" w:rsidP="001A73D7">
    <w:pPr>
      <w:pStyle w:val="NormalSingle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9978"/>
    </w:tblGrid>
    <w:tr w:rsidR="003C3561" w:rsidRPr="00117237" w14:paraId="4923EADF" w14:textId="77777777" w:rsidTr="0016178E">
      <w:tc>
        <w:tcPr>
          <w:tcW w:w="9978" w:type="dxa"/>
        </w:tcPr>
        <w:p w14:paraId="3B97C9C2" w14:textId="77777777" w:rsidR="003C3561" w:rsidRPr="00117237" w:rsidRDefault="003C3561">
          <w:pPr>
            <w:pStyle w:val="Header"/>
          </w:pPr>
        </w:p>
      </w:tc>
    </w:tr>
  </w:tbl>
  <w:p w14:paraId="01F64D39" w14:textId="77777777" w:rsidR="003C3561" w:rsidRPr="00117237" w:rsidRDefault="003C3561" w:rsidP="001A73D7">
    <w:pPr>
      <w:pStyle w:val="NormalSingle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E5DED" w14:textId="77777777" w:rsidR="003C3561" w:rsidRPr="00117237" w:rsidRDefault="003C3561" w:rsidP="00FC4A9C">
    <w:pPr>
      <w:pStyle w:val="TableText"/>
    </w:pPr>
    <w:r w:rsidRPr="00117237">
      <w:rPr>
        <w:noProof/>
      </w:rPr>
      <mc:AlternateContent>
        <mc:Choice Requires="wpg">
          <w:drawing>
            <wp:anchor distT="0" distB="0" distL="114300" distR="114300" simplePos="0" relativeHeight="251658240" behindDoc="1" locked="1" layoutInCell="1" allowOverlap="1" wp14:anchorId="63B94218" wp14:editId="5FB22795">
              <wp:simplePos x="0" y="0"/>
              <wp:positionH relativeFrom="margin">
                <wp:posOffset>-720090</wp:posOffset>
              </wp:positionH>
              <wp:positionV relativeFrom="page">
                <wp:posOffset>9525</wp:posOffset>
              </wp:positionV>
              <wp:extent cx="7666990" cy="8201025"/>
              <wp:effectExtent l="0" t="0" r="0" b="9525"/>
              <wp:wrapNone/>
              <wp:docPr id="1016020640" name="Group 28" descr="The image shows the logo for &quot;dandolopartners.&quot; The text is written in a thin, lowercase font, with the word &quot;dandolo&quot; in red and &quot;partners&quot; in gray, presented in a single line with no additional symbols or image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6990" cy="8201025"/>
                        <a:chOff x="-168" y="0"/>
                        <a:chExt cx="12074" cy="12915"/>
                      </a:xfrm>
                    </wpg:grpSpPr>
                    <wps:wsp>
                      <wps:cNvPr id="479493343" name="AutoShape 29"/>
                      <wps:cNvSpPr>
                        <a:spLocks noChangeArrowheads="1" noTextEdit="1"/>
                      </wps:cNvSpPr>
                      <wps:spPr bwMode="auto">
                        <a:xfrm>
                          <a:off x="0" y="0"/>
                          <a:ext cx="11906" cy="129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s:wsp>
                      <wps:cNvPr id="778642927" name="Rectangle 30"/>
                      <wps:cNvSpPr>
                        <a:spLocks noChangeArrowheads="1"/>
                      </wps:cNvSpPr>
                      <wps:spPr bwMode="auto">
                        <a:xfrm>
                          <a:off x="-168" y="0"/>
                          <a:ext cx="11906" cy="12915"/>
                        </a:xfrm>
                        <a:prstGeom prst="rect">
                          <a:avLst/>
                        </a:prstGeom>
                        <a:solidFill>
                          <a:srgbClr val="E4E5E3"/>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1BC30" id="Group 28" o:spid="_x0000_s1026" alt="The image shows the logo for &quot;dandolopartners.&quot; The text is written in a thin, lowercase font, with the word &quot;dandolo&quot; in red and &quot;partners&quot; in gray, presented in a single line with no additional symbols or imagery." style="position:absolute;margin-left:-56.7pt;margin-top:.75pt;width:603.7pt;height:645.75pt;z-index:-251658240;mso-position-horizontal-relative:margin;mso-position-vertical-relative:page" coordorigin="-168" coordsize="12074,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">
              <v:rect id="AutoShape 29" o:spid="_x0000_s1027" style="position:absolute;width:11906;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" filled="f" stroked="f">
                <o:lock v:ext="edit" text="t"/>
              </v:rect>
              <v:rect id="Rectangle 30" o:spid="_x0000_s1028" style="position:absolute;left:-168;width:11906;height:1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" fillcolor="#e4e5e3" stroked="f">
                <v:textbox inset=",7.2pt,,7.2pt"/>
              </v:rect>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4AC39BE"/>
    <w:styleLink w:val="CurrentList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F2A7D0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C05E9"/>
    <w:multiLevelType w:val="hybridMultilevel"/>
    <w:tmpl w:val="62444A7E"/>
    <w:lvl w:ilvl="0" w:tplc="0C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213192"/>
    <w:multiLevelType w:val="hybridMultilevel"/>
    <w:tmpl w:val="A3963422"/>
    <w:lvl w:ilvl="0" w:tplc="1182F49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0042A"/>
    <w:multiLevelType w:val="multilevel"/>
    <w:tmpl w:val="DC985FD2"/>
    <w:styleLink w:val="HeadingsNumbered"/>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b w:val="0"/>
        <w:i w:val="0"/>
      </w:rPr>
    </w:lvl>
    <w:lvl w:ilvl="3">
      <w:start w:val="1"/>
      <w:numFmt w:val="none"/>
      <w:suff w:val="nothing"/>
      <w:lvlText w:val=""/>
      <w:lvlJc w:val="left"/>
      <w:pPr>
        <w:ind w:left="680" w:firstLine="0"/>
      </w:pPr>
      <w:rPr>
        <w:rFonts w:hint="default"/>
      </w:rPr>
    </w:lvl>
    <w:lvl w:ilvl="4">
      <w:start w:val="1"/>
      <w:numFmt w:val="lowerLetter"/>
      <w:lvlText w:val="(%5)"/>
      <w:lvlJc w:val="left"/>
      <w:pPr>
        <w:tabs>
          <w:tab w:val="num" w:pos="1247"/>
        </w:tabs>
        <w:ind w:left="1247" w:hanging="567"/>
      </w:pPr>
      <w:rPr>
        <w:rFonts w:hint="default"/>
      </w:rPr>
    </w:lvl>
    <w:lvl w:ilvl="5">
      <w:start w:val="1"/>
      <w:numFmt w:val="lowerRoman"/>
      <w:lvlText w:val="(%6)"/>
      <w:lvlJc w:val="left"/>
      <w:pPr>
        <w:tabs>
          <w:tab w:val="num" w:pos="1644"/>
        </w:tabs>
        <w:ind w:left="1644" w:hanging="397"/>
      </w:pPr>
      <w:rPr>
        <w:rFonts w:hint="default"/>
      </w:rPr>
    </w:lvl>
    <w:lvl w:ilvl="6">
      <w:start w:val="1"/>
      <w:numFmt w:val="upperLetter"/>
      <w:lvlText w:val="%7."/>
      <w:lvlJc w:val="left"/>
      <w:pPr>
        <w:tabs>
          <w:tab w:val="num" w:pos="2041"/>
        </w:tabs>
        <w:ind w:left="2041" w:hanging="397"/>
      </w:pPr>
      <w:rPr>
        <w:rFonts w:hint="default"/>
      </w:rPr>
    </w:lvl>
    <w:lvl w:ilvl="7">
      <w:start w:val="1"/>
      <w:numFmt w:val="decimal"/>
      <w:lvlText w:val="(%8)"/>
      <w:lvlJc w:val="left"/>
      <w:pPr>
        <w:tabs>
          <w:tab w:val="num" w:pos="2211"/>
        </w:tabs>
        <w:ind w:left="2211" w:hanging="397"/>
      </w:pPr>
      <w:rPr>
        <w:rFonts w:hint="default"/>
      </w:rPr>
    </w:lvl>
    <w:lvl w:ilvl="8">
      <w:start w:val="1"/>
      <w:numFmt w:val="none"/>
      <w:lvlText w:val=""/>
      <w:lvlJc w:val="left"/>
      <w:pPr>
        <w:tabs>
          <w:tab w:val="num" w:pos="2608"/>
        </w:tabs>
        <w:ind w:left="2608" w:hanging="397"/>
      </w:pPr>
      <w:rPr>
        <w:rFonts w:hint="default"/>
      </w:rPr>
    </w:lvl>
  </w:abstractNum>
  <w:abstractNum w:abstractNumId="5" w15:restartNumberingAfterBreak="0">
    <w:nsid w:val="09617314"/>
    <w:multiLevelType w:val="hybridMultilevel"/>
    <w:tmpl w:val="38D82E7E"/>
    <w:lvl w:ilvl="0" w:tplc="0C090003">
      <w:start w:val="1"/>
      <w:numFmt w:val="bullet"/>
      <w:lvlText w:val="o"/>
      <w:lvlJc w:val="left"/>
      <w:pPr>
        <w:ind w:left="1431" w:hanging="360"/>
      </w:pPr>
      <w:rPr>
        <w:rFonts w:ascii="Courier New" w:hAnsi="Courier New" w:cs="Courier New"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6" w15:restartNumberingAfterBreak="0">
    <w:nsid w:val="0D3850E4"/>
    <w:multiLevelType w:val="hybridMultilevel"/>
    <w:tmpl w:val="8C2C188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9F7F6D"/>
    <w:multiLevelType w:val="multilevel"/>
    <w:tmpl w:val="EA7C164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9F0367"/>
    <w:multiLevelType w:val="hybridMultilevel"/>
    <w:tmpl w:val="16A89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F0536"/>
    <w:multiLevelType w:val="multilevel"/>
    <w:tmpl w:val="8BC21ED6"/>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FD5968"/>
    <w:multiLevelType w:val="hybridMultilevel"/>
    <w:tmpl w:val="87E03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B1DA9"/>
    <w:multiLevelType w:val="hybridMultilevel"/>
    <w:tmpl w:val="643A9066"/>
    <w:styleLink w:val="CurrentList2"/>
    <w:lvl w:ilvl="0" w:tplc="2E34C79E">
      <w:start w:val="1"/>
      <w:numFmt w:val="bullet"/>
      <w:lvlText w:val=""/>
      <w:lvlJc w:val="left"/>
      <w:pPr>
        <w:ind w:left="1440" w:hanging="360"/>
      </w:pPr>
      <w:rPr>
        <w:rFonts w:ascii="Symbol" w:hAnsi="Symbol"/>
      </w:rPr>
    </w:lvl>
    <w:lvl w:ilvl="1" w:tplc="A3DA85FC">
      <w:start w:val="1"/>
      <w:numFmt w:val="bullet"/>
      <w:lvlText w:val=""/>
      <w:lvlJc w:val="left"/>
      <w:pPr>
        <w:ind w:left="1440" w:hanging="360"/>
      </w:pPr>
      <w:rPr>
        <w:rFonts w:ascii="Symbol" w:hAnsi="Symbol"/>
      </w:rPr>
    </w:lvl>
    <w:lvl w:ilvl="2" w:tplc="BB647F96">
      <w:start w:val="1"/>
      <w:numFmt w:val="bullet"/>
      <w:lvlText w:val=""/>
      <w:lvlJc w:val="left"/>
      <w:pPr>
        <w:ind w:left="1440" w:hanging="360"/>
      </w:pPr>
      <w:rPr>
        <w:rFonts w:ascii="Symbol" w:hAnsi="Symbol"/>
      </w:rPr>
    </w:lvl>
    <w:lvl w:ilvl="3" w:tplc="1920283A">
      <w:start w:val="1"/>
      <w:numFmt w:val="bullet"/>
      <w:lvlText w:val=""/>
      <w:lvlJc w:val="left"/>
      <w:pPr>
        <w:ind w:left="1440" w:hanging="360"/>
      </w:pPr>
      <w:rPr>
        <w:rFonts w:ascii="Symbol" w:hAnsi="Symbol"/>
      </w:rPr>
    </w:lvl>
    <w:lvl w:ilvl="4" w:tplc="B134C2D0">
      <w:start w:val="1"/>
      <w:numFmt w:val="bullet"/>
      <w:lvlText w:val=""/>
      <w:lvlJc w:val="left"/>
      <w:pPr>
        <w:ind w:left="1440" w:hanging="360"/>
      </w:pPr>
      <w:rPr>
        <w:rFonts w:ascii="Symbol" w:hAnsi="Symbol"/>
      </w:rPr>
    </w:lvl>
    <w:lvl w:ilvl="5" w:tplc="58226398">
      <w:start w:val="1"/>
      <w:numFmt w:val="bullet"/>
      <w:lvlText w:val=""/>
      <w:lvlJc w:val="left"/>
      <w:pPr>
        <w:ind w:left="1440" w:hanging="360"/>
      </w:pPr>
      <w:rPr>
        <w:rFonts w:ascii="Symbol" w:hAnsi="Symbol"/>
      </w:rPr>
    </w:lvl>
    <w:lvl w:ilvl="6" w:tplc="395AC592">
      <w:start w:val="1"/>
      <w:numFmt w:val="bullet"/>
      <w:lvlText w:val=""/>
      <w:lvlJc w:val="left"/>
      <w:pPr>
        <w:ind w:left="1440" w:hanging="360"/>
      </w:pPr>
      <w:rPr>
        <w:rFonts w:ascii="Symbol" w:hAnsi="Symbol"/>
      </w:rPr>
    </w:lvl>
    <w:lvl w:ilvl="7" w:tplc="EA021562">
      <w:start w:val="1"/>
      <w:numFmt w:val="bullet"/>
      <w:lvlText w:val=""/>
      <w:lvlJc w:val="left"/>
      <w:pPr>
        <w:ind w:left="1440" w:hanging="360"/>
      </w:pPr>
      <w:rPr>
        <w:rFonts w:ascii="Symbol" w:hAnsi="Symbol"/>
      </w:rPr>
    </w:lvl>
    <w:lvl w:ilvl="8" w:tplc="ACA25C34">
      <w:start w:val="1"/>
      <w:numFmt w:val="bullet"/>
      <w:lvlText w:val=""/>
      <w:lvlJc w:val="left"/>
      <w:pPr>
        <w:ind w:left="1440" w:hanging="360"/>
      </w:pPr>
      <w:rPr>
        <w:rFonts w:ascii="Symbol" w:hAnsi="Symbol"/>
      </w:rPr>
    </w:lvl>
  </w:abstractNum>
  <w:abstractNum w:abstractNumId="12" w15:restartNumberingAfterBreak="0">
    <w:nsid w:val="22AB2AD1"/>
    <w:multiLevelType w:val="hybridMultilevel"/>
    <w:tmpl w:val="9EDE56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A9069B"/>
    <w:multiLevelType w:val="multilevel"/>
    <w:tmpl w:val="5A168E46"/>
    <w:styleLink w:val="HeadingsNumbered0"/>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2552" w:hanging="567"/>
      </w:pPr>
      <w:rPr>
        <w:rFonts w:hint="default"/>
      </w:rPr>
    </w:lvl>
    <w:lvl w:ilvl="3">
      <w:start w:val="1"/>
      <w:numFmt w:val="lowerLetter"/>
      <w:lvlText w:val="%4."/>
      <w:lvlJc w:val="left"/>
      <w:pPr>
        <w:tabs>
          <w:tab w:val="num" w:pos="284"/>
        </w:tabs>
        <w:ind w:left="284" w:hanging="284"/>
      </w:pPr>
      <w:rPr>
        <w:rFonts w:hint="default"/>
        <w:color w:val="000000" w:themeColor="text1"/>
      </w:rPr>
    </w:lvl>
    <w:lvl w:ilvl="4">
      <w:start w:val="1"/>
      <w:numFmt w:val="decimal"/>
      <w:lvlRestart w:val="3"/>
      <w:lvlText w:val="%5."/>
      <w:lvlJc w:val="left"/>
      <w:pPr>
        <w:tabs>
          <w:tab w:val="num" w:pos="284"/>
        </w:tabs>
        <w:ind w:left="284" w:hanging="284"/>
      </w:pPr>
      <w:rPr>
        <w:rFonts w:hint="default"/>
        <w:color w:val="000000" w:themeColor="text1"/>
      </w:rPr>
    </w:lvl>
    <w:lvl w:ilvl="5">
      <w:start w:val="1"/>
      <w:numFmt w:val="bullet"/>
      <w:lvlRestart w:val="3"/>
      <w:lvlText w:val=""/>
      <w:lvlJc w:val="left"/>
      <w:pPr>
        <w:tabs>
          <w:tab w:val="num" w:pos="284"/>
        </w:tabs>
        <w:ind w:left="284" w:hanging="284"/>
      </w:pPr>
      <w:rPr>
        <w:rFonts w:ascii="Wingdings" w:hAnsi="Wingdings" w:hint="default"/>
        <w:color w:val="000000" w:themeColor="text1"/>
      </w:rPr>
    </w:lvl>
    <w:lvl w:ilvl="6">
      <w:start w:val="1"/>
      <w:numFmt w:val="bullet"/>
      <w:lvlText w:val="○"/>
      <w:lvlJc w:val="left"/>
      <w:pPr>
        <w:ind w:left="567" w:hanging="283"/>
      </w:pPr>
      <w:rPr>
        <w:rFonts w:ascii="Abadi" w:hAnsi="Abadi" w:hint="default"/>
        <w:color w:val="000000" w:themeColor="text1"/>
      </w:rPr>
    </w:lvl>
    <w:lvl w:ilvl="7">
      <w:start w:val="1"/>
      <w:numFmt w:val="bullet"/>
      <w:lvlText w:val="−"/>
      <w:lvlJc w:val="left"/>
      <w:pPr>
        <w:tabs>
          <w:tab w:val="num" w:pos="851"/>
        </w:tabs>
        <w:ind w:left="851" w:hanging="284"/>
      </w:pPr>
      <w:rPr>
        <w:rFonts w:ascii="Times New Roman" w:hAnsi="Times New Roman" w:cs="Times New Roman" w:hint="default"/>
        <w:color w:val="4D4D4D" w:themeColor="text2"/>
      </w:rPr>
    </w:lvl>
    <w:lvl w:ilvl="8">
      <w:start w:val="1"/>
      <w:numFmt w:val="bullet"/>
      <w:lvlText w:val=""/>
      <w:lvlJc w:val="left"/>
      <w:pPr>
        <w:tabs>
          <w:tab w:val="num" w:pos="1134"/>
        </w:tabs>
        <w:ind w:left="1134" w:hanging="283"/>
      </w:pPr>
      <w:rPr>
        <w:rFonts w:ascii="Wingdings" w:hAnsi="Wingdings" w:hint="default"/>
        <w:color w:val="000000" w:themeColor="text1"/>
      </w:rPr>
    </w:lvl>
  </w:abstractNum>
  <w:abstractNum w:abstractNumId="14"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5" w15:restartNumberingAfterBreak="0">
    <w:nsid w:val="26A95F2C"/>
    <w:multiLevelType w:val="hybridMultilevel"/>
    <w:tmpl w:val="DC566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C30BB6"/>
    <w:multiLevelType w:val="multilevel"/>
    <w:tmpl w:val="484A99F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0B57FE"/>
    <w:multiLevelType w:val="hybridMultilevel"/>
    <w:tmpl w:val="0AEEA93E"/>
    <w:lvl w:ilvl="0" w:tplc="FFFFFFFF">
      <w:start w:val="1"/>
      <w:numFmt w:val="decimal"/>
      <w:lvlText w:val="%1."/>
      <w:lvlJc w:val="left"/>
      <w:pPr>
        <w:ind w:left="720" w:hanging="360"/>
      </w:pPr>
    </w:lvl>
    <w:lvl w:ilvl="1" w:tplc="08090003">
      <w:start w:val="1"/>
      <w:numFmt w:val="bullet"/>
      <w:lvlText w:val="o"/>
      <w:lvlJc w:val="left"/>
      <w:pPr>
        <w:ind w:left="1284"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8E7087"/>
    <w:multiLevelType w:val="hybridMultilevel"/>
    <w:tmpl w:val="E3B41A26"/>
    <w:lvl w:ilvl="0" w:tplc="4F46C6AA">
      <w:start w:val="432"/>
      <w:numFmt w:val="bullet"/>
      <w:pStyle w:val="ListParagraph"/>
      <w:lvlText w:val="-"/>
      <w:lvlJc w:val="left"/>
      <w:pPr>
        <w:ind w:left="360" w:hanging="360"/>
      </w:pPr>
      <w:rPr>
        <w:rFonts w:ascii="Century Gothic" w:eastAsia="Century Gothic" w:hAnsi="Century Gothic" w:cs="Century Gothic" w:hint="default"/>
      </w:rPr>
    </w:lvl>
    <w:lvl w:ilvl="1" w:tplc="24BEDC88">
      <w:start w:val="1"/>
      <w:numFmt w:val="bullet"/>
      <w:lvlText w:val="o"/>
      <w:lvlJc w:val="left"/>
      <w:pPr>
        <w:ind w:left="1080" w:hanging="360"/>
      </w:pPr>
      <w:rPr>
        <w:rFonts w:ascii="Courier New" w:hAnsi="Courier New" w:cs="Courier New" w:hint="default"/>
      </w:rPr>
    </w:lvl>
    <w:lvl w:ilvl="2" w:tplc="CEDAF8F8" w:tentative="1">
      <w:start w:val="1"/>
      <w:numFmt w:val="bullet"/>
      <w:lvlText w:val=""/>
      <w:lvlJc w:val="left"/>
      <w:pPr>
        <w:ind w:left="1800" w:hanging="360"/>
      </w:pPr>
      <w:rPr>
        <w:rFonts w:ascii="Wingdings" w:hAnsi="Wingdings" w:hint="default"/>
      </w:rPr>
    </w:lvl>
    <w:lvl w:ilvl="3" w:tplc="F5C40EDC" w:tentative="1">
      <w:start w:val="1"/>
      <w:numFmt w:val="bullet"/>
      <w:lvlText w:val=""/>
      <w:lvlJc w:val="left"/>
      <w:pPr>
        <w:ind w:left="2520" w:hanging="360"/>
      </w:pPr>
      <w:rPr>
        <w:rFonts w:ascii="Symbol" w:hAnsi="Symbol" w:hint="default"/>
      </w:rPr>
    </w:lvl>
    <w:lvl w:ilvl="4" w:tplc="4BFC66B2" w:tentative="1">
      <w:start w:val="1"/>
      <w:numFmt w:val="bullet"/>
      <w:lvlText w:val="o"/>
      <w:lvlJc w:val="left"/>
      <w:pPr>
        <w:ind w:left="3240" w:hanging="360"/>
      </w:pPr>
      <w:rPr>
        <w:rFonts w:ascii="Courier New" w:hAnsi="Courier New" w:cs="Courier New" w:hint="default"/>
      </w:rPr>
    </w:lvl>
    <w:lvl w:ilvl="5" w:tplc="538ECAF8" w:tentative="1">
      <w:start w:val="1"/>
      <w:numFmt w:val="bullet"/>
      <w:lvlText w:val=""/>
      <w:lvlJc w:val="left"/>
      <w:pPr>
        <w:ind w:left="3960" w:hanging="360"/>
      </w:pPr>
      <w:rPr>
        <w:rFonts w:ascii="Wingdings" w:hAnsi="Wingdings" w:hint="default"/>
      </w:rPr>
    </w:lvl>
    <w:lvl w:ilvl="6" w:tplc="4B94F122" w:tentative="1">
      <w:start w:val="1"/>
      <w:numFmt w:val="bullet"/>
      <w:lvlText w:val=""/>
      <w:lvlJc w:val="left"/>
      <w:pPr>
        <w:ind w:left="4680" w:hanging="360"/>
      </w:pPr>
      <w:rPr>
        <w:rFonts w:ascii="Symbol" w:hAnsi="Symbol" w:hint="default"/>
      </w:rPr>
    </w:lvl>
    <w:lvl w:ilvl="7" w:tplc="39643C16" w:tentative="1">
      <w:start w:val="1"/>
      <w:numFmt w:val="bullet"/>
      <w:lvlText w:val="o"/>
      <w:lvlJc w:val="left"/>
      <w:pPr>
        <w:ind w:left="5400" w:hanging="360"/>
      </w:pPr>
      <w:rPr>
        <w:rFonts w:ascii="Courier New" w:hAnsi="Courier New" w:cs="Courier New" w:hint="default"/>
      </w:rPr>
    </w:lvl>
    <w:lvl w:ilvl="8" w:tplc="A1CA4C78" w:tentative="1">
      <w:start w:val="1"/>
      <w:numFmt w:val="bullet"/>
      <w:lvlText w:val=""/>
      <w:lvlJc w:val="left"/>
      <w:pPr>
        <w:ind w:left="6120" w:hanging="360"/>
      </w:pPr>
      <w:rPr>
        <w:rFonts w:ascii="Wingdings" w:hAnsi="Wingdings" w:hint="default"/>
      </w:rPr>
    </w:lvl>
  </w:abstractNum>
  <w:abstractNum w:abstractNumId="19" w15:restartNumberingAfterBreak="0">
    <w:nsid w:val="36534577"/>
    <w:multiLevelType w:val="multilevel"/>
    <w:tmpl w:val="63E85074"/>
    <w:lvl w:ilvl="0">
      <w:start w:val="1"/>
      <w:numFmt w:val="decimal"/>
      <w:lvlText w:val="%1."/>
      <w:lvlJc w:val="left"/>
      <w:pPr>
        <w:tabs>
          <w:tab w:val="num" w:pos="720"/>
        </w:tabs>
        <w:ind w:left="720" w:hanging="360"/>
      </w:pPr>
      <w:rPr>
        <w:b/>
        <w:bCs/>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F45C4F"/>
    <w:multiLevelType w:val="multilevel"/>
    <w:tmpl w:val="F95E14AC"/>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794" w:firstLine="0"/>
      </w:pPr>
      <w:rPr>
        <w:rFonts w:hint="default"/>
      </w:rPr>
    </w:lvl>
    <w:lvl w:ilvl="4">
      <w:start w:val="1"/>
      <w:numFmt w:val="lowerLetter"/>
      <w:lvlText w:val="(%5)"/>
      <w:lvlJc w:val="left"/>
      <w:pPr>
        <w:tabs>
          <w:tab w:val="num" w:pos="1191"/>
        </w:tabs>
        <w:ind w:left="1191" w:hanging="397"/>
      </w:pPr>
      <w:rPr>
        <w:rFonts w:hint="default"/>
      </w:rPr>
    </w:lvl>
    <w:lvl w:ilvl="5">
      <w:start w:val="1"/>
      <w:numFmt w:val="lowerRoman"/>
      <w:lvlText w:val="(%6)"/>
      <w:lvlJc w:val="left"/>
      <w:pPr>
        <w:tabs>
          <w:tab w:val="num" w:pos="1588"/>
        </w:tabs>
        <w:ind w:left="1588" w:hanging="397"/>
      </w:pPr>
      <w:rPr>
        <w:rFonts w:hint="default"/>
      </w:rPr>
    </w:lvl>
    <w:lvl w:ilvl="6">
      <w:start w:val="1"/>
      <w:numFmt w:val="upperLetter"/>
      <w:lvlText w:val="%7."/>
      <w:lvlJc w:val="left"/>
      <w:pPr>
        <w:tabs>
          <w:tab w:val="num" w:pos="1985"/>
        </w:tabs>
        <w:ind w:left="1985" w:hanging="397"/>
      </w:pPr>
      <w:rPr>
        <w:rFonts w:hint="default"/>
      </w:rPr>
    </w:lvl>
    <w:lvl w:ilvl="7">
      <w:start w:val="1"/>
      <w:numFmt w:val="decimal"/>
      <w:pStyle w:val="List4"/>
      <w:lvlText w:val="(%8)"/>
      <w:lvlJc w:val="left"/>
      <w:pPr>
        <w:tabs>
          <w:tab w:val="num" w:pos="2381"/>
        </w:tabs>
        <w:ind w:left="2381" w:hanging="396"/>
      </w:pPr>
      <w:rPr>
        <w:rFonts w:hint="default"/>
      </w:rPr>
    </w:lvl>
    <w:lvl w:ilvl="8">
      <w:start w:val="1"/>
      <w:numFmt w:val="none"/>
      <w:suff w:val="nothing"/>
      <w:lvlText w:val=""/>
      <w:lvlJc w:val="left"/>
      <w:pPr>
        <w:ind w:left="2381" w:firstLine="0"/>
      </w:pPr>
      <w:rPr>
        <w:rFonts w:hint="default"/>
      </w:rPr>
    </w:lvl>
  </w:abstractNum>
  <w:abstractNum w:abstractNumId="21" w15:restartNumberingAfterBreak="0">
    <w:nsid w:val="3D6A433A"/>
    <w:multiLevelType w:val="multilevel"/>
    <w:tmpl w:val="5A168E4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2552" w:hanging="567"/>
      </w:pPr>
      <w:rPr>
        <w:rFonts w:hint="default"/>
      </w:rPr>
    </w:lvl>
    <w:lvl w:ilvl="3">
      <w:start w:val="1"/>
      <w:numFmt w:val="lowerLetter"/>
      <w:lvlText w:val="%4."/>
      <w:lvlJc w:val="left"/>
      <w:pPr>
        <w:tabs>
          <w:tab w:val="num" w:pos="284"/>
        </w:tabs>
        <w:ind w:left="284" w:hanging="284"/>
      </w:pPr>
      <w:rPr>
        <w:rFonts w:hint="default"/>
        <w:color w:val="000000" w:themeColor="text1"/>
      </w:rPr>
    </w:lvl>
    <w:lvl w:ilvl="4">
      <w:start w:val="1"/>
      <w:numFmt w:val="decimal"/>
      <w:lvlRestart w:val="3"/>
      <w:lvlText w:val="%5."/>
      <w:lvlJc w:val="left"/>
      <w:pPr>
        <w:tabs>
          <w:tab w:val="num" w:pos="284"/>
        </w:tabs>
        <w:ind w:left="284" w:hanging="284"/>
      </w:pPr>
      <w:rPr>
        <w:rFonts w:hint="default"/>
        <w:color w:val="000000" w:themeColor="text1"/>
      </w:rPr>
    </w:lvl>
    <w:lvl w:ilvl="5">
      <w:start w:val="1"/>
      <w:numFmt w:val="bullet"/>
      <w:lvlRestart w:val="3"/>
      <w:lvlText w:val=""/>
      <w:lvlJc w:val="left"/>
      <w:pPr>
        <w:tabs>
          <w:tab w:val="num" w:pos="284"/>
        </w:tabs>
        <w:ind w:left="284" w:hanging="284"/>
      </w:pPr>
      <w:rPr>
        <w:rFonts w:ascii="Wingdings" w:hAnsi="Wingdings" w:hint="default"/>
        <w:color w:val="000000" w:themeColor="text1"/>
      </w:rPr>
    </w:lvl>
    <w:lvl w:ilvl="6">
      <w:start w:val="1"/>
      <w:numFmt w:val="bullet"/>
      <w:lvlText w:val="○"/>
      <w:lvlJc w:val="left"/>
      <w:pPr>
        <w:ind w:left="567" w:hanging="283"/>
      </w:pPr>
      <w:rPr>
        <w:rFonts w:ascii="Abadi" w:hAnsi="Abadi" w:hint="default"/>
        <w:color w:val="000000" w:themeColor="text1"/>
      </w:rPr>
    </w:lvl>
    <w:lvl w:ilvl="7">
      <w:start w:val="1"/>
      <w:numFmt w:val="bullet"/>
      <w:lvlText w:val="−"/>
      <w:lvlJc w:val="left"/>
      <w:pPr>
        <w:tabs>
          <w:tab w:val="num" w:pos="851"/>
        </w:tabs>
        <w:ind w:left="851" w:hanging="284"/>
      </w:pPr>
      <w:rPr>
        <w:rFonts w:ascii="Times New Roman" w:hAnsi="Times New Roman" w:cs="Times New Roman" w:hint="default"/>
        <w:color w:val="4D4D4D" w:themeColor="text2"/>
      </w:rPr>
    </w:lvl>
    <w:lvl w:ilvl="8">
      <w:start w:val="1"/>
      <w:numFmt w:val="bullet"/>
      <w:lvlText w:val=""/>
      <w:lvlJc w:val="left"/>
      <w:pPr>
        <w:tabs>
          <w:tab w:val="num" w:pos="1134"/>
        </w:tabs>
        <w:ind w:left="1134" w:hanging="283"/>
      </w:pPr>
      <w:rPr>
        <w:rFonts w:ascii="Wingdings" w:hAnsi="Wingdings" w:hint="default"/>
        <w:color w:val="000000" w:themeColor="text1"/>
      </w:rPr>
    </w:lvl>
  </w:abstractNum>
  <w:abstractNum w:abstractNumId="22" w15:restartNumberingAfterBreak="0">
    <w:nsid w:val="3D94275C"/>
    <w:multiLevelType w:val="hybridMultilevel"/>
    <w:tmpl w:val="CCAC9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4629AA"/>
    <w:multiLevelType w:val="hybridMultilevel"/>
    <w:tmpl w:val="3550C60A"/>
    <w:lvl w:ilvl="0" w:tplc="0C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5E0125"/>
    <w:multiLevelType w:val="multilevel"/>
    <w:tmpl w:val="36A6E752"/>
    <w:styleLink w:val="Bullets"/>
    <w:lvl w:ilvl="0">
      <w:start w:val="1"/>
      <w:numFmt w:val="bullet"/>
      <w:lvlText w:val=""/>
      <w:lvlJc w:val="left"/>
      <w:pPr>
        <w:ind w:left="357" w:hanging="357"/>
      </w:pPr>
      <w:rPr>
        <w:rFonts w:ascii="Wingdings" w:hAnsi="Wingdings" w:hint="default"/>
        <w:color w:val="000000" w:themeColor="text1"/>
      </w:rPr>
    </w:lvl>
    <w:lvl w:ilvl="1">
      <w:start w:val="1"/>
      <w:numFmt w:val="bullet"/>
      <w:lvlText w:val="○"/>
      <w:lvlJc w:val="left"/>
      <w:pPr>
        <w:tabs>
          <w:tab w:val="num" w:pos="714"/>
        </w:tabs>
        <w:ind w:left="714" w:hanging="357"/>
      </w:pPr>
      <w:rPr>
        <w:rFonts w:ascii="Abadi" w:hAnsi="Abadi" w:hint="default"/>
        <w:color w:val="000000" w:themeColor="text1"/>
      </w:rPr>
    </w:lvl>
    <w:lvl w:ilvl="2">
      <w:start w:val="1"/>
      <w:numFmt w:val="bullet"/>
      <w:lvlText w:val="−"/>
      <w:lvlJc w:val="left"/>
      <w:pPr>
        <w:tabs>
          <w:tab w:val="num" w:pos="1072"/>
        </w:tabs>
        <w:ind w:left="1071" w:hanging="357"/>
      </w:pPr>
      <w:rPr>
        <w:rFonts w:hint="default"/>
        <w:color w:val="4D4D4D" w:themeColor="text2"/>
      </w:rPr>
    </w:lvl>
    <w:lvl w:ilvl="3">
      <w:start w:val="1"/>
      <w:numFmt w:val="bullet"/>
      <w:lvlText w:val="−"/>
      <w:lvlJc w:val="left"/>
      <w:pPr>
        <w:tabs>
          <w:tab w:val="num" w:pos="1429"/>
        </w:tabs>
        <w:ind w:left="1428" w:hanging="357"/>
      </w:pPr>
      <w:rPr>
        <w:rFonts w:ascii="Calibri" w:hAnsi="Calibri" w:hint="default"/>
        <w:color w:val="4D4D4D" w:themeColor="text2"/>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25" w15:restartNumberingAfterBreak="0">
    <w:nsid w:val="48A52E75"/>
    <w:multiLevelType w:val="multilevel"/>
    <w:tmpl w:val="3770469C"/>
    <w:styleLink w:val="NumberedList"/>
    <w:lvl w:ilvl="0">
      <w:start w:val="1"/>
      <w:numFmt w:val="decimal"/>
      <w:lvlText w:val="%1."/>
      <w:lvlJc w:val="left"/>
      <w:pPr>
        <w:tabs>
          <w:tab w:val="num" w:pos="357"/>
        </w:tabs>
        <w:ind w:left="357" w:hanging="357"/>
      </w:pPr>
      <w:rPr>
        <w:rFonts w:hint="default"/>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1" w:hanging="357"/>
      </w:pPr>
      <w:rPr>
        <w:rFonts w:hint="default"/>
      </w:rPr>
    </w:lvl>
    <w:lvl w:ilvl="3">
      <w:start w:val="1"/>
      <w:numFmt w:val="none"/>
      <w:lvlText w:val=""/>
      <w:lvlJc w:val="left"/>
      <w:pPr>
        <w:tabs>
          <w:tab w:val="num" w:pos="1429"/>
        </w:tabs>
        <w:ind w:left="1428" w:hanging="357"/>
      </w:pPr>
      <w:rPr>
        <w:rFonts w:hint="default"/>
      </w:rPr>
    </w:lvl>
    <w:lvl w:ilvl="4">
      <w:start w:val="1"/>
      <w:numFmt w:val="none"/>
      <w:lvlText w:val=""/>
      <w:lvlJc w:val="left"/>
      <w:pPr>
        <w:tabs>
          <w:tab w:val="num" w:pos="1786"/>
        </w:tabs>
        <w:ind w:left="1785" w:hanging="357"/>
      </w:pPr>
      <w:rPr>
        <w:rFonts w:hint="default"/>
      </w:rPr>
    </w:lvl>
    <w:lvl w:ilvl="5">
      <w:start w:val="1"/>
      <w:numFmt w:val="none"/>
      <w:lvlText w:val=""/>
      <w:lvlJc w:val="left"/>
      <w:pPr>
        <w:tabs>
          <w:tab w:val="num" w:pos="2143"/>
        </w:tabs>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6" w15:restartNumberingAfterBreak="0">
    <w:nsid w:val="493B301F"/>
    <w:multiLevelType w:val="hybridMultilevel"/>
    <w:tmpl w:val="87846B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A67F0"/>
    <w:multiLevelType w:val="hybridMultilevel"/>
    <w:tmpl w:val="706405F4"/>
    <w:lvl w:ilvl="0" w:tplc="90DA8E66">
      <w:start w:val="1"/>
      <w:numFmt w:val="decimal"/>
      <w:lvlText w:val="%1."/>
      <w:lvlJc w:val="left"/>
      <w:pPr>
        <w:ind w:left="720" w:hanging="360"/>
      </w:pPr>
      <w:rPr>
        <w:b/>
        <w:bCs/>
      </w:rPr>
    </w:lvl>
    <w:lvl w:ilvl="1" w:tplc="B96CF6A0">
      <w:start w:val="1"/>
      <w:numFmt w:val="bullet"/>
      <w:lvlText w:val=""/>
      <w:lvlJc w:val="left"/>
      <w:pPr>
        <w:ind w:left="1440" w:hanging="360"/>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204247"/>
    <w:multiLevelType w:val="multilevel"/>
    <w:tmpl w:val="3F90F17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F56506A"/>
    <w:multiLevelType w:val="hybridMultilevel"/>
    <w:tmpl w:val="F69A156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19921F0"/>
    <w:multiLevelType w:val="hybridMultilevel"/>
    <w:tmpl w:val="0C090001"/>
    <w:styleLink w:val="Current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C24EBE"/>
    <w:multiLevelType w:val="hybridMultilevel"/>
    <w:tmpl w:val="19D8CC2A"/>
    <w:lvl w:ilvl="0" w:tplc="0C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B771C8"/>
    <w:multiLevelType w:val="hybridMultilevel"/>
    <w:tmpl w:val="CCAC96FA"/>
    <w:styleLink w:val="CurrentList3"/>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C24FAB"/>
    <w:multiLevelType w:val="hybridMultilevel"/>
    <w:tmpl w:val="EAD808F6"/>
    <w:lvl w:ilvl="0" w:tplc="FFFFFFFF">
      <w:start w:val="1"/>
      <w:numFmt w:val="decimal"/>
      <w:lvlText w:val="%1."/>
      <w:lvlJc w:val="left"/>
      <w:pPr>
        <w:ind w:left="720" w:hanging="360"/>
      </w:pPr>
    </w:lvl>
    <w:lvl w:ilvl="1" w:tplc="08090003">
      <w:start w:val="1"/>
      <w:numFmt w:val="bullet"/>
      <w:lvlText w:val="o"/>
      <w:lvlJc w:val="left"/>
      <w:pPr>
        <w:ind w:left="1284"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0F85B30"/>
    <w:multiLevelType w:val="hybridMultilevel"/>
    <w:tmpl w:val="0C10FC04"/>
    <w:lvl w:ilvl="0" w:tplc="0C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7D1F93"/>
    <w:multiLevelType w:val="multilevel"/>
    <w:tmpl w:val="2C1CBBBA"/>
    <w:styleLink w:val="AlphaList"/>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decimal"/>
      <w:lvlText w:val="%3."/>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6" w15:restartNumberingAfterBreak="0">
    <w:nsid w:val="6288446B"/>
    <w:multiLevelType w:val="hybridMultilevel"/>
    <w:tmpl w:val="16A053CE"/>
    <w:lvl w:ilvl="0" w:tplc="08090003">
      <w:start w:val="1"/>
      <w:numFmt w:val="bullet"/>
      <w:lvlText w:val="o"/>
      <w:lvlJc w:val="left"/>
      <w:pPr>
        <w:ind w:left="1210" w:hanging="360"/>
      </w:pPr>
      <w:rPr>
        <w:rFonts w:ascii="Courier New" w:hAnsi="Courier New" w:cs="Courier New"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7" w15:restartNumberingAfterBreak="0">
    <w:nsid w:val="66C6770C"/>
    <w:multiLevelType w:val="hybridMultilevel"/>
    <w:tmpl w:val="AF6A1016"/>
    <w:lvl w:ilvl="0" w:tplc="08090003">
      <w:start w:val="1"/>
      <w:numFmt w:val="bullet"/>
      <w:lvlText w:val="o"/>
      <w:lvlJc w:val="left"/>
      <w:pPr>
        <w:ind w:left="1284" w:hanging="360"/>
      </w:pPr>
      <w:rPr>
        <w:rFonts w:ascii="Courier New" w:hAnsi="Courier New" w:cs="Courier New"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38" w15:restartNumberingAfterBreak="0">
    <w:nsid w:val="692161F4"/>
    <w:multiLevelType w:val="hybridMultilevel"/>
    <w:tmpl w:val="390E4EC4"/>
    <w:lvl w:ilvl="0" w:tplc="08090003">
      <w:start w:val="1"/>
      <w:numFmt w:val="bullet"/>
      <w:lvlText w:val="o"/>
      <w:lvlJc w:val="left"/>
      <w:pPr>
        <w:ind w:left="1284" w:hanging="360"/>
      </w:pPr>
      <w:rPr>
        <w:rFonts w:ascii="Courier New" w:hAnsi="Courier New" w:cs="Courier New"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39" w15:restartNumberingAfterBreak="0">
    <w:nsid w:val="6EE21EBB"/>
    <w:multiLevelType w:val="hybridMultilevel"/>
    <w:tmpl w:val="55F2A766"/>
    <w:lvl w:ilvl="0" w:tplc="08090003">
      <w:start w:val="1"/>
      <w:numFmt w:val="bullet"/>
      <w:lvlText w:val="o"/>
      <w:lvlJc w:val="left"/>
      <w:pPr>
        <w:ind w:left="1284" w:hanging="360"/>
      </w:pPr>
      <w:rPr>
        <w:rFonts w:ascii="Courier New" w:hAnsi="Courier New" w:cs="Courier New" w:hint="default"/>
      </w:rPr>
    </w:lvl>
    <w:lvl w:ilvl="1" w:tplc="08090003">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40" w15:restartNumberingAfterBreak="0">
    <w:nsid w:val="71951E85"/>
    <w:multiLevelType w:val="hybridMultilevel"/>
    <w:tmpl w:val="F9E67B06"/>
    <w:lvl w:ilvl="0" w:tplc="08090003">
      <w:start w:val="1"/>
      <w:numFmt w:val="bullet"/>
      <w:lvlText w:val="o"/>
      <w:lvlJc w:val="left"/>
      <w:pPr>
        <w:ind w:left="2061" w:hanging="360"/>
      </w:pPr>
      <w:rPr>
        <w:rFonts w:ascii="Courier New" w:hAnsi="Courier New" w:cs="Courier New"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41" w15:restartNumberingAfterBreak="0">
    <w:nsid w:val="79A2214F"/>
    <w:multiLevelType w:val="hybridMultilevel"/>
    <w:tmpl w:val="1D3CE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932E1F"/>
    <w:multiLevelType w:val="hybridMultilevel"/>
    <w:tmpl w:val="21565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9323888">
    <w:abstractNumId w:val="18"/>
  </w:num>
  <w:num w:numId="2" w16cid:durableId="1618758981">
    <w:abstractNumId w:val="24"/>
  </w:num>
  <w:num w:numId="3" w16cid:durableId="251550392">
    <w:abstractNumId w:val="14"/>
  </w:num>
  <w:num w:numId="4" w16cid:durableId="300765831">
    <w:abstractNumId w:val="25"/>
  </w:num>
  <w:num w:numId="5" w16cid:durableId="1119447858">
    <w:abstractNumId w:val="28"/>
  </w:num>
  <w:num w:numId="6" w16cid:durableId="665674988">
    <w:abstractNumId w:val="35"/>
  </w:num>
  <w:num w:numId="7" w16cid:durableId="2024890699">
    <w:abstractNumId w:val="4"/>
  </w:num>
  <w:num w:numId="8" w16cid:durableId="1485664040">
    <w:abstractNumId w:val="20"/>
  </w:num>
  <w:num w:numId="9" w16cid:durableId="480082712">
    <w:abstractNumId w:val="13"/>
  </w:num>
  <w:num w:numId="10" w16cid:durableId="313874801">
    <w:abstractNumId w:val="11"/>
  </w:num>
  <w:num w:numId="11" w16cid:durableId="24328442">
    <w:abstractNumId w:val="3"/>
  </w:num>
  <w:num w:numId="12" w16cid:durableId="510067317">
    <w:abstractNumId w:val="6"/>
  </w:num>
  <w:num w:numId="13" w16cid:durableId="2086609556">
    <w:abstractNumId w:val="31"/>
  </w:num>
  <w:num w:numId="14" w16cid:durableId="1324551826">
    <w:abstractNumId w:val="2"/>
  </w:num>
  <w:num w:numId="15" w16cid:durableId="954944599">
    <w:abstractNumId w:val="29"/>
  </w:num>
  <w:num w:numId="16" w16cid:durableId="2013531376">
    <w:abstractNumId w:val="34"/>
  </w:num>
  <w:num w:numId="17" w16cid:durableId="2112165896">
    <w:abstractNumId w:val="23"/>
  </w:num>
  <w:num w:numId="18" w16cid:durableId="626815624">
    <w:abstractNumId w:val="22"/>
  </w:num>
  <w:num w:numId="19" w16cid:durableId="555506259">
    <w:abstractNumId w:val="8"/>
  </w:num>
  <w:num w:numId="20" w16cid:durableId="1875580067">
    <w:abstractNumId w:val="27"/>
  </w:num>
  <w:num w:numId="21" w16cid:durableId="1907035083">
    <w:abstractNumId w:val="7"/>
  </w:num>
  <w:num w:numId="22" w16cid:durableId="203711908">
    <w:abstractNumId w:val="41"/>
  </w:num>
  <w:num w:numId="23" w16cid:durableId="530579670">
    <w:abstractNumId w:val="26"/>
  </w:num>
  <w:num w:numId="24" w16cid:durableId="785151696">
    <w:abstractNumId w:val="32"/>
  </w:num>
  <w:num w:numId="25" w16cid:durableId="1446315645">
    <w:abstractNumId w:val="19"/>
  </w:num>
  <w:num w:numId="26" w16cid:durableId="545604571">
    <w:abstractNumId w:val="16"/>
  </w:num>
  <w:num w:numId="27" w16cid:durableId="1759597275">
    <w:abstractNumId w:val="1"/>
  </w:num>
  <w:num w:numId="28" w16cid:durableId="1877616703">
    <w:abstractNumId w:val="0"/>
  </w:num>
  <w:num w:numId="29" w16cid:durableId="152531079">
    <w:abstractNumId w:val="21"/>
  </w:num>
  <w:num w:numId="30" w16cid:durableId="1037776234">
    <w:abstractNumId w:val="30"/>
  </w:num>
  <w:num w:numId="31" w16cid:durableId="1435052837">
    <w:abstractNumId w:val="15"/>
  </w:num>
  <w:num w:numId="32" w16cid:durableId="1593274320">
    <w:abstractNumId w:val="40"/>
  </w:num>
  <w:num w:numId="33" w16cid:durableId="378018836">
    <w:abstractNumId w:val="36"/>
  </w:num>
  <w:num w:numId="34" w16cid:durableId="1549146493">
    <w:abstractNumId w:val="38"/>
  </w:num>
  <w:num w:numId="35" w16cid:durableId="253170920">
    <w:abstractNumId w:val="39"/>
  </w:num>
  <w:num w:numId="36" w16cid:durableId="922445747">
    <w:abstractNumId w:val="17"/>
  </w:num>
  <w:num w:numId="37" w16cid:durableId="277299373">
    <w:abstractNumId w:val="33"/>
  </w:num>
  <w:num w:numId="38" w16cid:durableId="1639842839">
    <w:abstractNumId w:val="5"/>
  </w:num>
  <w:num w:numId="39" w16cid:durableId="739062524">
    <w:abstractNumId w:val="12"/>
  </w:num>
  <w:num w:numId="40" w16cid:durableId="943465873">
    <w:abstractNumId w:val="37"/>
  </w:num>
  <w:num w:numId="41" w16cid:durableId="399863663">
    <w:abstractNumId w:val="9"/>
  </w:num>
  <w:num w:numId="42" w16cid:durableId="1748380407">
    <w:abstractNumId w:val="42"/>
  </w:num>
  <w:num w:numId="43" w16cid:durableId="208880184">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C6"/>
    <w:rsid w:val="0000001C"/>
    <w:rsid w:val="00000099"/>
    <w:rsid w:val="000000FD"/>
    <w:rsid w:val="0000013F"/>
    <w:rsid w:val="000004CF"/>
    <w:rsid w:val="0000057D"/>
    <w:rsid w:val="000008A6"/>
    <w:rsid w:val="00000AEC"/>
    <w:rsid w:val="00000B5C"/>
    <w:rsid w:val="00000C41"/>
    <w:rsid w:val="00000F52"/>
    <w:rsid w:val="000011A4"/>
    <w:rsid w:val="00001272"/>
    <w:rsid w:val="00001367"/>
    <w:rsid w:val="00001443"/>
    <w:rsid w:val="0000179A"/>
    <w:rsid w:val="00001A08"/>
    <w:rsid w:val="00001C58"/>
    <w:rsid w:val="0000225C"/>
    <w:rsid w:val="000025F4"/>
    <w:rsid w:val="00002603"/>
    <w:rsid w:val="00002622"/>
    <w:rsid w:val="00002631"/>
    <w:rsid w:val="00002698"/>
    <w:rsid w:val="00002776"/>
    <w:rsid w:val="0000281C"/>
    <w:rsid w:val="00002842"/>
    <w:rsid w:val="00002925"/>
    <w:rsid w:val="000029BE"/>
    <w:rsid w:val="00002ADE"/>
    <w:rsid w:val="00002CE6"/>
    <w:rsid w:val="00002D71"/>
    <w:rsid w:val="00002FC3"/>
    <w:rsid w:val="0000311D"/>
    <w:rsid w:val="000032DC"/>
    <w:rsid w:val="000036C2"/>
    <w:rsid w:val="00003842"/>
    <w:rsid w:val="00003A9A"/>
    <w:rsid w:val="00003DB8"/>
    <w:rsid w:val="00003E47"/>
    <w:rsid w:val="00003E9E"/>
    <w:rsid w:val="00004305"/>
    <w:rsid w:val="000043D9"/>
    <w:rsid w:val="00004476"/>
    <w:rsid w:val="0000461F"/>
    <w:rsid w:val="0000487B"/>
    <w:rsid w:val="00004B90"/>
    <w:rsid w:val="00004BCC"/>
    <w:rsid w:val="00004D2A"/>
    <w:rsid w:val="00004E32"/>
    <w:rsid w:val="0000554B"/>
    <w:rsid w:val="00005C54"/>
    <w:rsid w:val="00006202"/>
    <w:rsid w:val="00006310"/>
    <w:rsid w:val="00006405"/>
    <w:rsid w:val="000064E5"/>
    <w:rsid w:val="00006516"/>
    <w:rsid w:val="0000679B"/>
    <w:rsid w:val="00006A44"/>
    <w:rsid w:val="00006CD3"/>
    <w:rsid w:val="00006E75"/>
    <w:rsid w:val="0000704B"/>
    <w:rsid w:val="000071FC"/>
    <w:rsid w:val="00007281"/>
    <w:rsid w:val="000079C5"/>
    <w:rsid w:val="00007BE4"/>
    <w:rsid w:val="00007D85"/>
    <w:rsid w:val="00010041"/>
    <w:rsid w:val="0001030C"/>
    <w:rsid w:val="000103C7"/>
    <w:rsid w:val="00010D16"/>
    <w:rsid w:val="00010F8F"/>
    <w:rsid w:val="00011127"/>
    <w:rsid w:val="00011143"/>
    <w:rsid w:val="000113B4"/>
    <w:rsid w:val="000113FF"/>
    <w:rsid w:val="0001155D"/>
    <w:rsid w:val="00011918"/>
    <w:rsid w:val="00011AA0"/>
    <w:rsid w:val="00011E03"/>
    <w:rsid w:val="00011EDC"/>
    <w:rsid w:val="000125D7"/>
    <w:rsid w:val="00012CF7"/>
    <w:rsid w:val="00012D6D"/>
    <w:rsid w:val="00013218"/>
    <w:rsid w:val="0001399A"/>
    <w:rsid w:val="00013BFB"/>
    <w:rsid w:val="00013DF3"/>
    <w:rsid w:val="00013E00"/>
    <w:rsid w:val="0001400D"/>
    <w:rsid w:val="0001416B"/>
    <w:rsid w:val="000141F3"/>
    <w:rsid w:val="000143A5"/>
    <w:rsid w:val="00014637"/>
    <w:rsid w:val="0001466C"/>
    <w:rsid w:val="000146E2"/>
    <w:rsid w:val="000148C8"/>
    <w:rsid w:val="00014B51"/>
    <w:rsid w:val="00015044"/>
    <w:rsid w:val="00015443"/>
    <w:rsid w:val="000158B1"/>
    <w:rsid w:val="00015AD7"/>
    <w:rsid w:val="00015C1C"/>
    <w:rsid w:val="00015CE7"/>
    <w:rsid w:val="00015D6D"/>
    <w:rsid w:val="00015E90"/>
    <w:rsid w:val="00015FE3"/>
    <w:rsid w:val="000164A1"/>
    <w:rsid w:val="00016733"/>
    <w:rsid w:val="0001688F"/>
    <w:rsid w:val="000168DC"/>
    <w:rsid w:val="00016901"/>
    <w:rsid w:val="00016FF9"/>
    <w:rsid w:val="00017162"/>
    <w:rsid w:val="00017879"/>
    <w:rsid w:val="00017AEE"/>
    <w:rsid w:val="00017D14"/>
    <w:rsid w:val="000204AA"/>
    <w:rsid w:val="000206E8"/>
    <w:rsid w:val="000206FB"/>
    <w:rsid w:val="0002084A"/>
    <w:rsid w:val="00020932"/>
    <w:rsid w:val="00020963"/>
    <w:rsid w:val="000209AD"/>
    <w:rsid w:val="00020A9B"/>
    <w:rsid w:val="00021A8B"/>
    <w:rsid w:val="00021B81"/>
    <w:rsid w:val="00021D42"/>
    <w:rsid w:val="00021E1F"/>
    <w:rsid w:val="000221C3"/>
    <w:rsid w:val="00022219"/>
    <w:rsid w:val="00022440"/>
    <w:rsid w:val="00022575"/>
    <w:rsid w:val="000226DB"/>
    <w:rsid w:val="00022735"/>
    <w:rsid w:val="0002284D"/>
    <w:rsid w:val="00022889"/>
    <w:rsid w:val="00022AFF"/>
    <w:rsid w:val="00022BF8"/>
    <w:rsid w:val="00022C1D"/>
    <w:rsid w:val="00022C42"/>
    <w:rsid w:val="00022CC9"/>
    <w:rsid w:val="00022D3D"/>
    <w:rsid w:val="000233CD"/>
    <w:rsid w:val="00023742"/>
    <w:rsid w:val="00023AC8"/>
    <w:rsid w:val="00023DD5"/>
    <w:rsid w:val="00023F7C"/>
    <w:rsid w:val="0002408D"/>
    <w:rsid w:val="00024671"/>
    <w:rsid w:val="00024689"/>
    <w:rsid w:val="0002489D"/>
    <w:rsid w:val="00024BF6"/>
    <w:rsid w:val="00024DF7"/>
    <w:rsid w:val="00024FEF"/>
    <w:rsid w:val="0002565A"/>
    <w:rsid w:val="00025954"/>
    <w:rsid w:val="00025AAB"/>
    <w:rsid w:val="00025E29"/>
    <w:rsid w:val="00025E5D"/>
    <w:rsid w:val="00025E71"/>
    <w:rsid w:val="00025F21"/>
    <w:rsid w:val="00026B68"/>
    <w:rsid w:val="00026BAE"/>
    <w:rsid w:val="00026C3E"/>
    <w:rsid w:val="00026E9A"/>
    <w:rsid w:val="00026FF4"/>
    <w:rsid w:val="00027958"/>
    <w:rsid w:val="00027DDC"/>
    <w:rsid w:val="00027E96"/>
    <w:rsid w:val="00027FEE"/>
    <w:rsid w:val="000300D4"/>
    <w:rsid w:val="00030866"/>
    <w:rsid w:val="00030D6B"/>
    <w:rsid w:val="00031098"/>
    <w:rsid w:val="000311B6"/>
    <w:rsid w:val="00031246"/>
    <w:rsid w:val="0003134A"/>
    <w:rsid w:val="000319CA"/>
    <w:rsid w:val="00031D0E"/>
    <w:rsid w:val="00031EE1"/>
    <w:rsid w:val="00031F9F"/>
    <w:rsid w:val="0003200A"/>
    <w:rsid w:val="000322A7"/>
    <w:rsid w:val="000322F3"/>
    <w:rsid w:val="0003247C"/>
    <w:rsid w:val="0003258B"/>
    <w:rsid w:val="00032663"/>
    <w:rsid w:val="00032E9E"/>
    <w:rsid w:val="000335B8"/>
    <w:rsid w:val="00033745"/>
    <w:rsid w:val="0003382D"/>
    <w:rsid w:val="00033852"/>
    <w:rsid w:val="000339E4"/>
    <w:rsid w:val="00033BEF"/>
    <w:rsid w:val="00033E75"/>
    <w:rsid w:val="00034296"/>
    <w:rsid w:val="00034492"/>
    <w:rsid w:val="00034544"/>
    <w:rsid w:val="00034997"/>
    <w:rsid w:val="00034D90"/>
    <w:rsid w:val="00034E58"/>
    <w:rsid w:val="00034E98"/>
    <w:rsid w:val="000351FD"/>
    <w:rsid w:val="00035292"/>
    <w:rsid w:val="000354F0"/>
    <w:rsid w:val="0003556F"/>
    <w:rsid w:val="000357C7"/>
    <w:rsid w:val="000359B4"/>
    <w:rsid w:val="00035A62"/>
    <w:rsid w:val="00035C55"/>
    <w:rsid w:val="00035CEB"/>
    <w:rsid w:val="00036190"/>
    <w:rsid w:val="00036237"/>
    <w:rsid w:val="000363B6"/>
    <w:rsid w:val="00036407"/>
    <w:rsid w:val="0003640D"/>
    <w:rsid w:val="000364EE"/>
    <w:rsid w:val="000369D9"/>
    <w:rsid w:val="00036E7F"/>
    <w:rsid w:val="0003700C"/>
    <w:rsid w:val="00037160"/>
    <w:rsid w:val="000373B1"/>
    <w:rsid w:val="0003789C"/>
    <w:rsid w:val="000379C0"/>
    <w:rsid w:val="000379C2"/>
    <w:rsid w:val="00037CE2"/>
    <w:rsid w:val="00037E3E"/>
    <w:rsid w:val="00037F75"/>
    <w:rsid w:val="00037F96"/>
    <w:rsid w:val="00040374"/>
    <w:rsid w:val="000405D1"/>
    <w:rsid w:val="00040663"/>
    <w:rsid w:val="000406F1"/>
    <w:rsid w:val="00040796"/>
    <w:rsid w:val="00040A31"/>
    <w:rsid w:val="00040B18"/>
    <w:rsid w:val="0004104D"/>
    <w:rsid w:val="00041270"/>
    <w:rsid w:val="00041297"/>
    <w:rsid w:val="00041672"/>
    <w:rsid w:val="00041B42"/>
    <w:rsid w:val="00041C71"/>
    <w:rsid w:val="00042071"/>
    <w:rsid w:val="000420AC"/>
    <w:rsid w:val="000424A0"/>
    <w:rsid w:val="000427B5"/>
    <w:rsid w:val="000429AA"/>
    <w:rsid w:val="00042C21"/>
    <w:rsid w:val="00042C42"/>
    <w:rsid w:val="00042E11"/>
    <w:rsid w:val="00042E1C"/>
    <w:rsid w:val="00042F90"/>
    <w:rsid w:val="000431E3"/>
    <w:rsid w:val="00043B5E"/>
    <w:rsid w:val="00043D0B"/>
    <w:rsid w:val="00043D2E"/>
    <w:rsid w:val="00043E62"/>
    <w:rsid w:val="000440BA"/>
    <w:rsid w:val="000444B0"/>
    <w:rsid w:val="00044521"/>
    <w:rsid w:val="000445A7"/>
    <w:rsid w:val="000448F2"/>
    <w:rsid w:val="0004491C"/>
    <w:rsid w:val="00044B0F"/>
    <w:rsid w:val="00045040"/>
    <w:rsid w:val="000450CF"/>
    <w:rsid w:val="000458D8"/>
    <w:rsid w:val="00045958"/>
    <w:rsid w:val="00045ACF"/>
    <w:rsid w:val="00045C9F"/>
    <w:rsid w:val="00045CC1"/>
    <w:rsid w:val="00045EE5"/>
    <w:rsid w:val="00045F23"/>
    <w:rsid w:val="000466AC"/>
    <w:rsid w:val="000468D2"/>
    <w:rsid w:val="00046B82"/>
    <w:rsid w:val="00046D10"/>
    <w:rsid w:val="00046E47"/>
    <w:rsid w:val="00046E9A"/>
    <w:rsid w:val="00046EB9"/>
    <w:rsid w:val="000470D2"/>
    <w:rsid w:val="0004713F"/>
    <w:rsid w:val="00047177"/>
    <w:rsid w:val="000471D6"/>
    <w:rsid w:val="000472BD"/>
    <w:rsid w:val="000472C5"/>
    <w:rsid w:val="0004757A"/>
    <w:rsid w:val="00047901"/>
    <w:rsid w:val="00047DCA"/>
    <w:rsid w:val="00047E08"/>
    <w:rsid w:val="00047FCA"/>
    <w:rsid w:val="00050726"/>
    <w:rsid w:val="00050768"/>
    <w:rsid w:val="00050889"/>
    <w:rsid w:val="00050A2F"/>
    <w:rsid w:val="00050EC4"/>
    <w:rsid w:val="00050EEE"/>
    <w:rsid w:val="000510C2"/>
    <w:rsid w:val="000510E9"/>
    <w:rsid w:val="0005128C"/>
    <w:rsid w:val="00051301"/>
    <w:rsid w:val="00051367"/>
    <w:rsid w:val="000513D5"/>
    <w:rsid w:val="00051543"/>
    <w:rsid w:val="0005158F"/>
    <w:rsid w:val="00051938"/>
    <w:rsid w:val="00051C22"/>
    <w:rsid w:val="00051E67"/>
    <w:rsid w:val="00052134"/>
    <w:rsid w:val="00052222"/>
    <w:rsid w:val="00052275"/>
    <w:rsid w:val="000525FE"/>
    <w:rsid w:val="0005260A"/>
    <w:rsid w:val="000527C9"/>
    <w:rsid w:val="00052926"/>
    <w:rsid w:val="00052DA7"/>
    <w:rsid w:val="00053041"/>
    <w:rsid w:val="00053EB8"/>
    <w:rsid w:val="00053F21"/>
    <w:rsid w:val="00053FA2"/>
    <w:rsid w:val="000547D9"/>
    <w:rsid w:val="00054804"/>
    <w:rsid w:val="00054A79"/>
    <w:rsid w:val="00054B93"/>
    <w:rsid w:val="00054CAF"/>
    <w:rsid w:val="00054DD5"/>
    <w:rsid w:val="00054E47"/>
    <w:rsid w:val="00054E78"/>
    <w:rsid w:val="00055109"/>
    <w:rsid w:val="000552E8"/>
    <w:rsid w:val="00055341"/>
    <w:rsid w:val="000553A3"/>
    <w:rsid w:val="00055737"/>
    <w:rsid w:val="000557DF"/>
    <w:rsid w:val="00055837"/>
    <w:rsid w:val="00055909"/>
    <w:rsid w:val="00055C03"/>
    <w:rsid w:val="00055D7D"/>
    <w:rsid w:val="00055F0D"/>
    <w:rsid w:val="00055F24"/>
    <w:rsid w:val="000563A6"/>
    <w:rsid w:val="000567FD"/>
    <w:rsid w:val="00056C1D"/>
    <w:rsid w:val="00056CCF"/>
    <w:rsid w:val="00057145"/>
    <w:rsid w:val="0005720F"/>
    <w:rsid w:val="00057431"/>
    <w:rsid w:val="000575E1"/>
    <w:rsid w:val="0005782A"/>
    <w:rsid w:val="00057B09"/>
    <w:rsid w:val="00057EA9"/>
    <w:rsid w:val="00057FA8"/>
    <w:rsid w:val="000600EC"/>
    <w:rsid w:val="00060150"/>
    <w:rsid w:val="000602FA"/>
    <w:rsid w:val="000604AF"/>
    <w:rsid w:val="0006060D"/>
    <w:rsid w:val="0006061D"/>
    <w:rsid w:val="00060693"/>
    <w:rsid w:val="00060792"/>
    <w:rsid w:val="00060B47"/>
    <w:rsid w:val="00060BD3"/>
    <w:rsid w:val="00060CD8"/>
    <w:rsid w:val="00060F84"/>
    <w:rsid w:val="000611BD"/>
    <w:rsid w:val="00061362"/>
    <w:rsid w:val="000613FB"/>
    <w:rsid w:val="00061590"/>
    <w:rsid w:val="00061756"/>
    <w:rsid w:val="00061899"/>
    <w:rsid w:val="000619AA"/>
    <w:rsid w:val="000619D4"/>
    <w:rsid w:val="00061A5D"/>
    <w:rsid w:val="00061CD1"/>
    <w:rsid w:val="0006219B"/>
    <w:rsid w:val="000621D0"/>
    <w:rsid w:val="000622AB"/>
    <w:rsid w:val="000622EF"/>
    <w:rsid w:val="0006239D"/>
    <w:rsid w:val="00062488"/>
    <w:rsid w:val="00062763"/>
    <w:rsid w:val="00062B5B"/>
    <w:rsid w:val="00063213"/>
    <w:rsid w:val="0006335F"/>
    <w:rsid w:val="000634F8"/>
    <w:rsid w:val="000635B0"/>
    <w:rsid w:val="00063694"/>
    <w:rsid w:val="00063700"/>
    <w:rsid w:val="00063706"/>
    <w:rsid w:val="00063A04"/>
    <w:rsid w:val="00063A87"/>
    <w:rsid w:val="00063D53"/>
    <w:rsid w:val="00063DAB"/>
    <w:rsid w:val="00063E68"/>
    <w:rsid w:val="000646BE"/>
    <w:rsid w:val="000647AD"/>
    <w:rsid w:val="000648CB"/>
    <w:rsid w:val="000649F7"/>
    <w:rsid w:val="00064D9A"/>
    <w:rsid w:val="000650B0"/>
    <w:rsid w:val="0006510F"/>
    <w:rsid w:val="000651A7"/>
    <w:rsid w:val="000653D0"/>
    <w:rsid w:val="000655D1"/>
    <w:rsid w:val="00065641"/>
    <w:rsid w:val="0006570A"/>
    <w:rsid w:val="000658CD"/>
    <w:rsid w:val="00065AF7"/>
    <w:rsid w:val="00065B28"/>
    <w:rsid w:val="00065D82"/>
    <w:rsid w:val="00065F28"/>
    <w:rsid w:val="00065FFA"/>
    <w:rsid w:val="00066273"/>
    <w:rsid w:val="00066302"/>
    <w:rsid w:val="00066487"/>
    <w:rsid w:val="00066537"/>
    <w:rsid w:val="000665D8"/>
    <w:rsid w:val="000666D0"/>
    <w:rsid w:val="000668D8"/>
    <w:rsid w:val="00066954"/>
    <w:rsid w:val="00066AE4"/>
    <w:rsid w:val="0006737B"/>
    <w:rsid w:val="0006750E"/>
    <w:rsid w:val="00067609"/>
    <w:rsid w:val="0006760B"/>
    <w:rsid w:val="00067747"/>
    <w:rsid w:val="0006786F"/>
    <w:rsid w:val="00067877"/>
    <w:rsid w:val="000678A5"/>
    <w:rsid w:val="000678B2"/>
    <w:rsid w:val="00067E24"/>
    <w:rsid w:val="0007029B"/>
    <w:rsid w:val="000703AB"/>
    <w:rsid w:val="000705B2"/>
    <w:rsid w:val="000707EC"/>
    <w:rsid w:val="00070AC7"/>
    <w:rsid w:val="00070AE8"/>
    <w:rsid w:val="000711A6"/>
    <w:rsid w:val="0007122A"/>
    <w:rsid w:val="00071459"/>
    <w:rsid w:val="00071690"/>
    <w:rsid w:val="00071784"/>
    <w:rsid w:val="000718D8"/>
    <w:rsid w:val="00071A6D"/>
    <w:rsid w:val="00071D2A"/>
    <w:rsid w:val="00071F97"/>
    <w:rsid w:val="00072200"/>
    <w:rsid w:val="0007237B"/>
    <w:rsid w:val="000723A3"/>
    <w:rsid w:val="000724A0"/>
    <w:rsid w:val="000724E0"/>
    <w:rsid w:val="000724F6"/>
    <w:rsid w:val="00072595"/>
    <w:rsid w:val="00072C55"/>
    <w:rsid w:val="00073AC3"/>
    <w:rsid w:val="00073AF4"/>
    <w:rsid w:val="00073D65"/>
    <w:rsid w:val="00073E51"/>
    <w:rsid w:val="00073F85"/>
    <w:rsid w:val="00074165"/>
    <w:rsid w:val="0007419E"/>
    <w:rsid w:val="0007423C"/>
    <w:rsid w:val="0007455A"/>
    <w:rsid w:val="00074569"/>
    <w:rsid w:val="00074624"/>
    <w:rsid w:val="00074681"/>
    <w:rsid w:val="00074918"/>
    <w:rsid w:val="00074CA5"/>
    <w:rsid w:val="00074CD8"/>
    <w:rsid w:val="00075130"/>
    <w:rsid w:val="000752B6"/>
    <w:rsid w:val="000753B9"/>
    <w:rsid w:val="0007548D"/>
    <w:rsid w:val="000756C5"/>
    <w:rsid w:val="00075763"/>
    <w:rsid w:val="00075867"/>
    <w:rsid w:val="00075C67"/>
    <w:rsid w:val="00075DA9"/>
    <w:rsid w:val="00075E24"/>
    <w:rsid w:val="00075FD4"/>
    <w:rsid w:val="000763EC"/>
    <w:rsid w:val="0007644B"/>
    <w:rsid w:val="00076491"/>
    <w:rsid w:val="00076A50"/>
    <w:rsid w:val="00076C15"/>
    <w:rsid w:val="00076F3D"/>
    <w:rsid w:val="00077693"/>
    <w:rsid w:val="00077BCF"/>
    <w:rsid w:val="00077D96"/>
    <w:rsid w:val="00077DB3"/>
    <w:rsid w:val="00077E17"/>
    <w:rsid w:val="00077E89"/>
    <w:rsid w:val="000801B1"/>
    <w:rsid w:val="000803C1"/>
    <w:rsid w:val="00080AD2"/>
    <w:rsid w:val="00080E28"/>
    <w:rsid w:val="00080FA4"/>
    <w:rsid w:val="00080FD7"/>
    <w:rsid w:val="00081094"/>
    <w:rsid w:val="00081613"/>
    <w:rsid w:val="000816A8"/>
    <w:rsid w:val="00082151"/>
    <w:rsid w:val="000822DA"/>
    <w:rsid w:val="0008238F"/>
    <w:rsid w:val="00082422"/>
    <w:rsid w:val="00082443"/>
    <w:rsid w:val="00082476"/>
    <w:rsid w:val="00082537"/>
    <w:rsid w:val="0008266D"/>
    <w:rsid w:val="00082898"/>
    <w:rsid w:val="0008298C"/>
    <w:rsid w:val="00082C4D"/>
    <w:rsid w:val="00082C87"/>
    <w:rsid w:val="00082FC7"/>
    <w:rsid w:val="00083182"/>
    <w:rsid w:val="0008324F"/>
    <w:rsid w:val="00083401"/>
    <w:rsid w:val="000834AB"/>
    <w:rsid w:val="00083727"/>
    <w:rsid w:val="0008378C"/>
    <w:rsid w:val="00083AC0"/>
    <w:rsid w:val="00083BE9"/>
    <w:rsid w:val="0008402B"/>
    <w:rsid w:val="000843B7"/>
    <w:rsid w:val="00084553"/>
    <w:rsid w:val="0008474B"/>
    <w:rsid w:val="000847A7"/>
    <w:rsid w:val="0008495B"/>
    <w:rsid w:val="00084967"/>
    <w:rsid w:val="00084AE4"/>
    <w:rsid w:val="00084BF1"/>
    <w:rsid w:val="00085A6C"/>
    <w:rsid w:val="00085EB4"/>
    <w:rsid w:val="0008621F"/>
    <w:rsid w:val="00086826"/>
    <w:rsid w:val="00086D33"/>
    <w:rsid w:val="00086ECB"/>
    <w:rsid w:val="00086ED5"/>
    <w:rsid w:val="00087089"/>
    <w:rsid w:val="000877EA"/>
    <w:rsid w:val="0008790E"/>
    <w:rsid w:val="0008796F"/>
    <w:rsid w:val="00087A56"/>
    <w:rsid w:val="00087B39"/>
    <w:rsid w:val="00087DFB"/>
    <w:rsid w:val="00087E31"/>
    <w:rsid w:val="00087E76"/>
    <w:rsid w:val="00090027"/>
    <w:rsid w:val="00090370"/>
    <w:rsid w:val="000903C6"/>
    <w:rsid w:val="000905DF"/>
    <w:rsid w:val="000906BA"/>
    <w:rsid w:val="000906C7"/>
    <w:rsid w:val="000906CB"/>
    <w:rsid w:val="000906F5"/>
    <w:rsid w:val="00090B8D"/>
    <w:rsid w:val="00090BC0"/>
    <w:rsid w:val="00090BC9"/>
    <w:rsid w:val="00090EB1"/>
    <w:rsid w:val="00091015"/>
    <w:rsid w:val="00091052"/>
    <w:rsid w:val="0009114C"/>
    <w:rsid w:val="000913B7"/>
    <w:rsid w:val="000915FA"/>
    <w:rsid w:val="0009163B"/>
    <w:rsid w:val="0009177F"/>
    <w:rsid w:val="000917DE"/>
    <w:rsid w:val="000919AE"/>
    <w:rsid w:val="00091A37"/>
    <w:rsid w:val="00091A83"/>
    <w:rsid w:val="00091A9A"/>
    <w:rsid w:val="00091F6E"/>
    <w:rsid w:val="00091FB0"/>
    <w:rsid w:val="0009243C"/>
    <w:rsid w:val="000924B2"/>
    <w:rsid w:val="000926F4"/>
    <w:rsid w:val="00092922"/>
    <w:rsid w:val="0009293B"/>
    <w:rsid w:val="00093143"/>
    <w:rsid w:val="0009317D"/>
    <w:rsid w:val="000932F2"/>
    <w:rsid w:val="000935D8"/>
    <w:rsid w:val="0009367F"/>
    <w:rsid w:val="00093800"/>
    <w:rsid w:val="00093D22"/>
    <w:rsid w:val="00093E29"/>
    <w:rsid w:val="00093ECC"/>
    <w:rsid w:val="00094172"/>
    <w:rsid w:val="00094390"/>
    <w:rsid w:val="000948B5"/>
    <w:rsid w:val="000948C1"/>
    <w:rsid w:val="00094B11"/>
    <w:rsid w:val="00095038"/>
    <w:rsid w:val="000951E8"/>
    <w:rsid w:val="000953B9"/>
    <w:rsid w:val="000955D9"/>
    <w:rsid w:val="000956BC"/>
    <w:rsid w:val="000959A5"/>
    <w:rsid w:val="00095A2C"/>
    <w:rsid w:val="00095C74"/>
    <w:rsid w:val="00096323"/>
    <w:rsid w:val="00096359"/>
    <w:rsid w:val="0009657F"/>
    <w:rsid w:val="00096652"/>
    <w:rsid w:val="00096659"/>
    <w:rsid w:val="0009688D"/>
    <w:rsid w:val="0009689E"/>
    <w:rsid w:val="00096CA3"/>
    <w:rsid w:val="00096E29"/>
    <w:rsid w:val="00096FB4"/>
    <w:rsid w:val="0009729C"/>
    <w:rsid w:val="000972F0"/>
    <w:rsid w:val="00097632"/>
    <w:rsid w:val="0009771A"/>
    <w:rsid w:val="00097756"/>
    <w:rsid w:val="000977C4"/>
    <w:rsid w:val="00097A09"/>
    <w:rsid w:val="00097D48"/>
    <w:rsid w:val="00097FC9"/>
    <w:rsid w:val="000A02CB"/>
    <w:rsid w:val="000A02F0"/>
    <w:rsid w:val="000A0359"/>
    <w:rsid w:val="000A05A0"/>
    <w:rsid w:val="000A0979"/>
    <w:rsid w:val="000A0B5A"/>
    <w:rsid w:val="000A0E9D"/>
    <w:rsid w:val="000A0F36"/>
    <w:rsid w:val="000A0FD0"/>
    <w:rsid w:val="000A12FF"/>
    <w:rsid w:val="000A1548"/>
    <w:rsid w:val="000A1598"/>
    <w:rsid w:val="000A161D"/>
    <w:rsid w:val="000A17E6"/>
    <w:rsid w:val="000A180B"/>
    <w:rsid w:val="000A1951"/>
    <w:rsid w:val="000A1AE7"/>
    <w:rsid w:val="000A1B09"/>
    <w:rsid w:val="000A1C4E"/>
    <w:rsid w:val="000A2126"/>
    <w:rsid w:val="000A21A3"/>
    <w:rsid w:val="000A245A"/>
    <w:rsid w:val="000A2516"/>
    <w:rsid w:val="000A26CC"/>
    <w:rsid w:val="000A2C0D"/>
    <w:rsid w:val="000A2F00"/>
    <w:rsid w:val="000A3136"/>
    <w:rsid w:val="000A323E"/>
    <w:rsid w:val="000A325B"/>
    <w:rsid w:val="000A32D5"/>
    <w:rsid w:val="000A3370"/>
    <w:rsid w:val="000A339D"/>
    <w:rsid w:val="000A3484"/>
    <w:rsid w:val="000A34A4"/>
    <w:rsid w:val="000A36B7"/>
    <w:rsid w:val="000A379E"/>
    <w:rsid w:val="000A3895"/>
    <w:rsid w:val="000A3CB5"/>
    <w:rsid w:val="000A3D41"/>
    <w:rsid w:val="000A3D4C"/>
    <w:rsid w:val="000A3EAA"/>
    <w:rsid w:val="000A4460"/>
    <w:rsid w:val="000A4474"/>
    <w:rsid w:val="000A4493"/>
    <w:rsid w:val="000A465A"/>
    <w:rsid w:val="000A4878"/>
    <w:rsid w:val="000A4A26"/>
    <w:rsid w:val="000A4F55"/>
    <w:rsid w:val="000A53AC"/>
    <w:rsid w:val="000A53EB"/>
    <w:rsid w:val="000A5A70"/>
    <w:rsid w:val="000A5CDB"/>
    <w:rsid w:val="000A5F7A"/>
    <w:rsid w:val="000A612B"/>
    <w:rsid w:val="000A65E1"/>
    <w:rsid w:val="000A6618"/>
    <w:rsid w:val="000A67C1"/>
    <w:rsid w:val="000A67F8"/>
    <w:rsid w:val="000A68E2"/>
    <w:rsid w:val="000A6914"/>
    <w:rsid w:val="000A692C"/>
    <w:rsid w:val="000A6C44"/>
    <w:rsid w:val="000A6C8C"/>
    <w:rsid w:val="000A6E64"/>
    <w:rsid w:val="000A70C7"/>
    <w:rsid w:val="000A72EA"/>
    <w:rsid w:val="000A7546"/>
    <w:rsid w:val="000A790E"/>
    <w:rsid w:val="000A7BA6"/>
    <w:rsid w:val="000A7D03"/>
    <w:rsid w:val="000A7D36"/>
    <w:rsid w:val="000A7FBC"/>
    <w:rsid w:val="000B0123"/>
    <w:rsid w:val="000B01A3"/>
    <w:rsid w:val="000B029F"/>
    <w:rsid w:val="000B0652"/>
    <w:rsid w:val="000B0B72"/>
    <w:rsid w:val="000B0B9D"/>
    <w:rsid w:val="000B0C78"/>
    <w:rsid w:val="000B0D52"/>
    <w:rsid w:val="000B0E0F"/>
    <w:rsid w:val="000B13A3"/>
    <w:rsid w:val="000B15ED"/>
    <w:rsid w:val="000B15FB"/>
    <w:rsid w:val="000B16CD"/>
    <w:rsid w:val="000B1731"/>
    <w:rsid w:val="000B1C18"/>
    <w:rsid w:val="000B1C25"/>
    <w:rsid w:val="000B1D60"/>
    <w:rsid w:val="000B1E63"/>
    <w:rsid w:val="000B2113"/>
    <w:rsid w:val="000B2150"/>
    <w:rsid w:val="000B24EF"/>
    <w:rsid w:val="000B24F1"/>
    <w:rsid w:val="000B2BCF"/>
    <w:rsid w:val="000B32A5"/>
    <w:rsid w:val="000B32D7"/>
    <w:rsid w:val="000B347E"/>
    <w:rsid w:val="000B354B"/>
    <w:rsid w:val="000B35A0"/>
    <w:rsid w:val="000B3682"/>
    <w:rsid w:val="000B3708"/>
    <w:rsid w:val="000B3A23"/>
    <w:rsid w:val="000B3E33"/>
    <w:rsid w:val="000B3E7E"/>
    <w:rsid w:val="000B3EDD"/>
    <w:rsid w:val="000B3EFC"/>
    <w:rsid w:val="000B3FFF"/>
    <w:rsid w:val="000B43CA"/>
    <w:rsid w:val="000B4666"/>
    <w:rsid w:val="000B47A5"/>
    <w:rsid w:val="000B4A91"/>
    <w:rsid w:val="000B4B57"/>
    <w:rsid w:val="000B4E3B"/>
    <w:rsid w:val="000B4FAB"/>
    <w:rsid w:val="000B547D"/>
    <w:rsid w:val="000B5782"/>
    <w:rsid w:val="000B583C"/>
    <w:rsid w:val="000B5AA6"/>
    <w:rsid w:val="000B5C03"/>
    <w:rsid w:val="000B5D91"/>
    <w:rsid w:val="000B64AF"/>
    <w:rsid w:val="000B65D6"/>
    <w:rsid w:val="000B6866"/>
    <w:rsid w:val="000B6AC7"/>
    <w:rsid w:val="000B6AE9"/>
    <w:rsid w:val="000B6B3F"/>
    <w:rsid w:val="000B71D5"/>
    <w:rsid w:val="000B7260"/>
    <w:rsid w:val="000B7276"/>
    <w:rsid w:val="000B73B5"/>
    <w:rsid w:val="000B7545"/>
    <w:rsid w:val="000B75B2"/>
    <w:rsid w:val="000B769E"/>
    <w:rsid w:val="000B7834"/>
    <w:rsid w:val="000B7928"/>
    <w:rsid w:val="000B7AC3"/>
    <w:rsid w:val="000B7ED7"/>
    <w:rsid w:val="000C0090"/>
    <w:rsid w:val="000C02CD"/>
    <w:rsid w:val="000C056A"/>
    <w:rsid w:val="000C0D7C"/>
    <w:rsid w:val="000C0D8D"/>
    <w:rsid w:val="000C10F9"/>
    <w:rsid w:val="000C1239"/>
    <w:rsid w:val="000C1282"/>
    <w:rsid w:val="000C1380"/>
    <w:rsid w:val="000C15E1"/>
    <w:rsid w:val="000C17E3"/>
    <w:rsid w:val="000C197A"/>
    <w:rsid w:val="000C1CBF"/>
    <w:rsid w:val="000C1DF4"/>
    <w:rsid w:val="000C1E35"/>
    <w:rsid w:val="000C1FA2"/>
    <w:rsid w:val="000C20F4"/>
    <w:rsid w:val="000C2179"/>
    <w:rsid w:val="000C223A"/>
    <w:rsid w:val="000C2695"/>
    <w:rsid w:val="000C2AFA"/>
    <w:rsid w:val="000C2CC1"/>
    <w:rsid w:val="000C2DBA"/>
    <w:rsid w:val="000C2E40"/>
    <w:rsid w:val="000C2ED7"/>
    <w:rsid w:val="000C2EE7"/>
    <w:rsid w:val="000C30EB"/>
    <w:rsid w:val="000C3237"/>
    <w:rsid w:val="000C3293"/>
    <w:rsid w:val="000C34C6"/>
    <w:rsid w:val="000C353B"/>
    <w:rsid w:val="000C3574"/>
    <w:rsid w:val="000C36BF"/>
    <w:rsid w:val="000C3B1F"/>
    <w:rsid w:val="000C3C74"/>
    <w:rsid w:val="000C3CF6"/>
    <w:rsid w:val="000C3CFB"/>
    <w:rsid w:val="000C3EEE"/>
    <w:rsid w:val="000C3FB9"/>
    <w:rsid w:val="000C412D"/>
    <w:rsid w:val="000C4176"/>
    <w:rsid w:val="000C450C"/>
    <w:rsid w:val="000C450F"/>
    <w:rsid w:val="000C4525"/>
    <w:rsid w:val="000C4642"/>
    <w:rsid w:val="000C4714"/>
    <w:rsid w:val="000C481A"/>
    <w:rsid w:val="000C48A2"/>
    <w:rsid w:val="000C48AF"/>
    <w:rsid w:val="000C49AF"/>
    <w:rsid w:val="000C4BDE"/>
    <w:rsid w:val="000C4CAB"/>
    <w:rsid w:val="000C4DF9"/>
    <w:rsid w:val="000C5678"/>
    <w:rsid w:val="000C5960"/>
    <w:rsid w:val="000C5969"/>
    <w:rsid w:val="000C5B88"/>
    <w:rsid w:val="000C5BAB"/>
    <w:rsid w:val="000C5C34"/>
    <w:rsid w:val="000C6207"/>
    <w:rsid w:val="000C6364"/>
    <w:rsid w:val="000C6441"/>
    <w:rsid w:val="000C65A0"/>
    <w:rsid w:val="000C65AD"/>
    <w:rsid w:val="000C65CB"/>
    <w:rsid w:val="000C682D"/>
    <w:rsid w:val="000C690C"/>
    <w:rsid w:val="000C6FDD"/>
    <w:rsid w:val="000C7234"/>
    <w:rsid w:val="000C72FA"/>
    <w:rsid w:val="000C7468"/>
    <w:rsid w:val="000C74EF"/>
    <w:rsid w:val="000C7BCF"/>
    <w:rsid w:val="000C7C04"/>
    <w:rsid w:val="000C7D0B"/>
    <w:rsid w:val="000C7D73"/>
    <w:rsid w:val="000C7F05"/>
    <w:rsid w:val="000C7F4E"/>
    <w:rsid w:val="000D009B"/>
    <w:rsid w:val="000D0356"/>
    <w:rsid w:val="000D071F"/>
    <w:rsid w:val="000D07DF"/>
    <w:rsid w:val="000D096A"/>
    <w:rsid w:val="000D0B6F"/>
    <w:rsid w:val="000D1102"/>
    <w:rsid w:val="000D122D"/>
    <w:rsid w:val="000D1353"/>
    <w:rsid w:val="000D160C"/>
    <w:rsid w:val="000D1829"/>
    <w:rsid w:val="000D191F"/>
    <w:rsid w:val="000D1972"/>
    <w:rsid w:val="000D1A68"/>
    <w:rsid w:val="000D1AAB"/>
    <w:rsid w:val="000D1E92"/>
    <w:rsid w:val="000D1F47"/>
    <w:rsid w:val="000D1FC8"/>
    <w:rsid w:val="000D2002"/>
    <w:rsid w:val="000D216B"/>
    <w:rsid w:val="000D244B"/>
    <w:rsid w:val="000D2559"/>
    <w:rsid w:val="000D2568"/>
    <w:rsid w:val="000D2ABA"/>
    <w:rsid w:val="000D2B12"/>
    <w:rsid w:val="000D2B9B"/>
    <w:rsid w:val="000D2BE6"/>
    <w:rsid w:val="000D2CA1"/>
    <w:rsid w:val="000D2CA9"/>
    <w:rsid w:val="000D2D96"/>
    <w:rsid w:val="000D30B0"/>
    <w:rsid w:val="000D314A"/>
    <w:rsid w:val="000D32C2"/>
    <w:rsid w:val="000D33C9"/>
    <w:rsid w:val="000D3416"/>
    <w:rsid w:val="000D35AA"/>
    <w:rsid w:val="000D3869"/>
    <w:rsid w:val="000D3AA8"/>
    <w:rsid w:val="000D3B6C"/>
    <w:rsid w:val="000D3ED6"/>
    <w:rsid w:val="000D4134"/>
    <w:rsid w:val="000D43FF"/>
    <w:rsid w:val="000D444B"/>
    <w:rsid w:val="000D458B"/>
    <w:rsid w:val="000D4759"/>
    <w:rsid w:val="000D487A"/>
    <w:rsid w:val="000D496D"/>
    <w:rsid w:val="000D4B06"/>
    <w:rsid w:val="000D5088"/>
    <w:rsid w:val="000D517B"/>
    <w:rsid w:val="000D53C6"/>
    <w:rsid w:val="000D5467"/>
    <w:rsid w:val="000D59AF"/>
    <w:rsid w:val="000D5A20"/>
    <w:rsid w:val="000D5B66"/>
    <w:rsid w:val="000D5F08"/>
    <w:rsid w:val="000D5FF8"/>
    <w:rsid w:val="000D6212"/>
    <w:rsid w:val="000D628C"/>
    <w:rsid w:val="000D62F5"/>
    <w:rsid w:val="000D6416"/>
    <w:rsid w:val="000D6494"/>
    <w:rsid w:val="000D6550"/>
    <w:rsid w:val="000D68C6"/>
    <w:rsid w:val="000D6930"/>
    <w:rsid w:val="000D6948"/>
    <w:rsid w:val="000D695A"/>
    <w:rsid w:val="000D6A7A"/>
    <w:rsid w:val="000D6EFE"/>
    <w:rsid w:val="000D7181"/>
    <w:rsid w:val="000D71A3"/>
    <w:rsid w:val="000D73F9"/>
    <w:rsid w:val="000D7536"/>
    <w:rsid w:val="000D75FD"/>
    <w:rsid w:val="000D7A9F"/>
    <w:rsid w:val="000D7BE9"/>
    <w:rsid w:val="000D7F0C"/>
    <w:rsid w:val="000D7F2D"/>
    <w:rsid w:val="000E01D1"/>
    <w:rsid w:val="000E05FA"/>
    <w:rsid w:val="000E06E6"/>
    <w:rsid w:val="000E087C"/>
    <w:rsid w:val="000E08FE"/>
    <w:rsid w:val="000E0920"/>
    <w:rsid w:val="000E0C94"/>
    <w:rsid w:val="000E0F9A"/>
    <w:rsid w:val="000E0FA8"/>
    <w:rsid w:val="000E15C1"/>
    <w:rsid w:val="000E1934"/>
    <w:rsid w:val="000E2088"/>
    <w:rsid w:val="000E2112"/>
    <w:rsid w:val="000E228D"/>
    <w:rsid w:val="000E2543"/>
    <w:rsid w:val="000E256C"/>
    <w:rsid w:val="000E25A0"/>
    <w:rsid w:val="000E2622"/>
    <w:rsid w:val="000E2801"/>
    <w:rsid w:val="000E2C98"/>
    <w:rsid w:val="000E2E7A"/>
    <w:rsid w:val="000E30C0"/>
    <w:rsid w:val="000E30E9"/>
    <w:rsid w:val="000E33F6"/>
    <w:rsid w:val="000E349E"/>
    <w:rsid w:val="000E360D"/>
    <w:rsid w:val="000E3875"/>
    <w:rsid w:val="000E3880"/>
    <w:rsid w:val="000E3A88"/>
    <w:rsid w:val="000E3B16"/>
    <w:rsid w:val="000E3B71"/>
    <w:rsid w:val="000E3B7F"/>
    <w:rsid w:val="000E3BAA"/>
    <w:rsid w:val="000E3FFD"/>
    <w:rsid w:val="000E40FE"/>
    <w:rsid w:val="000E467F"/>
    <w:rsid w:val="000E46C3"/>
    <w:rsid w:val="000E478D"/>
    <w:rsid w:val="000E47CD"/>
    <w:rsid w:val="000E487D"/>
    <w:rsid w:val="000E4DE8"/>
    <w:rsid w:val="000E5137"/>
    <w:rsid w:val="000E51A5"/>
    <w:rsid w:val="000E54A5"/>
    <w:rsid w:val="000E58C6"/>
    <w:rsid w:val="000E59F8"/>
    <w:rsid w:val="000E5BD0"/>
    <w:rsid w:val="000E5EBA"/>
    <w:rsid w:val="000E6048"/>
    <w:rsid w:val="000E619C"/>
    <w:rsid w:val="000E6464"/>
    <w:rsid w:val="000E64DD"/>
    <w:rsid w:val="000E66DD"/>
    <w:rsid w:val="000E674D"/>
    <w:rsid w:val="000E6877"/>
    <w:rsid w:val="000E68B6"/>
    <w:rsid w:val="000E6911"/>
    <w:rsid w:val="000E6BD9"/>
    <w:rsid w:val="000E6EAB"/>
    <w:rsid w:val="000E7471"/>
    <w:rsid w:val="000E7538"/>
    <w:rsid w:val="000E7557"/>
    <w:rsid w:val="000E7643"/>
    <w:rsid w:val="000E7973"/>
    <w:rsid w:val="000E7E64"/>
    <w:rsid w:val="000E7E85"/>
    <w:rsid w:val="000F0023"/>
    <w:rsid w:val="000F00C1"/>
    <w:rsid w:val="000F0141"/>
    <w:rsid w:val="000F021E"/>
    <w:rsid w:val="000F032D"/>
    <w:rsid w:val="000F05B1"/>
    <w:rsid w:val="000F0692"/>
    <w:rsid w:val="000F086D"/>
    <w:rsid w:val="000F090A"/>
    <w:rsid w:val="000F09D5"/>
    <w:rsid w:val="000F0D0D"/>
    <w:rsid w:val="000F0D85"/>
    <w:rsid w:val="000F0F62"/>
    <w:rsid w:val="000F104B"/>
    <w:rsid w:val="000F1182"/>
    <w:rsid w:val="000F137A"/>
    <w:rsid w:val="000F13B7"/>
    <w:rsid w:val="000F152A"/>
    <w:rsid w:val="000F210A"/>
    <w:rsid w:val="000F2731"/>
    <w:rsid w:val="000F2920"/>
    <w:rsid w:val="000F2942"/>
    <w:rsid w:val="000F2BC4"/>
    <w:rsid w:val="000F2CE0"/>
    <w:rsid w:val="000F2D8C"/>
    <w:rsid w:val="000F31B4"/>
    <w:rsid w:val="000F3A2B"/>
    <w:rsid w:val="000F3E05"/>
    <w:rsid w:val="000F3E5D"/>
    <w:rsid w:val="000F3E64"/>
    <w:rsid w:val="000F42C4"/>
    <w:rsid w:val="000F446F"/>
    <w:rsid w:val="000F4B99"/>
    <w:rsid w:val="000F4C56"/>
    <w:rsid w:val="000F4F21"/>
    <w:rsid w:val="000F503C"/>
    <w:rsid w:val="000F569E"/>
    <w:rsid w:val="000F584E"/>
    <w:rsid w:val="000F5915"/>
    <w:rsid w:val="000F59B4"/>
    <w:rsid w:val="000F59BE"/>
    <w:rsid w:val="000F5DD8"/>
    <w:rsid w:val="000F62C7"/>
    <w:rsid w:val="000F693D"/>
    <w:rsid w:val="000F6990"/>
    <w:rsid w:val="000F6A92"/>
    <w:rsid w:val="000F6B0D"/>
    <w:rsid w:val="000F6D3B"/>
    <w:rsid w:val="000F6DED"/>
    <w:rsid w:val="000F6E3A"/>
    <w:rsid w:val="000F735D"/>
    <w:rsid w:val="000F74EB"/>
    <w:rsid w:val="000F760D"/>
    <w:rsid w:val="000F7BEA"/>
    <w:rsid w:val="000F7D12"/>
    <w:rsid w:val="000F7E15"/>
    <w:rsid w:val="00100296"/>
    <w:rsid w:val="001002FB"/>
    <w:rsid w:val="001004D7"/>
    <w:rsid w:val="00100561"/>
    <w:rsid w:val="00100D7B"/>
    <w:rsid w:val="00101040"/>
    <w:rsid w:val="0010115B"/>
    <w:rsid w:val="001012B5"/>
    <w:rsid w:val="0010136F"/>
    <w:rsid w:val="00101425"/>
    <w:rsid w:val="0010165F"/>
    <w:rsid w:val="0010198A"/>
    <w:rsid w:val="00101FC4"/>
    <w:rsid w:val="00102059"/>
    <w:rsid w:val="0010215F"/>
    <w:rsid w:val="0010249D"/>
    <w:rsid w:val="001024B9"/>
    <w:rsid w:val="00102544"/>
    <w:rsid w:val="001026D9"/>
    <w:rsid w:val="00102805"/>
    <w:rsid w:val="00102921"/>
    <w:rsid w:val="00102C6B"/>
    <w:rsid w:val="00102CF1"/>
    <w:rsid w:val="00102D40"/>
    <w:rsid w:val="001030E2"/>
    <w:rsid w:val="0010329D"/>
    <w:rsid w:val="001033D2"/>
    <w:rsid w:val="00103487"/>
    <w:rsid w:val="001038BD"/>
    <w:rsid w:val="00103DDA"/>
    <w:rsid w:val="001044E8"/>
    <w:rsid w:val="00104996"/>
    <w:rsid w:val="00104A81"/>
    <w:rsid w:val="00104BB6"/>
    <w:rsid w:val="00104CF2"/>
    <w:rsid w:val="00104F1A"/>
    <w:rsid w:val="0010502F"/>
    <w:rsid w:val="00105035"/>
    <w:rsid w:val="00105508"/>
    <w:rsid w:val="00105708"/>
    <w:rsid w:val="00105859"/>
    <w:rsid w:val="00105891"/>
    <w:rsid w:val="00105A0C"/>
    <w:rsid w:val="00105BDB"/>
    <w:rsid w:val="0010604A"/>
    <w:rsid w:val="00106327"/>
    <w:rsid w:val="00106BB8"/>
    <w:rsid w:val="00106E46"/>
    <w:rsid w:val="00107163"/>
    <w:rsid w:val="0010723F"/>
    <w:rsid w:val="001075FB"/>
    <w:rsid w:val="001076DB"/>
    <w:rsid w:val="001076EB"/>
    <w:rsid w:val="0010772F"/>
    <w:rsid w:val="00107956"/>
    <w:rsid w:val="00107B61"/>
    <w:rsid w:val="00107E57"/>
    <w:rsid w:val="0011017B"/>
    <w:rsid w:val="001103D0"/>
    <w:rsid w:val="0011059F"/>
    <w:rsid w:val="001107C8"/>
    <w:rsid w:val="00110828"/>
    <w:rsid w:val="00110995"/>
    <w:rsid w:val="00110C01"/>
    <w:rsid w:val="00110CBA"/>
    <w:rsid w:val="00110E25"/>
    <w:rsid w:val="00110FE2"/>
    <w:rsid w:val="00111139"/>
    <w:rsid w:val="0011131B"/>
    <w:rsid w:val="0011151F"/>
    <w:rsid w:val="0011199F"/>
    <w:rsid w:val="001119C2"/>
    <w:rsid w:val="00111B40"/>
    <w:rsid w:val="00111B73"/>
    <w:rsid w:val="001122D9"/>
    <w:rsid w:val="001122F0"/>
    <w:rsid w:val="001123B8"/>
    <w:rsid w:val="001124E5"/>
    <w:rsid w:val="0011258F"/>
    <w:rsid w:val="0011270B"/>
    <w:rsid w:val="001127B3"/>
    <w:rsid w:val="0011281F"/>
    <w:rsid w:val="00112924"/>
    <w:rsid w:val="00112A13"/>
    <w:rsid w:val="00112A49"/>
    <w:rsid w:val="00112A6D"/>
    <w:rsid w:val="00112FD3"/>
    <w:rsid w:val="0011309B"/>
    <w:rsid w:val="00113275"/>
    <w:rsid w:val="0011335F"/>
    <w:rsid w:val="001135A8"/>
    <w:rsid w:val="001135AE"/>
    <w:rsid w:val="0011375E"/>
    <w:rsid w:val="001137FD"/>
    <w:rsid w:val="00113A86"/>
    <w:rsid w:val="00113B4E"/>
    <w:rsid w:val="00113B53"/>
    <w:rsid w:val="00113BE4"/>
    <w:rsid w:val="00113CE7"/>
    <w:rsid w:val="00113DC6"/>
    <w:rsid w:val="00113F50"/>
    <w:rsid w:val="0011417E"/>
    <w:rsid w:val="001142FB"/>
    <w:rsid w:val="00114CFA"/>
    <w:rsid w:val="00114D67"/>
    <w:rsid w:val="00114F2A"/>
    <w:rsid w:val="001151CB"/>
    <w:rsid w:val="001152BD"/>
    <w:rsid w:val="00115618"/>
    <w:rsid w:val="00115683"/>
    <w:rsid w:val="00115B72"/>
    <w:rsid w:val="00115FE7"/>
    <w:rsid w:val="00116065"/>
    <w:rsid w:val="00116401"/>
    <w:rsid w:val="00116621"/>
    <w:rsid w:val="0011668B"/>
    <w:rsid w:val="00116794"/>
    <w:rsid w:val="00116986"/>
    <w:rsid w:val="00116D83"/>
    <w:rsid w:val="00117095"/>
    <w:rsid w:val="00117237"/>
    <w:rsid w:val="00117773"/>
    <w:rsid w:val="001177AF"/>
    <w:rsid w:val="00117C7A"/>
    <w:rsid w:val="00117D56"/>
    <w:rsid w:val="00117E23"/>
    <w:rsid w:val="00120419"/>
    <w:rsid w:val="00120775"/>
    <w:rsid w:val="0012092B"/>
    <w:rsid w:val="00120938"/>
    <w:rsid w:val="00120945"/>
    <w:rsid w:val="0012132B"/>
    <w:rsid w:val="001214D8"/>
    <w:rsid w:val="00121559"/>
    <w:rsid w:val="00121630"/>
    <w:rsid w:val="001219F4"/>
    <w:rsid w:val="00121C9C"/>
    <w:rsid w:val="00121D59"/>
    <w:rsid w:val="00121F42"/>
    <w:rsid w:val="0012206B"/>
    <w:rsid w:val="001221DC"/>
    <w:rsid w:val="0012242C"/>
    <w:rsid w:val="00122444"/>
    <w:rsid w:val="001224A1"/>
    <w:rsid w:val="00122554"/>
    <w:rsid w:val="00122593"/>
    <w:rsid w:val="00122A7B"/>
    <w:rsid w:val="00122EA6"/>
    <w:rsid w:val="001232CF"/>
    <w:rsid w:val="00123305"/>
    <w:rsid w:val="00123521"/>
    <w:rsid w:val="001237CB"/>
    <w:rsid w:val="00123955"/>
    <w:rsid w:val="001239C3"/>
    <w:rsid w:val="00123AF6"/>
    <w:rsid w:val="00123B34"/>
    <w:rsid w:val="00123D73"/>
    <w:rsid w:val="00123EDD"/>
    <w:rsid w:val="00123F76"/>
    <w:rsid w:val="00123F9C"/>
    <w:rsid w:val="00124157"/>
    <w:rsid w:val="001241A5"/>
    <w:rsid w:val="0012488C"/>
    <w:rsid w:val="00124A91"/>
    <w:rsid w:val="00124BE1"/>
    <w:rsid w:val="00124C08"/>
    <w:rsid w:val="00125121"/>
    <w:rsid w:val="001252E7"/>
    <w:rsid w:val="00125408"/>
    <w:rsid w:val="0012543B"/>
    <w:rsid w:val="00125761"/>
    <w:rsid w:val="00125989"/>
    <w:rsid w:val="00125B17"/>
    <w:rsid w:val="00125B20"/>
    <w:rsid w:val="00125B48"/>
    <w:rsid w:val="00125C9E"/>
    <w:rsid w:val="00125DCC"/>
    <w:rsid w:val="00126070"/>
    <w:rsid w:val="001260FD"/>
    <w:rsid w:val="0012652D"/>
    <w:rsid w:val="00126676"/>
    <w:rsid w:val="001267DA"/>
    <w:rsid w:val="00126896"/>
    <w:rsid w:val="00126F46"/>
    <w:rsid w:val="00127281"/>
    <w:rsid w:val="001273E2"/>
    <w:rsid w:val="00127484"/>
    <w:rsid w:val="001274D7"/>
    <w:rsid w:val="00127505"/>
    <w:rsid w:val="001279FE"/>
    <w:rsid w:val="00127EC2"/>
    <w:rsid w:val="00130136"/>
    <w:rsid w:val="001305C2"/>
    <w:rsid w:val="001305F0"/>
    <w:rsid w:val="001308DF"/>
    <w:rsid w:val="00130A33"/>
    <w:rsid w:val="00130A8B"/>
    <w:rsid w:val="00130C2D"/>
    <w:rsid w:val="00130C98"/>
    <w:rsid w:val="00130E37"/>
    <w:rsid w:val="00131739"/>
    <w:rsid w:val="001317F0"/>
    <w:rsid w:val="0013182E"/>
    <w:rsid w:val="001318D4"/>
    <w:rsid w:val="00131999"/>
    <w:rsid w:val="00131D16"/>
    <w:rsid w:val="001321A5"/>
    <w:rsid w:val="00132200"/>
    <w:rsid w:val="00132622"/>
    <w:rsid w:val="00132757"/>
    <w:rsid w:val="00132864"/>
    <w:rsid w:val="001328D2"/>
    <w:rsid w:val="00132900"/>
    <w:rsid w:val="001329CC"/>
    <w:rsid w:val="00132C50"/>
    <w:rsid w:val="00132CB8"/>
    <w:rsid w:val="00132E23"/>
    <w:rsid w:val="00132F66"/>
    <w:rsid w:val="001332C9"/>
    <w:rsid w:val="00133604"/>
    <w:rsid w:val="00133A52"/>
    <w:rsid w:val="00134012"/>
    <w:rsid w:val="001340B6"/>
    <w:rsid w:val="00134631"/>
    <w:rsid w:val="00134687"/>
    <w:rsid w:val="001348D3"/>
    <w:rsid w:val="00134957"/>
    <w:rsid w:val="00134AB0"/>
    <w:rsid w:val="00134ACE"/>
    <w:rsid w:val="00134B1A"/>
    <w:rsid w:val="00134B39"/>
    <w:rsid w:val="00134C2E"/>
    <w:rsid w:val="00134CC4"/>
    <w:rsid w:val="00134DFB"/>
    <w:rsid w:val="00134FA6"/>
    <w:rsid w:val="00135002"/>
    <w:rsid w:val="001350AB"/>
    <w:rsid w:val="001350D7"/>
    <w:rsid w:val="001352E2"/>
    <w:rsid w:val="0013535B"/>
    <w:rsid w:val="00135391"/>
    <w:rsid w:val="0013549C"/>
    <w:rsid w:val="0013558B"/>
    <w:rsid w:val="001356B3"/>
    <w:rsid w:val="00135741"/>
    <w:rsid w:val="001359AF"/>
    <w:rsid w:val="00135A97"/>
    <w:rsid w:val="00135B1F"/>
    <w:rsid w:val="00135CC7"/>
    <w:rsid w:val="00135DF0"/>
    <w:rsid w:val="00135FDD"/>
    <w:rsid w:val="001361E5"/>
    <w:rsid w:val="001365EB"/>
    <w:rsid w:val="00136970"/>
    <w:rsid w:val="00136A4C"/>
    <w:rsid w:val="00136F02"/>
    <w:rsid w:val="0013714E"/>
    <w:rsid w:val="00137293"/>
    <w:rsid w:val="0013763A"/>
    <w:rsid w:val="00137C80"/>
    <w:rsid w:val="00137C9D"/>
    <w:rsid w:val="00137DAC"/>
    <w:rsid w:val="00137FBC"/>
    <w:rsid w:val="001404F5"/>
    <w:rsid w:val="001405A6"/>
    <w:rsid w:val="0014075E"/>
    <w:rsid w:val="00140DBC"/>
    <w:rsid w:val="00140E6F"/>
    <w:rsid w:val="001413AC"/>
    <w:rsid w:val="001416DA"/>
    <w:rsid w:val="00141734"/>
    <w:rsid w:val="00141788"/>
    <w:rsid w:val="00141822"/>
    <w:rsid w:val="0014208D"/>
    <w:rsid w:val="001421DB"/>
    <w:rsid w:val="00142335"/>
    <w:rsid w:val="00142396"/>
    <w:rsid w:val="0014265F"/>
    <w:rsid w:val="001426B7"/>
    <w:rsid w:val="00142730"/>
    <w:rsid w:val="001427B3"/>
    <w:rsid w:val="00142971"/>
    <w:rsid w:val="0014318A"/>
    <w:rsid w:val="00143221"/>
    <w:rsid w:val="00143236"/>
    <w:rsid w:val="0014323E"/>
    <w:rsid w:val="0014334D"/>
    <w:rsid w:val="0014386A"/>
    <w:rsid w:val="00143906"/>
    <w:rsid w:val="00143C38"/>
    <w:rsid w:val="00143C98"/>
    <w:rsid w:val="00144474"/>
    <w:rsid w:val="0014472B"/>
    <w:rsid w:val="001447FE"/>
    <w:rsid w:val="00144859"/>
    <w:rsid w:val="001448E4"/>
    <w:rsid w:val="00144962"/>
    <w:rsid w:val="00144E0E"/>
    <w:rsid w:val="00144F85"/>
    <w:rsid w:val="00144F90"/>
    <w:rsid w:val="00145198"/>
    <w:rsid w:val="0014533A"/>
    <w:rsid w:val="001459CF"/>
    <w:rsid w:val="00145ADC"/>
    <w:rsid w:val="00145BB9"/>
    <w:rsid w:val="00145BCB"/>
    <w:rsid w:val="00145CCC"/>
    <w:rsid w:val="00145E38"/>
    <w:rsid w:val="00145E75"/>
    <w:rsid w:val="00145F33"/>
    <w:rsid w:val="00146012"/>
    <w:rsid w:val="001465EE"/>
    <w:rsid w:val="0014670C"/>
    <w:rsid w:val="00146A64"/>
    <w:rsid w:val="00146AFD"/>
    <w:rsid w:val="00146E56"/>
    <w:rsid w:val="00146EFF"/>
    <w:rsid w:val="00146F43"/>
    <w:rsid w:val="001470E4"/>
    <w:rsid w:val="001470EA"/>
    <w:rsid w:val="00147199"/>
    <w:rsid w:val="00147243"/>
    <w:rsid w:val="001474E7"/>
    <w:rsid w:val="00147503"/>
    <w:rsid w:val="00147599"/>
    <w:rsid w:val="001478D8"/>
    <w:rsid w:val="001479FF"/>
    <w:rsid w:val="00147B3D"/>
    <w:rsid w:val="00147C11"/>
    <w:rsid w:val="00147D1F"/>
    <w:rsid w:val="00147DBA"/>
    <w:rsid w:val="00147DE4"/>
    <w:rsid w:val="001501D9"/>
    <w:rsid w:val="00150605"/>
    <w:rsid w:val="00150610"/>
    <w:rsid w:val="001506A1"/>
    <w:rsid w:val="001507AF"/>
    <w:rsid w:val="00150B78"/>
    <w:rsid w:val="00150C46"/>
    <w:rsid w:val="00150F1A"/>
    <w:rsid w:val="0015109D"/>
    <w:rsid w:val="001513D7"/>
    <w:rsid w:val="001515CE"/>
    <w:rsid w:val="0015178B"/>
    <w:rsid w:val="001517D9"/>
    <w:rsid w:val="0015184C"/>
    <w:rsid w:val="00151BD4"/>
    <w:rsid w:val="00151F25"/>
    <w:rsid w:val="00151FAB"/>
    <w:rsid w:val="00152385"/>
    <w:rsid w:val="001523BE"/>
    <w:rsid w:val="001525EE"/>
    <w:rsid w:val="00152BAC"/>
    <w:rsid w:val="00152CC6"/>
    <w:rsid w:val="00152D10"/>
    <w:rsid w:val="00152F19"/>
    <w:rsid w:val="00153266"/>
    <w:rsid w:val="0015331B"/>
    <w:rsid w:val="00153688"/>
    <w:rsid w:val="00153726"/>
    <w:rsid w:val="00153A10"/>
    <w:rsid w:val="00153C53"/>
    <w:rsid w:val="00154762"/>
    <w:rsid w:val="001547E7"/>
    <w:rsid w:val="00154A29"/>
    <w:rsid w:val="00155007"/>
    <w:rsid w:val="001551FA"/>
    <w:rsid w:val="001551FD"/>
    <w:rsid w:val="0015543F"/>
    <w:rsid w:val="001555D7"/>
    <w:rsid w:val="00155719"/>
    <w:rsid w:val="00155C44"/>
    <w:rsid w:val="00155C9C"/>
    <w:rsid w:val="00155EAA"/>
    <w:rsid w:val="001561DD"/>
    <w:rsid w:val="00156374"/>
    <w:rsid w:val="0015653C"/>
    <w:rsid w:val="001567AE"/>
    <w:rsid w:val="0015680C"/>
    <w:rsid w:val="001569A3"/>
    <w:rsid w:val="00156A95"/>
    <w:rsid w:val="00156D49"/>
    <w:rsid w:val="00156D9C"/>
    <w:rsid w:val="00157261"/>
    <w:rsid w:val="001572D5"/>
    <w:rsid w:val="0015732D"/>
    <w:rsid w:val="00157729"/>
    <w:rsid w:val="00157C22"/>
    <w:rsid w:val="00157D15"/>
    <w:rsid w:val="00160120"/>
    <w:rsid w:val="00160245"/>
    <w:rsid w:val="001604DF"/>
    <w:rsid w:val="0016057E"/>
    <w:rsid w:val="001606AD"/>
    <w:rsid w:val="00160803"/>
    <w:rsid w:val="00160854"/>
    <w:rsid w:val="001608F7"/>
    <w:rsid w:val="00160982"/>
    <w:rsid w:val="00160E20"/>
    <w:rsid w:val="00160F0B"/>
    <w:rsid w:val="00160F35"/>
    <w:rsid w:val="00160F95"/>
    <w:rsid w:val="001612E2"/>
    <w:rsid w:val="001613A0"/>
    <w:rsid w:val="0016166C"/>
    <w:rsid w:val="0016178E"/>
    <w:rsid w:val="001618CF"/>
    <w:rsid w:val="00162391"/>
    <w:rsid w:val="0016243F"/>
    <w:rsid w:val="0016248D"/>
    <w:rsid w:val="001624FE"/>
    <w:rsid w:val="001625A3"/>
    <w:rsid w:val="001625B1"/>
    <w:rsid w:val="0016285B"/>
    <w:rsid w:val="00162883"/>
    <w:rsid w:val="001628DF"/>
    <w:rsid w:val="00162A48"/>
    <w:rsid w:val="00162B87"/>
    <w:rsid w:val="00162BA9"/>
    <w:rsid w:val="00162D65"/>
    <w:rsid w:val="00162DFE"/>
    <w:rsid w:val="00162E21"/>
    <w:rsid w:val="00163092"/>
    <w:rsid w:val="001634A4"/>
    <w:rsid w:val="00163A57"/>
    <w:rsid w:val="00163AC8"/>
    <w:rsid w:val="00163BFF"/>
    <w:rsid w:val="00163D18"/>
    <w:rsid w:val="00163EA3"/>
    <w:rsid w:val="00163FE3"/>
    <w:rsid w:val="00164079"/>
    <w:rsid w:val="0016407E"/>
    <w:rsid w:val="00164170"/>
    <w:rsid w:val="00164383"/>
    <w:rsid w:val="00164B6A"/>
    <w:rsid w:val="00164D8C"/>
    <w:rsid w:val="00164DE0"/>
    <w:rsid w:val="001651C4"/>
    <w:rsid w:val="0016526B"/>
    <w:rsid w:val="00165516"/>
    <w:rsid w:val="0016558B"/>
    <w:rsid w:val="001656A4"/>
    <w:rsid w:val="001656CC"/>
    <w:rsid w:val="001658C9"/>
    <w:rsid w:val="00165AEA"/>
    <w:rsid w:val="00165F57"/>
    <w:rsid w:val="00166355"/>
    <w:rsid w:val="00166508"/>
    <w:rsid w:val="001667EC"/>
    <w:rsid w:val="00166949"/>
    <w:rsid w:val="00166FAC"/>
    <w:rsid w:val="00167104"/>
    <w:rsid w:val="00167154"/>
    <w:rsid w:val="00167594"/>
    <w:rsid w:val="00167CEE"/>
    <w:rsid w:val="00167E31"/>
    <w:rsid w:val="00170076"/>
    <w:rsid w:val="00170108"/>
    <w:rsid w:val="00170385"/>
    <w:rsid w:val="001707B8"/>
    <w:rsid w:val="00170957"/>
    <w:rsid w:val="00170B3C"/>
    <w:rsid w:val="00170CAB"/>
    <w:rsid w:val="00170E3F"/>
    <w:rsid w:val="00170E6F"/>
    <w:rsid w:val="00170EA1"/>
    <w:rsid w:val="001713D3"/>
    <w:rsid w:val="00171511"/>
    <w:rsid w:val="00171E24"/>
    <w:rsid w:val="00171F17"/>
    <w:rsid w:val="0017233B"/>
    <w:rsid w:val="001723A4"/>
    <w:rsid w:val="00172487"/>
    <w:rsid w:val="001728A4"/>
    <w:rsid w:val="00172938"/>
    <w:rsid w:val="00172ED1"/>
    <w:rsid w:val="00172F6D"/>
    <w:rsid w:val="00172F9E"/>
    <w:rsid w:val="001730A5"/>
    <w:rsid w:val="00173134"/>
    <w:rsid w:val="00173173"/>
    <w:rsid w:val="00173215"/>
    <w:rsid w:val="001732F5"/>
    <w:rsid w:val="0017348F"/>
    <w:rsid w:val="00173591"/>
    <w:rsid w:val="00173955"/>
    <w:rsid w:val="00173A84"/>
    <w:rsid w:val="00173B8C"/>
    <w:rsid w:val="00173CDA"/>
    <w:rsid w:val="00173D29"/>
    <w:rsid w:val="00173F0A"/>
    <w:rsid w:val="0017400D"/>
    <w:rsid w:val="0017422A"/>
    <w:rsid w:val="00174308"/>
    <w:rsid w:val="00174369"/>
    <w:rsid w:val="00174CBF"/>
    <w:rsid w:val="001752EC"/>
    <w:rsid w:val="001755BA"/>
    <w:rsid w:val="00175722"/>
    <w:rsid w:val="001757CC"/>
    <w:rsid w:val="00175BDC"/>
    <w:rsid w:val="00175CC5"/>
    <w:rsid w:val="00175CE1"/>
    <w:rsid w:val="00175D6B"/>
    <w:rsid w:val="00175E6B"/>
    <w:rsid w:val="00175EAD"/>
    <w:rsid w:val="001762B6"/>
    <w:rsid w:val="0017678A"/>
    <w:rsid w:val="00176EF8"/>
    <w:rsid w:val="001772B2"/>
    <w:rsid w:val="00177578"/>
    <w:rsid w:val="001777CA"/>
    <w:rsid w:val="00177A94"/>
    <w:rsid w:val="00177B82"/>
    <w:rsid w:val="00177BF2"/>
    <w:rsid w:val="00177CC0"/>
    <w:rsid w:val="00177F17"/>
    <w:rsid w:val="0018013C"/>
    <w:rsid w:val="001801D8"/>
    <w:rsid w:val="001804F4"/>
    <w:rsid w:val="001807D6"/>
    <w:rsid w:val="001807FC"/>
    <w:rsid w:val="0018086F"/>
    <w:rsid w:val="001808BE"/>
    <w:rsid w:val="0018098C"/>
    <w:rsid w:val="00180B12"/>
    <w:rsid w:val="00180BBA"/>
    <w:rsid w:val="00180D64"/>
    <w:rsid w:val="00180E19"/>
    <w:rsid w:val="00180F2F"/>
    <w:rsid w:val="00180FD6"/>
    <w:rsid w:val="0018104F"/>
    <w:rsid w:val="0018169F"/>
    <w:rsid w:val="00181796"/>
    <w:rsid w:val="001817B4"/>
    <w:rsid w:val="00181A70"/>
    <w:rsid w:val="00181D25"/>
    <w:rsid w:val="00181D60"/>
    <w:rsid w:val="001822BB"/>
    <w:rsid w:val="001823CA"/>
    <w:rsid w:val="00182466"/>
    <w:rsid w:val="0018297D"/>
    <w:rsid w:val="00182CF8"/>
    <w:rsid w:val="00182DD6"/>
    <w:rsid w:val="00182DE6"/>
    <w:rsid w:val="00182F1C"/>
    <w:rsid w:val="00183080"/>
    <w:rsid w:val="001830BD"/>
    <w:rsid w:val="00183162"/>
    <w:rsid w:val="0018319E"/>
    <w:rsid w:val="001833F6"/>
    <w:rsid w:val="0018373A"/>
    <w:rsid w:val="00183850"/>
    <w:rsid w:val="00183A3A"/>
    <w:rsid w:val="00183A54"/>
    <w:rsid w:val="00183C16"/>
    <w:rsid w:val="00183C37"/>
    <w:rsid w:val="00184189"/>
    <w:rsid w:val="0018421A"/>
    <w:rsid w:val="001842D3"/>
    <w:rsid w:val="001847C2"/>
    <w:rsid w:val="0018482A"/>
    <w:rsid w:val="00184890"/>
    <w:rsid w:val="00184B87"/>
    <w:rsid w:val="00184B9F"/>
    <w:rsid w:val="001851F9"/>
    <w:rsid w:val="00185484"/>
    <w:rsid w:val="0018575D"/>
    <w:rsid w:val="00185C18"/>
    <w:rsid w:val="001860E0"/>
    <w:rsid w:val="001862D1"/>
    <w:rsid w:val="001863BD"/>
    <w:rsid w:val="00186509"/>
    <w:rsid w:val="001867E9"/>
    <w:rsid w:val="00186861"/>
    <w:rsid w:val="00186883"/>
    <w:rsid w:val="00186A0B"/>
    <w:rsid w:val="00186B65"/>
    <w:rsid w:val="00186E72"/>
    <w:rsid w:val="00186F84"/>
    <w:rsid w:val="00187031"/>
    <w:rsid w:val="001870E4"/>
    <w:rsid w:val="00187270"/>
    <w:rsid w:val="00187399"/>
    <w:rsid w:val="001873D2"/>
    <w:rsid w:val="0018748C"/>
    <w:rsid w:val="00187505"/>
    <w:rsid w:val="001878E0"/>
    <w:rsid w:val="00187A5C"/>
    <w:rsid w:val="00187BED"/>
    <w:rsid w:val="00187DFD"/>
    <w:rsid w:val="00187F22"/>
    <w:rsid w:val="00187FBB"/>
    <w:rsid w:val="0019030D"/>
    <w:rsid w:val="00190337"/>
    <w:rsid w:val="00190371"/>
    <w:rsid w:val="00190392"/>
    <w:rsid w:val="0019058E"/>
    <w:rsid w:val="00190683"/>
    <w:rsid w:val="00190A03"/>
    <w:rsid w:val="00190D3F"/>
    <w:rsid w:val="0019103A"/>
    <w:rsid w:val="001910C4"/>
    <w:rsid w:val="001911C6"/>
    <w:rsid w:val="001914EA"/>
    <w:rsid w:val="0019172A"/>
    <w:rsid w:val="00191C77"/>
    <w:rsid w:val="001920D2"/>
    <w:rsid w:val="0019222B"/>
    <w:rsid w:val="0019234C"/>
    <w:rsid w:val="00192391"/>
    <w:rsid w:val="001924F4"/>
    <w:rsid w:val="00192504"/>
    <w:rsid w:val="00192B56"/>
    <w:rsid w:val="00192DA1"/>
    <w:rsid w:val="0019353A"/>
    <w:rsid w:val="00193597"/>
    <w:rsid w:val="00193722"/>
    <w:rsid w:val="00193760"/>
    <w:rsid w:val="00193854"/>
    <w:rsid w:val="00193D71"/>
    <w:rsid w:val="00193EDA"/>
    <w:rsid w:val="00194656"/>
    <w:rsid w:val="001946C4"/>
    <w:rsid w:val="001946C8"/>
    <w:rsid w:val="00194830"/>
    <w:rsid w:val="001949A2"/>
    <w:rsid w:val="00194A40"/>
    <w:rsid w:val="001953FC"/>
    <w:rsid w:val="001955A6"/>
    <w:rsid w:val="001958C6"/>
    <w:rsid w:val="001959DA"/>
    <w:rsid w:val="00195FB9"/>
    <w:rsid w:val="00196161"/>
    <w:rsid w:val="001961F7"/>
    <w:rsid w:val="0019623C"/>
    <w:rsid w:val="001962B8"/>
    <w:rsid w:val="001963AB"/>
    <w:rsid w:val="001963E4"/>
    <w:rsid w:val="00196606"/>
    <w:rsid w:val="00196615"/>
    <w:rsid w:val="00196634"/>
    <w:rsid w:val="00196669"/>
    <w:rsid w:val="00196A9C"/>
    <w:rsid w:val="00196AB6"/>
    <w:rsid w:val="00196DC5"/>
    <w:rsid w:val="00196E82"/>
    <w:rsid w:val="0019710C"/>
    <w:rsid w:val="00197180"/>
    <w:rsid w:val="001977D1"/>
    <w:rsid w:val="00197D6C"/>
    <w:rsid w:val="001A0076"/>
    <w:rsid w:val="001A029F"/>
    <w:rsid w:val="001A02DD"/>
    <w:rsid w:val="001A05F4"/>
    <w:rsid w:val="001A061D"/>
    <w:rsid w:val="001A0767"/>
    <w:rsid w:val="001A07C8"/>
    <w:rsid w:val="001A07D7"/>
    <w:rsid w:val="001A0C10"/>
    <w:rsid w:val="001A0C80"/>
    <w:rsid w:val="001A0CE1"/>
    <w:rsid w:val="001A0DCA"/>
    <w:rsid w:val="001A0E44"/>
    <w:rsid w:val="001A0FFA"/>
    <w:rsid w:val="001A1006"/>
    <w:rsid w:val="001A129C"/>
    <w:rsid w:val="001A130C"/>
    <w:rsid w:val="001A189F"/>
    <w:rsid w:val="001A1CBC"/>
    <w:rsid w:val="001A1E22"/>
    <w:rsid w:val="001A2034"/>
    <w:rsid w:val="001A217B"/>
    <w:rsid w:val="001A21D6"/>
    <w:rsid w:val="001A2621"/>
    <w:rsid w:val="001A2D13"/>
    <w:rsid w:val="001A31E3"/>
    <w:rsid w:val="001A3315"/>
    <w:rsid w:val="001A3950"/>
    <w:rsid w:val="001A3B4D"/>
    <w:rsid w:val="001A3C07"/>
    <w:rsid w:val="001A3F06"/>
    <w:rsid w:val="001A408C"/>
    <w:rsid w:val="001A4222"/>
    <w:rsid w:val="001A444E"/>
    <w:rsid w:val="001A461F"/>
    <w:rsid w:val="001A47A7"/>
    <w:rsid w:val="001A483E"/>
    <w:rsid w:val="001A4AA2"/>
    <w:rsid w:val="001A4E16"/>
    <w:rsid w:val="001A508A"/>
    <w:rsid w:val="001A516E"/>
    <w:rsid w:val="001A51DF"/>
    <w:rsid w:val="001A5397"/>
    <w:rsid w:val="001A544E"/>
    <w:rsid w:val="001A54BB"/>
    <w:rsid w:val="001A56EE"/>
    <w:rsid w:val="001A59CF"/>
    <w:rsid w:val="001A5E88"/>
    <w:rsid w:val="001A5F22"/>
    <w:rsid w:val="001A645F"/>
    <w:rsid w:val="001A65AC"/>
    <w:rsid w:val="001A6688"/>
    <w:rsid w:val="001A6775"/>
    <w:rsid w:val="001A67B5"/>
    <w:rsid w:val="001A696A"/>
    <w:rsid w:val="001A69F4"/>
    <w:rsid w:val="001A6A3D"/>
    <w:rsid w:val="001A6ABE"/>
    <w:rsid w:val="001A6AFE"/>
    <w:rsid w:val="001A6B99"/>
    <w:rsid w:val="001A6BA3"/>
    <w:rsid w:val="001A6F8F"/>
    <w:rsid w:val="001A70BD"/>
    <w:rsid w:val="001A712C"/>
    <w:rsid w:val="001A73D7"/>
    <w:rsid w:val="001A742B"/>
    <w:rsid w:val="001A78EB"/>
    <w:rsid w:val="001A7C4B"/>
    <w:rsid w:val="001A7CA7"/>
    <w:rsid w:val="001A7D9A"/>
    <w:rsid w:val="001A7FBC"/>
    <w:rsid w:val="001B002F"/>
    <w:rsid w:val="001B0396"/>
    <w:rsid w:val="001B07B0"/>
    <w:rsid w:val="001B0853"/>
    <w:rsid w:val="001B0931"/>
    <w:rsid w:val="001B09B0"/>
    <w:rsid w:val="001B0A6B"/>
    <w:rsid w:val="001B0D34"/>
    <w:rsid w:val="001B0D7B"/>
    <w:rsid w:val="001B0FB8"/>
    <w:rsid w:val="001B117A"/>
    <w:rsid w:val="001B11A2"/>
    <w:rsid w:val="001B1246"/>
    <w:rsid w:val="001B15B7"/>
    <w:rsid w:val="001B1A69"/>
    <w:rsid w:val="001B1AB8"/>
    <w:rsid w:val="001B1C60"/>
    <w:rsid w:val="001B1E0E"/>
    <w:rsid w:val="001B1FA9"/>
    <w:rsid w:val="001B2155"/>
    <w:rsid w:val="001B218A"/>
    <w:rsid w:val="001B23C0"/>
    <w:rsid w:val="001B2412"/>
    <w:rsid w:val="001B24EF"/>
    <w:rsid w:val="001B252E"/>
    <w:rsid w:val="001B2BAB"/>
    <w:rsid w:val="001B2EE3"/>
    <w:rsid w:val="001B2F8C"/>
    <w:rsid w:val="001B3285"/>
    <w:rsid w:val="001B35BF"/>
    <w:rsid w:val="001B39C7"/>
    <w:rsid w:val="001B3C74"/>
    <w:rsid w:val="001B3D20"/>
    <w:rsid w:val="001B3DBC"/>
    <w:rsid w:val="001B4113"/>
    <w:rsid w:val="001B42DD"/>
    <w:rsid w:val="001B44FC"/>
    <w:rsid w:val="001B4559"/>
    <w:rsid w:val="001B4664"/>
    <w:rsid w:val="001B4A54"/>
    <w:rsid w:val="001B4DD5"/>
    <w:rsid w:val="001B4EB6"/>
    <w:rsid w:val="001B5003"/>
    <w:rsid w:val="001B532C"/>
    <w:rsid w:val="001B5348"/>
    <w:rsid w:val="001B5355"/>
    <w:rsid w:val="001B56DA"/>
    <w:rsid w:val="001B583F"/>
    <w:rsid w:val="001B5AA4"/>
    <w:rsid w:val="001B5D24"/>
    <w:rsid w:val="001B5EB6"/>
    <w:rsid w:val="001B6329"/>
    <w:rsid w:val="001B632A"/>
    <w:rsid w:val="001B6911"/>
    <w:rsid w:val="001B692F"/>
    <w:rsid w:val="001B6968"/>
    <w:rsid w:val="001B6EC4"/>
    <w:rsid w:val="001B6F2B"/>
    <w:rsid w:val="001B6FB7"/>
    <w:rsid w:val="001B7041"/>
    <w:rsid w:val="001B7597"/>
    <w:rsid w:val="001B77DF"/>
    <w:rsid w:val="001B7AFE"/>
    <w:rsid w:val="001C0026"/>
    <w:rsid w:val="001C00A6"/>
    <w:rsid w:val="001C013B"/>
    <w:rsid w:val="001C0171"/>
    <w:rsid w:val="001C01A9"/>
    <w:rsid w:val="001C0388"/>
    <w:rsid w:val="001C04C3"/>
    <w:rsid w:val="001C0903"/>
    <w:rsid w:val="001C0C9B"/>
    <w:rsid w:val="001C0D7D"/>
    <w:rsid w:val="001C0E84"/>
    <w:rsid w:val="001C107B"/>
    <w:rsid w:val="001C1143"/>
    <w:rsid w:val="001C14AA"/>
    <w:rsid w:val="001C151A"/>
    <w:rsid w:val="001C1888"/>
    <w:rsid w:val="001C1B32"/>
    <w:rsid w:val="001C1C37"/>
    <w:rsid w:val="001C1C57"/>
    <w:rsid w:val="001C1CD3"/>
    <w:rsid w:val="001C1E46"/>
    <w:rsid w:val="001C2093"/>
    <w:rsid w:val="001C2336"/>
    <w:rsid w:val="001C25A0"/>
    <w:rsid w:val="001C2672"/>
    <w:rsid w:val="001C26F3"/>
    <w:rsid w:val="001C27E2"/>
    <w:rsid w:val="001C281A"/>
    <w:rsid w:val="001C2986"/>
    <w:rsid w:val="001C2B58"/>
    <w:rsid w:val="001C2CD7"/>
    <w:rsid w:val="001C2D2E"/>
    <w:rsid w:val="001C2DA5"/>
    <w:rsid w:val="001C2DD1"/>
    <w:rsid w:val="001C2F22"/>
    <w:rsid w:val="001C3094"/>
    <w:rsid w:val="001C3310"/>
    <w:rsid w:val="001C35A6"/>
    <w:rsid w:val="001C37F2"/>
    <w:rsid w:val="001C3854"/>
    <w:rsid w:val="001C3915"/>
    <w:rsid w:val="001C3C36"/>
    <w:rsid w:val="001C461C"/>
    <w:rsid w:val="001C48FC"/>
    <w:rsid w:val="001C4F45"/>
    <w:rsid w:val="001C572F"/>
    <w:rsid w:val="001C58ED"/>
    <w:rsid w:val="001C590F"/>
    <w:rsid w:val="001C5A42"/>
    <w:rsid w:val="001C5A84"/>
    <w:rsid w:val="001C5E55"/>
    <w:rsid w:val="001C5EBD"/>
    <w:rsid w:val="001C62DC"/>
    <w:rsid w:val="001C63B5"/>
    <w:rsid w:val="001C65E0"/>
    <w:rsid w:val="001C6672"/>
    <w:rsid w:val="001C6A33"/>
    <w:rsid w:val="001C6D28"/>
    <w:rsid w:val="001C6FC5"/>
    <w:rsid w:val="001C736E"/>
    <w:rsid w:val="001C73A7"/>
    <w:rsid w:val="001C74C0"/>
    <w:rsid w:val="001C76B1"/>
    <w:rsid w:val="001C7D19"/>
    <w:rsid w:val="001C7D91"/>
    <w:rsid w:val="001C7FB0"/>
    <w:rsid w:val="001D0158"/>
    <w:rsid w:val="001D017C"/>
    <w:rsid w:val="001D02ED"/>
    <w:rsid w:val="001D02F5"/>
    <w:rsid w:val="001D04FF"/>
    <w:rsid w:val="001D0513"/>
    <w:rsid w:val="001D067A"/>
    <w:rsid w:val="001D077D"/>
    <w:rsid w:val="001D08B5"/>
    <w:rsid w:val="001D09BB"/>
    <w:rsid w:val="001D0CE0"/>
    <w:rsid w:val="001D0CE7"/>
    <w:rsid w:val="001D0DAB"/>
    <w:rsid w:val="001D10A0"/>
    <w:rsid w:val="001D11C3"/>
    <w:rsid w:val="001D12AC"/>
    <w:rsid w:val="001D13B1"/>
    <w:rsid w:val="001D1756"/>
    <w:rsid w:val="001D1A7E"/>
    <w:rsid w:val="001D1B2D"/>
    <w:rsid w:val="001D1DB6"/>
    <w:rsid w:val="001D1DF6"/>
    <w:rsid w:val="001D21B9"/>
    <w:rsid w:val="001D23FF"/>
    <w:rsid w:val="001D24B8"/>
    <w:rsid w:val="001D2528"/>
    <w:rsid w:val="001D25F9"/>
    <w:rsid w:val="001D2E5A"/>
    <w:rsid w:val="001D2F46"/>
    <w:rsid w:val="001D3084"/>
    <w:rsid w:val="001D31FC"/>
    <w:rsid w:val="001D32EB"/>
    <w:rsid w:val="001D3ADE"/>
    <w:rsid w:val="001D3B83"/>
    <w:rsid w:val="001D3F1D"/>
    <w:rsid w:val="001D40AD"/>
    <w:rsid w:val="001D413E"/>
    <w:rsid w:val="001D43AB"/>
    <w:rsid w:val="001D43E8"/>
    <w:rsid w:val="001D45BD"/>
    <w:rsid w:val="001D47B5"/>
    <w:rsid w:val="001D486D"/>
    <w:rsid w:val="001D54E7"/>
    <w:rsid w:val="001D5573"/>
    <w:rsid w:val="001D5891"/>
    <w:rsid w:val="001D5CA4"/>
    <w:rsid w:val="001D60F5"/>
    <w:rsid w:val="001D617E"/>
    <w:rsid w:val="001D61E4"/>
    <w:rsid w:val="001D64D2"/>
    <w:rsid w:val="001D6904"/>
    <w:rsid w:val="001D6A54"/>
    <w:rsid w:val="001D6ACD"/>
    <w:rsid w:val="001D6CD4"/>
    <w:rsid w:val="001D6D96"/>
    <w:rsid w:val="001D6ED2"/>
    <w:rsid w:val="001D7123"/>
    <w:rsid w:val="001D74A2"/>
    <w:rsid w:val="001D7553"/>
    <w:rsid w:val="001D7D22"/>
    <w:rsid w:val="001D7FA4"/>
    <w:rsid w:val="001E0078"/>
    <w:rsid w:val="001E014F"/>
    <w:rsid w:val="001E0530"/>
    <w:rsid w:val="001E0535"/>
    <w:rsid w:val="001E0551"/>
    <w:rsid w:val="001E06BB"/>
    <w:rsid w:val="001E0776"/>
    <w:rsid w:val="001E0792"/>
    <w:rsid w:val="001E09EA"/>
    <w:rsid w:val="001E09F2"/>
    <w:rsid w:val="001E0AA4"/>
    <w:rsid w:val="001E0B5A"/>
    <w:rsid w:val="001E0FC0"/>
    <w:rsid w:val="001E103E"/>
    <w:rsid w:val="001E11E5"/>
    <w:rsid w:val="001E127D"/>
    <w:rsid w:val="001E1302"/>
    <w:rsid w:val="001E1425"/>
    <w:rsid w:val="001E180A"/>
    <w:rsid w:val="001E1DE1"/>
    <w:rsid w:val="001E1FD7"/>
    <w:rsid w:val="001E20A3"/>
    <w:rsid w:val="001E21CD"/>
    <w:rsid w:val="001E238A"/>
    <w:rsid w:val="001E26B7"/>
    <w:rsid w:val="001E26C9"/>
    <w:rsid w:val="001E293D"/>
    <w:rsid w:val="001E2DB4"/>
    <w:rsid w:val="001E2DD1"/>
    <w:rsid w:val="001E2FBE"/>
    <w:rsid w:val="001E2FE4"/>
    <w:rsid w:val="001E3113"/>
    <w:rsid w:val="001E335D"/>
    <w:rsid w:val="001E361F"/>
    <w:rsid w:val="001E3CFB"/>
    <w:rsid w:val="001E4056"/>
    <w:rsid w:val="001E4091"/>
    <w:rsid w:val="001E4183"/>
    <w:rsid w:val="001E46D1"/>
    <w:rsid w:val="001E488F"/>
    <w:rsid w:val="001E4C67"/>
    <w:rsid w:val="001E5126"/>
    <w:rsid w:val="001E516A"/>
    <w:rsid w:val="001E5567"/>
    <w:rsid w:val="001E55BB"/>
    <w:rsid w:val="001E5673"/>
    <w:rsid w:val="001E5826"/>
    <w:rsid w:val="001E5837"/>
    <w:rsid w:val="001E58D6"/>
    <w:rsid w:val="001E598F"/>
    <w:rsid w:val="001E5A04"/>
    <w:rsid w:val="001E5FBD"/>
    <w:rsid w:val="001E600A"/>
    <w:rsid w:val="001E60E7"/>
    <w:rsid w:val="001E666B"/>
    <w:rsid w:val="001E669D"/>
    <w:rsid w:val="001E678B"/>
    <w:rsid w:val="001E683E"/>
    <w:rsid w:val="001E6852"/>
    <w:rsid w:val="001E6981"/>
    <w:rsid w:val="001E6B8C"/>
    <w:rsid w:val="001E6DB5"/>
    <w:rsid w:val="001E6E43"/>
    <w:rsid w:val="001E7062"/>
    <w:rsid w:val="001E70E2"/>
    <w:rsid w:val="001E7128"/>
    <w:rsid w:val="001E7509"/>
    <w:rsid w:val="001E779B"/>
    <w:rsid w:val="001E7C06"/>
    <w:rsid w:val="001E7C16"/>
    <w:rsid w:val="001E7C47"/>
    <w:rsid w:val="001F0182"/>
    <w:rsid w:val="001F0232"/>
    <w:rsid w:val="001F03DA"/>
    <w:rsid w:val="001F0542"/>
    <w:rsid w:val="001F070D"/>
    <w:rsid w:val="001F0A2F"/>
    <w:rsid w:val="001F0BE3"/>
    <w:rsid w:val="001F0D80"/>
    <w:rsid w:val="001F0E96"/>
    <w:rsid w:val="001F0EEE"/>
    <w:rsid w:val="001F0F0E"/>
    <w:rsid w:val="001F0F46"/>
    <w:rsid w:val="001F1089"/>
    <w:rsid w:val="001F111E"/>
    <w:rsid w:val="001F135F"/>
    <w:rsid w:val="001F15AE"/>
    <w:rsid w:val="001F1AA8"/>
    <w:rsid w:val="001F1B1E"/>
    <w:rsid w:val="001F1EC0"/>
    <w:rsid w:val="001F224A"/>
    <w:rsid w:val="001F2289"/>
    <w:rsid w:val="001F279A"/>
    <w:rsid w:val="001F29F5"/>
    <w:rsid w:val="001F2ABB"/>
    <w:rsid w:val="001F2AE6"/>
    <w:rsid w:val="001F2B75"/>
    <w:rsid w:val="001F2C0B"/>
    <w:rsid w:val="001F2C2E"/>
    <w:rsid w:val="001F2D1F"/>
    <w:rsid w:val="001F3195"/>
    <w:rsid w:val="001F32FC"/>
    <w:rsid w:val="001F34C2"/>
    <w:rsid w:val="001F3AC8"/>
    <w:rsid w:val="001F3C78"/>
    <w:rsid w:val="001F3E47"/>
    <w:rsid w:val="001F3EFA"/>
    <w:rsid w:val="001F448F"/>
    <w:rsid w:val="001F4563"/>
    <w:rsid w:val="001F461E"/>
    <w:rsid w:val="001F4772"/>
    <w:rsid w:val="001F4777"/>
    <w:rsid w:val="001F4D8D"/>
    <w:rsid w:val="001F4EBB"/>
    <w:rsid w:val="001F4FAF"/>
    <w:rsid w:val="001F5167"/>
    <w:rsid w:val="001F52D2"/>
    <w:rsid w:val="001F544F"/>
    <w:rsid w:val="001F557E"/>
    <w:rsid w:val="001F5902"/>
    <w:rsid w:val="001F59DE"/>
    <w:rsid w:val="001F5CCC"/>
    <w:rsid w:val="001F63BD"/>
    <w:rsid w:val="001F63C1"/>
    <w:rsid w:val="001F6684"/>
    <w:rsid w:val="001F67F5"/>
    <w:rsid w:val="001F6AA8"/>
    <w:rsid w:val="001F6AA9"/>
    <w:rsid w:val="001F6D7B"/>
    <w:rsid w:val="001F7002"/>
    <w:rsid w:val="001F7102"/>
    <w:rsid w:val="001F7449"/>
    <w:rsid w:val="001F7491"/>
    <w:rsid w:val="001F7574"/>
    <w:rsid w:val="001F7613"/>
    <w:rsid w:val="001F76B2"/>
    <w:rsid w:val="001F79BC"/>
    <w:rsid w:val="001F7B6A"/>
    <w:rsid w:val="00200093"/>
    <w:rsid w:val="0020021A"/>
    <w:rsid w:val="0020037E"/>
    <w:rsid w:val="0020055A"/>
    <w:rsid w:val="00200C19"/>
    <w:rsid w:val="00200F26"/>
    <w:rsid w:val="00200F71"/>
    <w:rsid w:val="00201178"/>
    <w:rsid w:val="00201278"/>
    <w:rsid w:val="00201331"/>
    <w:rsid w:val="002015E9"/>
    <w:rsid w:val="0020171C"/>
    <w:rsid w:val="002017C8"/>
    <w:rsid w:val="00201863"/>
    <w:rsid w:val="0020187C"/>
    <w:rsid w:val="00202258"/>
    <w:rsid w:val="0020266A"/>
    <w:rsid w:val="002027E7"/>
    <w:rsid w:val="002027FE"/>
    <w:rsid w:val="0020280E"/>
    <w:rsid w:val="00202B11"/>
    <w:rsid w:val="00202B84"/>
    <w:rsid w:val="00202C3F"/>
    <w:rsid w:val="002030BA"/>
    <w:rsid w:val="00203286"/>
    <w:rsid w:val="0020351E"/>
    <w:rsid w:val="00203CE9"/>
    <w:rsid w:val="00203FF9"/>
    <w:rsid w:val="00204184"/>
    <w:rsid w:val="00204225"/>
    <w:rsid w:val="00204372"/>
    <w:rsid w:val="002043A3"/>
    <w:rsid w:val="002044FF"/>
    <w:rsid w:val="00204990"/>
    <w:rsid w:val="002049AF"/>
    <w:rsid w:val="002049C2"/>
    <w:rsid w:val="00204BBA"/>
    <w:rsid w:val="00204F57"/>
    <w:rsid w:val="00205132"/>
    <w:rsid w:val="00205288"/>
    <w:rsid w:val="00205394"/>
    <w:rsid w:val="00205413"/>
    <w:rsid w:val="0020557C"/>
    <w:rsid w:val="002055B3"/>
    <w:rsid w:val="00205E68"/>
    <w:rsid w:val="0020618A"/>
    <w:rsid w:val="002063FF"/>
    <w:rsid w:val="00206A8E"/>
    <w:rsid w:val="00206CA9"/>
    <w:rsid w:val="00207039"/>
    <w:rsid w:val="002070B8"/>
    <w:rsid w:val="002073DE"/>
    <w:rsid w:val="0020757D"/>
    <w:rsid w:val="00207792"/>
    <w:rsid w:val="00207810"/>
    <w:rsid w:val="0020786E"/>
    <w:rsid w:val="00210044"/>
    <w:rsid w:val="002101EC"/>
    <w:rsid w:val="002103B9"/>
    <w:rsid w:val="002103BB"/>
    <w:rsid w:val="002105F8"/>
    <w:rsid w:val="00210938"/>
    <w:rsid w:val="00210AFD"/>
    <w:rsid w:val="00210B51"/>
    <w:rsid w:val="00210EED"/>
    <w:rsid w:val="00210F30"/>
    <w:rsid w:val="002111B9"/>
    <w:rsid w:val="0021143E"/>
    <w:rsid w:val="00211498"/>
    <w:rsid w:val="00211B7F"/>
    <w:rsid w:val="00211DEF"/>
    <w:rsid w:val="00211F67"/>
    <w:rsid w:val="002125E3"/>
    <w:rsid w:val="00212779"/>
    <w:rsid w:val="00212E3D"/>
    <w:rsid w:val="00212F37"/>
    <w:rsid w:val="00213029"/>
    <w:rsid w:val="00213327"/>
    <w:rsid w:val="00213486"/>
    <w:rsid w:val="0021353F"/>
    <w:rsid w:val="0021364F"/>
    <w:rsid w:val="00213956"/>
    <w:rsid w:val="00213963"/>
    <w:rsid w:val="002142D4"/>
    <w:rsid w:val="0021459A"/>
    <w:rsid w:val="002145B4"/>
    <w:rsid w:val="00214941"/>
    <w:rsid w:val="002149CA"/>
    <w:rsid w:val="002149DC"/>
    <w:rsid w:val="00214A6B"/>
    <w:rsid w:val="00214B5F"/>
    <w:rsid w:val="00214FAC"/>
    <w:rsid w:val="002152E5"/>
    <w:rsid w:val="002156B5"/>
    <w:rsid w:val="002157E0"/>
    <w:rsid w:val="00215834"/>
    <w:rsid w:val="00215862"/>
    <w:rsid w:val="00215C0F"/>
    <w:rsid w:val="00215DF2"/>
    <w:rsid w:val="00215E68"/>
    <w:rsid w:val="00215F04"/>
    <w:rsid w:val="00215F93"/>
    <w:rsid w:val="00216039"/>
    <w:rsid w:val="00216348"/>
    <w:rsid w:val="00216E74"/>
    <w:rsid w:val="00216F57"/>
    <w:rsid w:val="00216FD7"/>
    <w:rsid w:val="002170BC"/>
    <w:rsid w:val="002170D6"/>
    <w:rsid w:val="002171F6"/>
    <w:rsid w:val="0021779C"/>
    <w:rsid w:val="00217AEE"/>
    <w:rsid w:val="00217C5F"/>
    <w:rsid w:val="00217E26"/>
    <w:rsid w:val="00217E4A"/>
    <w:rsid w:val="00217F5F"/>
    <w:rsid w:val="00217F8E"/>
    <w:rsid w:val="00217FD1"/>
    <w:rsid w:val="00220030"/>
    <w:rsid w:val="00220139"/>
    <w:rsid w:val="002202A0"/>
    <w:rsid w:val="002203B4"/>
    <w:rsid w:val="00220591"/>
    <w:rsid w:val="0022060D"/>
    <w:rsid w:val="002207B2"/>
    <w:rsid w:val="002207FE"/>
    <w:rsid w:val="00220D4A"/>
    <w:rsid w:val="002212EC"/>
    <w:rsid w:val="002213EF"/>
    <w:rsid w:val="0022175B"/>
    <w:rsid w:val="00221AAF"/>
    <w:rsid w:val="00221AC1"/>
    <w:rsid w:val="00221E3E"/>
    <w:rsid w:val="00222125"/>
    <w:rsid w:val="00222152"/>
    <w:rsid w:val="0022236C"/>
    <w:rsid w:val="00222426"/>
    <w:rsid w:val="002224E1"/>
    <w:rsid w:val="0022265A"/>
    <w:rsid w:val="00222691"/>
    <w:rsid w:val="002227CD"/>
    <w:rsid w:val="002227ED"/>
    <w:rsid w:val="00222EB6"/>
    <w:rsid w:val="00222EEC"/>
    <w:rsid w:val="0022317B"/>
    <w:rsid w:val="00223185"/>
    <w:rsid w:val="002232A8"/>
    <w:rsid w:val="002237FF"/>
    <w:rsid w:val="00223CD4"/>
    <w:rsid w:val="00223DEE"/>
    <w:rsid w:val="00223E79"/>
    <w:rsid w:val="00224082"/>
    <w:rsid w:val="002243EC"/>
    <w:rsid w:val="002244E8"/>
    <w:rsid w:val="00224A1B"/>
    <w:rsid w:val="00224B43"/>
    <w:rsid w:val="00224D99"/>
    <w:rsid w:val="00224EA7"/>
    <w:rsid w:val="0022536F"/>
    <w:rsid w:val="002257E7"/>
    <w:rsid w:val="00225E1D"/>
    <w:rsid w:val="00225EA7"/>
    <w:rsid w:val="00225F44"/>
    <w:rsid w:val="002260E1"/>
    <w:rsid w:val="002262BF"/>
    <w:rsid w:val="0022667C"/>
    <w:rsid w:val="002267BA"/>
    <w:rsid w:val="0022681D"/>
    <w:rsid w:val="002268C1"/>
    <w:rsid w:val="00226929"/>
    <w:rsid w:val="00226A2A"/>
    <w:rsid w:val="00226B5B"/>
    <w:rsid w:val="00226EC1"/>
    <w:rsid w:val="002270D2"/>
    <w:rsid w:val="002272F7"/>
    <w:rsid w:val="00227315"/>
    <w:rsid w:val="0022740A"/>
    <w:rsid w:val="00227A27"/>
    <w:rsid w:val="00227A43"/>
    <w:rsid w:val="00227C07"/>
    <w:rsid w:val="00227DCF"/>
    <w:rsid w:val="002300B0"/>
    <w:rsid w:val="0023022E"/>
    <w:rsid w:val="00230317"/>
    <w:rsid w:val="0023071A"/>
    <w:rsid w:val="0023075F"/>
    <w:rsid w:val="00230947"/>
    <w:rsid w:val="00230CA6"/>
    <w:rsid w:val="00230D60"/>
    <w:rsid w:val="00230D8C"/>
    <w:rsid w:val="00231625"/>
    <w:rsid w:val="002316DE"/>
    <w:rsid w:val="002318FE"/>
    <w:rsid w:val="00231957"/>
    <w:rsid w:val="00231B2C"/>
    <w:rsid w:val="00231B2F"/>
    <w:rsid w:val="00231B8C"/>
    <w:rsid w:val="00231C64"/>
    <w:rsid w:val="00232090"/>
    <w:rsid w:val="0023225E"/>
    <w:rsid w:val="00232394"/>
    <w:rsid w:val="002324A3"/>
    <w:rsid w:val="002329B8"/>
    <w:rsid w:val="00232E10"/>
    <w:rsid w:val="0023309B"/>
    <w:rsid w:val="002330BC"/>
    <w:rsid w:val="002332A3"/>
    <w:rsid w:val="002338BF"/>
    <w:rsid w:val="002339DC"/>
    <w:rsid w:val="00233A47"/>
    <w:rsid w:val="00233C42"/>
    <w:rsid w:val="00233CE6"/>
    <w:rsid w:val="00233F80"/>
    <w:rsid w:val="00233F93"/>
    <w:rsid w:val="0023401F"/>
    <w:rsid w:val="0023406D"/>
    <w:rsid w:val="00234143"/>
    <w:rsid w:val="0023423D"/>
    <w:rsid w:val="002343A4"/>
    <w:rsid w:val="002346D3"/>
    <w:rsid w:val="00234866"/>
    <w:rsid w:val="00234BA5"/>
    <w:rsid w:val="00234D80"/>
    <w:rsid w:val="00234DA5"/>
    <w:rsid w:val="00234F0A"/>
    <w:rsid w:val="0023524E"/>
    <w:rsid w:val="00235314"/>
    <w:rsid w:val="002353C4"/>
    <w:rsid w:val="0023543D"/>
    <w:rsid w:val="00235535"/>
    <w:rsid w:val="00235617"/>
    <w:rsid w:val="00235680"/>
    <w:rsid w:val="002357DA"/>
    <w:rsid w:val="00235CF6"/>
    <w:rsid w:val="00235FF9"/>
    <w:rsid w:val="00236091"/>
    <w:rsid w:val="00236104"/>
    <w:rsid w:val="002362C8"/>
    <w:rsid w:val="00236642"/>
    <w:rsid w:val="002366B3"/>
    <w:rsid w:val="00236978"/>
    <w:rsid w:val="002369B0"/>
    <w:rsid w:val="00236E94"/>
    <w:rsid w:val="002370C5"/>
    <w:rsid w:val="002371A2"/>
    <w:rsid w:val="002374AE"/>
    <w:rsid w:val="0023767A"/>
    <w:rsid w:val="002376C2"/>
    <w:rsid w:val="00237D1A"/>
    <w:rsid w:val="00237F25"/>
    <w:rsid w:val="00237F5E"/>
    <w:rsid w:val="00240172"/>
    <w:rsid w:val="0024077C"/>
    <w:rsid w:val="00240859"/>
    <w:rsid w:val="00240A57"/>
    <w:rsid w:val="00240AB5"/>
    <w:rsid w:val="00240B33"/>
    <w:rsid w:val="00240BFA"/>
    <w:rsid w:val="00240DFD"/>
    <w:rsid w:val="0024109D"/>
    <w:rsid w:val="002410D6"/>
    <w:rsid w:val="002411F2"/>
    <w:rsid w:val="00241817"/>
    <w:rsid w:val="0024197E"/>
    <w:rsid w:val="00241A6A"/>
    <w:rsid w:val="00241D98"/>
    <w:rsid w:val="00241FA1"/>
    <w:rsid w:val="00242130"/>
    <w:rsid w:val="002421F1"/>
    <w:rsid w:val="00242272"/>
    <w:rsid w:val="002427E7"/>
    <w:rsid w:val="0024281B"/>
    <w:rsid w:val="00242FC0"/>
    <w:rsid w:val="0024319B"/>
    <w:rsid w:val="0024322B"/>
    <w:rsid w:val="0024335D"/>
    <w:rsid w:val="002437EB"/>
    <w:rsid w:val="00243C3B"/>
    <w:rsid w:val="00243E7C"/>
    <w:rsid w:val="00243F41"/>
    <w:rsid w:val="00243F6D"/>
    <w:rsid w:val="002440BB"/>
    <w:rsid w:val="00244278"/>
    <w:rsid w:val="00244406"/>
    <w:rsid w:val="0024447A"/>
    <w:rsid w:val="00244813"/>
    <w:rsid w:val="0024483C"/>
    <w:rsid w:val="0024492E"/>
    <w:rsid w:val="00244DDD"/>
    <w:rsid w:val="0024506E"/>
    <w:rsid w:val="002450C8"/>
    <w:rsid w:val="00245729"/>
    <w:rsid w:val="00245930"/>
    <w:rsid w:val="00245968"/>
    <w:rsid w:val="00245A73"/>
    <w:rsid w:val="00245B3E"/>
    <w:rsid w:val="00245D66"/>
    <w:rsid w:val="00245EC2"/>
    <w:rsid w:val="0024654F"/>
    <w:rsid w:val="0024659C"/>
    <w:rsid w:val="0024659F"/>
    <w:rsid w:val="0024687F"/>
    <w:rsid w:val="00246895"/>
    <w:rsid w:val="00246AE1"/>
    <w:rsid w:val="00246C39"/>
    <w:rsid w:val="00246DDD"/>
    <w:rsid w:val="00246ED6"/>
    <w:rsid w:val="00246F4E"/>
    <w:rsid w:val="00246F76"/>
    <w:rsid w:val="002470BE"/>
    <w:rsid w:val="002472BF"/>
    <w:rsid w:val="00247646"/>
    <w:rsid w:val="0024770A"/>
    <w:rsid w:val="00247744"/>
    <w:rsid w:val="00247A13"/>
    <w:rsid w:val="00247AEF"/>
    <w:rsid w:val="00247B7D"/>
    <w:rsid w:val="00247D5A"/>
    <w:rsid w:val="00250038"/>
    <w:rsid w:val="002500C0"/>
    <w:rsid w:val="002500D2"/>
    <w:rsid w:val="00250150"/>
    <w:rsid w:val="00250592"/>
    <w:rsid w:val="002507E2"/>
    <w:rsid w:val="002507F3"/>
    <w:rsid w:val="00250A60"/>
    <w:rsid w:val="00250C01"/>
    <w:rsid w:val="00250EA7"/>
    <w:rsid w:val="00251251"/>
    <w:rsid w:val="002514E9"/>
    <w:rsid w:val="0025153B"/>
    <w:rsid w:val="00251D59"/>
    <w:rsid w:val="00251FE5"/>
    <w:rsid w:val="00252542"/>
    <w:rsid w:val="0025264E"/>
    <w:rsid w:val="00252659"/>
    <w:rsid w:val="002526BF"/>
    <w:rsid w:val="002527C5"/>
    <w:rsid w:val="00252940"/>
    <w:rsid w:val="0025298C"/>
    <w:rsid w:val="00252B34"/>
    <w:rsid w:val="00252C8B"/>
    <w:rsid w:val="00252D3E"/>
    <w:rsid w:val="00252DD2"/>
    <w:rsid w:val="0025351C"/>
    <w:rsid w:val="0025372D"/>
    <w:rsid w:val="00253927"/>
    <w:rsid w:val="00253970"/>
    <w:rsid w:val="002539D7"/>
    <w:rsid w:val="002539F8"/>
    <w:rsid w:val="00253AB5"/>
    <w:rsid w:val="00253B65"/>
    <w:rsid w:val="00253BF0"/>
    <w:rsid w:val="00253EB5"/>
    <w:rsid w:val="00253F6A"/>
    <w:rsid w:val="00253FBA"/>
    <w:rsid w:val="00253FCF"/>
    <w:rsid w:val="00254028"/>
    <w:rsid w:val="002541D2"/>
    <w:rsid w:val="0025444B"/>
    <w:rsid w:val="002544FE"/>
    <w:rsid w:val="00254906"/>
    <w:rsid w:val="0025497F"/>
    <w:rsid w:val="002549E9"/>
    <w:rsid w:val="002549F1"/>
    <w:rsid w:val="00254AB5"/>
    <w:rsid w:val="00254BCA"/>
    <w:rsid w:val="00254DBD"/>
    <w:rsid w:val="00254F1B"/>
    <w:rsid w:val="00255120"/>
    <w:rsid w:val="00255308"/>
    <w:rsid w:val="0025565D"/>
    <w:rsid w:val="00255685"/>
    <w:rsid w:val="0025571D"/>
    <w:rsid w:val="00255A2E"/>
    <w:rsid w:val="00255AC9"/>
    <w:rsid w:val="00255B54"/>
    <w:rsid w:val="002564E9"/>
    <w:rsid w:val="00256710"/>
    <w:rsid w:val="002567F7"/>
    <w:rsid w:val="0025689B"/>
    <w:rsid w:val="00256AC3"/>
    <w:rsid w:val="00256D5F"/>
    <w:rsid w:val="00256E80"/>
    <w:rsid w:val="00256FC8"/>
    <w:rsid w:val="0025716A"/>
    <w:rsid w:val="0025744C"/>
    <w:rsid w:val="0025750B"/>
    <w:rsid w:val="00257620"/>
    <w:rsid w:val="002577C2"/>
    <w:rsid w:val="002579E0"/>
    <w:rsid w:val="00257D58"/>
    <w:rsid w:val="00257E4F"/>
    <w:rsid w:val="00257EED"/>
    <w:rsid w:val="0026013D"/>
    <w:rsid w:val="00260155"/>
    <w:rsid w:val="00260172"/>
    <w:rsid w:val="002602D4"/>
    <w:rsid w:val="002604A8"/>
    <w:rsid w:val="002605D3"/>
    <w:rsid w:val="002606C1"/>
    <w:rsid w:val="00260897"/>
    <w:rsid w:val="00260B52"/>
    <w:rsid w:val="00260DE6"/>
    <w:rsid w:val="00261151"/>
    <w:rsid w:val="002611AF"/>
    <w:rsid w:val="002612B9"/>
    <w:rsid w:val="002614A1"/>
    <w:rsid w:val="002616C7"/>
    <w:rsid w:val="00261713"/>
    <w:rsid w:val="0026177D"/>
    <w:rsid w:val="002617C9"/>
    <w:rsid w:val="002617EF"/>
    <w:rsid w:val="00261C83"/>
    <w:rsid w:val="00262036"/>
    <w:rsid w:val="002620E1"/>
    <w:rsid w:val="002622D4"/>
    <w:rsid w:val="002623FF"/>
    <w:rsid w:val="00262683"/>
    <w:rsid w:val="00262988"/>
    <w:rsid w:val="00262BFA"/>
    <w:rsid w:val="00262C31"/>
    <w:rsid w:val="00262D2B"/>
    <w:rsid w:val="0026311B"/>
    <w:rsid w:val="00263187"/>
    <w:rsid w:val="0026324E"/>
    <w:rsid w:val="00263753"/>
    <w:rsid w:val="002637A2"/>
    <w:rsid w:val="00263885"/>
    <w:rsid w:val="0026390B"/>
    <w:rsid w:val="002639AD"/>
    <w:rsid w:val="00263A49"/>
    <w:rsid w:val="00263AFA"/>
    <w:rsid w:val="00263B80"/>
    <w:rsid w:val="00263BC1"/>
    <w:rsid w:val="00263C2C"/>
    <w:rsid w:val="00263EBB"/>
    <w:rsid w:val="00263F21"/>
    <w:rsid w:val="00263FB9"/>
    <w:rsid w:val="0026426E"/>
    <w:rsid w:val="00264485"/>
    <w:rsid w:val="0026495A"/>
    <w:rsid w:val="00264B54"/>
    <w:rsid w:val="00264ED7"/>
    <w:rsid w:val="002651F7"/>
    <w:rsid w:val="0026535F"/>
    <w:rsid w:val="00265465"/>
    <w:rsid w:val="0026549D"/>
    <w:rsid w:val="0026560C"/>
    <w:rsid w:val="00265680"/>
    <w:rsid w:val="002658D3"/>
    <w:rsid w:val="0026592B"/>
    <w:rsid w:val="00265A17"/>
    <w:rsid w:val="00265AEC"/>
    <w:rsid w:val="00265B34"/>
    <w:rsid w:val="00266011"/>
    <w:rsid w:val="0026612A"/>
    <w:rsid w:val="002661B3"/>
    <w:rsid w:val="00266230"/>
    <w:rsid w:val="0026649F"/>
    <w:rsid w:val="0026658D"/>
    <w:rsid w:val="00266857"/>
    <w:rsid w:val="00266A1C"/>
    <w:rsid w:val="00266BB4"/>
    <w:rsid w:val="00266FC6"/>
    <w:rsid w:val="00267003"/>
    <w:rsid w:val="00267024"/>
    <w:rsid w:val="0026714D"/>
    <w:rsid w:val="002672D6"/>
    <w:rsid w:val="002675B2"/>
    <w:rsid w:val="00267999"/>
    <w:rsid w:val="00267D31"/>
    <w:rsid w:val="00267E54"/>
    <w:rsid w:val="00267EA9"/>
    <w:rsid w:val="00267FAF"/>
    <w:rsid w:val="00267FB0"/>
    <w:rsid w:val="002702DC"/>
    <w:rsid w:val="00270450"/>
    <w:rsid w:val="002709C4"/>
    <w:rsid w:val="002709F9"/>
    <w:rsid w:val="00270BCE"/>
    <w:rsid w:val="00270C85"/>
    <w:rsid w:val="00270CE3"/>
    <w:rsid w:val="0027179E"/>
    <w:rsid w:val="00271961"/>
    <w:rsid w:val="00271B8C"/>
    <w:rsid w:val="00271D12"/>
    <w:rsid w:val="00271E1A"/>
    <w:rsid w:val="00271F4E"/>
    <w:rsid w:val="00272423"/>
    <w:rsid w:val="0027247D"/>
    <w:rsid w:val="0027248F"/>
    <w:rsid w:val="00272535"/>
    <w:rsid w:val="00272628"/>
    <w:rsid w:val="002727EA"/>
    <w:rsid w:val="0027288A"/>
    <w:rsid w:val="002728D8"/>
    <w:rsid w:val="0027296E"/>
    <w:rsid w:val="00272BD1"/>
    <w:rsid w:val="00272D5B"/>
    <w:rsid w:val="00272DE2"/>
    <w:rsid w:val="00272FEF"/>
    <w:rsid w:val="00273040"/>
    <w:rsid w:val="00273334"/>
    <w:rsid w:val="00273DDA"/>
    <w:rsid w:val="00273E31"/>
    <w:rsid w:val="00273EE9"/>
    <w:rsid w:val="00274075"/>
    <w:rsid w:val="0027425D"/>
    <w:rsid w:val="00274397"/>
    <w:rsid w:val="002745FA"/>
    <w:rsid w:val="00274694"/>
    <w:rsid w:val="002748E6"/>
    <w:rsid w:val="00274FE8"/>
    <w:rsid w:val="00275070"/>
    <w:rsid w:val="00275123"/>
    <w:rsid w:val="00275143"/>
    <w:rsid w:val="0027532B"/>
    <w:rsid w:val="00275686"/>
    <w:rsid w:val="0027587C"/>
    <w:rsid w:val="0027596B"/>
    <w:rsid w:val="00275976"/>
    <w:rsid w:val="00275A33"/>
    <w:rsid w:val="00275ED0"/>
    <w:rsid w:val="002761B0"/>
    <w:rsid w:val="002762EE"/>
    <w:rsid w:val="002765BC"/>
    <w:rsid w:val="002765FB"/>
    <w:rsid w:val="0027677B"/>
    <w:rsid w:val="00276B93"/>
    <w:rsid w:val="00276C5E"/>
    <w:rsid w:val="00276D8F"/>
    <w:rsid w:val="00276D9F"/>
    <w:rsid w:val="002776A1"/>
    <w:rsid w:val="002779CE"/>
    <w:rsid w:val="00277AAC"/>
    <w:rsid w:val="00280121"/>
    <w:rsid w:val="002807EC"/>
    <w:rsid w:val="00280818"/>
    <w:rsid w:val="002809D1"/>
    <w:rsid w:val="00280D88"/>
    <w:rsid w:val="0028192F"/>
    <w:rsid w:val="0028199B"/>
    <w:rsid w:val="00281DFF"/>
    <w:rsid w:val="00281E08"/>
    <w:rsid w:val="00281E68"/>
    <w:rsid w:val="00282220"/>
    <w:rsid w:val="002822CB"/>
    <w:rsid w:val="002823CD"/>
    <w:rsid w:val="00282820"/>
    <w:rsid w:val="002828A2"/>
    <w:rsid w:val="002828FC"/>
    <w:rsid w:val="00282A43"/>
    <w:rsid w:val="00282AA5"/>
    <w:rsid w:val="00282B03"/>
    <w:rsid w:val="00282F8C"/>
    <w:rsid w:val="002830EF"/>
    <w:rsid w:val="00283128"/>
    <w:rsid w:val="00283319"/>
    <w:rsid w:val="002834E3"/>
    <w:rsid w:val="002836BF"/>
    <w:rsid w:val="0028382A"/>
    <w:rsid w:val="00283966"/>
    <w:rsid w:val="00283C28"/>
    <w:rsid w:val="00283CA4"/>
    <w:rsid w:val="00283DB8"/>
    <w:rsid w:val="00284351"/>
    <w:rsid w:val="00284977"/>
    <w:rsid w:val="00284982"/>
    <w:rsid w:val="00284B16"/>
    <w:rsid w:val="002852E6"/>
    <w:rsid w:val="0028533E"/>
    <w:rsid w:val="002854BB"/>
    <w:rsid w:val="0028567A"/>
    <w:rsid w:val="00285986"/>
    <w:rsid w:val="0028598F"/>
    <w:rsid w:val="00285B7B"/>
    <w:rsid w:val="00285CC9"/>
    <w:rsid w:val="00285DA4"/>
    <w:rsid w:val="00285E15"/>
    <w:rsid w:val="002861D6"/>
    <w:rsid w:val="002863C3"/>
    <w:rsid w:val="00286491"/>
    <w:rsid w:val="00286508"/>
    <w:rsid w:val="002866FC"/>
    <w:rsid w:val="0028687C"/>
    <w:rsid w:val="00286FA0"/>
    <w:rsid w:val="00287597"/>
    <w:rsid w:val="0028797A"/>
    <w:rsid w:val="0028797C"/>
    <w:rsid w:val="00287AB6"/>
    <w:rsid w:val="00287DFD"/>
    <w:rsid w:val="00287F89"/>
    <w:rsid w:val="0029003F"/>
    <w:rsid w:val="00290122"/>
    <w:rsid w:val="00290166"/>
    <w:rsid w:val="00290397"/>
    <w:rsid w:val="00290612"/>
    <w:rsid w:val="002906AC"/>
    <w:rsid w:val="0029093F"/>
    <w:rsid w:val="00290B62"/>
    <w:rsid w:val="00290B89"/>
    <w:rsid w:val="00290B9E"/>
    <w:rsid w:val="00290BCA"/>
    <w:rsid w:val="00290C51"/>
    <w:rsid w:val="00290D81"/>
    <w:rsid w:val="00290FC8"/>
    <w:rsid w:val="0029115A"/>
    <w:rsid w:val="0029138E"/>
    <w:rsid w:val="002913E4"/>
    <w:rsid w:val="002917E6"/>
    <w:rsid w:val="00291B88"/>
    <w:rsid w:val="00291E5B"/>
    <w:rsid w:val="00291EAA"/>
    <w:rsid w:val="00292003"/>
    <w:rsid w:val="0029204D"/>
    <w:rsid w:val="0029272A"/>
    <w:rsid w:val="002928A5"/>
    <w:rsid w:val="0029292A"/>
    <w:rsid w:val="00292F7E"/>
    <w:rsid w:val="00293558"/>
    <w:rsid w:val="00293854"/>
    <w:rsid w:val="00293B10"/>
    <w:rsid w:val="00293BCB"/>
    <w:rsid w:val="00293E9F"/>
    <w:rsid w:val="00293EDF"/>
    <w:rsid w:val="0029421A"/>
    <w:rsid w:val="002945F4"/>
    <w:rsid w:val="00294A9D"/>
    <w:rsid w:val="00294AF7"/>
    <w:rsid w:val="002951E7"/>
    <w:rsid w:val="00295444"/>
    <w:rsid w:val="00295A41"/>
    <w:rsid w:val="00295A7D"/>
    <w:rsid w:val="00295B6A"/>
    <w:rsid w:val="00295BFF"/>
    <w:rsid w:val="00295EA9"/>
    <w:rsid w:val="00295F32"/>
    <w:rsid w:val="002963A5"/>
    <w:rsid w:val="002967AE"/>
    <w:rsid w:val="0029698F"/>
    <w:rsid w:val="00296B08"/>
    <w:rsid w:val="00296E57"/>
    <w:rsid w:val="002977D9"/>
    <w:rsid w:val="00297915"/>
    <w:rsid w:val="00297CDF"/>
    <w:rsid w:val="00297D48"/>
    <w:rsid w:val="00297DC7"/>
    <w:rsid w:val="00297FFB"/>
    <w:rsid w:val="002A02BE"/>
    <w:rsid w:val="002A077D"/>
    <w:rsid w:val="002A0A09"/>
    <w:rsid w:val="002A0F49"/>
    <w:rsid w:val="002A102C"/>
    <w:rsid w:val="002A1866"/>
    <w:rsid w:val="002A1ABA"/>
    <w:rsid w:val="002A1B18"/>
    <w:rsid w:val="002A1B4C"/>
    <w:rsid w:val="002A1C26"/>
    <w:rsid w:val="002A1CFD"/>
    <w:rsid w:val="002A1F7A"/>
    <w:rsid w:val="002A2080"/>
    <w:rsid w:val="002A2217"/>
    <w:rsid w:val="002A22A0"/>
    <w:rsid w:val="002A22E9"/>
    <w:rsid w:val="002A245E"/>
    <w:rsid w:val="002A24C5"/>
    <w:rsid w:val="002A28F1"/>
    <w:rsid w:val="002A2F2B"/>
    <w:rsid w:val="002A3116"/>
    <w:rsid w:val="002A326C"/>
    <w:rsid w:val="002A34E1"/>
    <w:rsid w:val="002A3511"/>
    <w:rsid w:val="002A3971"/>
    <w:rsid w:val="002A3AC1"/>
    <w:rsid w:val="002A3BF1"/>
    <w:rsid w:val="002A3E9E"/>
    <w:rsid w:val="002A4131"/>
    <w:rsid w:val="002A45AA"/>
    <w:rsid w:val="002A48FE"/>
    <w:rsid w:val="002A53D6"/>
    <w:rsid w:val="002A563B"/>
    <w:rsid w:val="002A5907"/>
    <w:rsid w:val="002A592C"/>
    <w:rsid w:val="002A5A41"/>
    <w:rsid w:val="002A5DF0"/>
    <w:rsid w:val="002A616C"/>
    <w:rsid w:val="002A636C"/>
    <w:rsid w:val="002A64D2"/>
    <w:rsid w:val="002A6519"/>
    <w:rsid w:val="002A6749"/>
    <w:rsid w:val="002A6791"/>
    <w:rsid w:val="002A67BD"/>
    <w:rsid w:val="002A6900"/>
    <w:rsid w:val="002A6964"/>
    <w:rsid w:val="002A6B20"/>
    <w:rsid w:val="002A6BA7"/>
    <w:rsid w:val="002A6D18"/>
    <w:rsid w:val="002A6ECA"/>
    <w:rsid w:val="002A7351"/>
    <w:rsid w:val="002A741A"/>
    <w:rsid w:val="002A74BE"/>
    <w:rsid w:val="002A7658"/>
    <w:rsid w:val="002A76BD"/>
    <w:rsid w:val="002A781C"/>
    <w:rsid w:val="002A7924"/>
    <w:rsid w:val="002A79FA"/>
    <w:rsid w:val="002A7A4C"/>
    <w:rsid w:val="002A7B7F"/>
    <w:rsid w:val="002A7BAE"/>
    <w:rsid w:val="002B0055"/>
    <w:rsid w:val="002B0275"/>
    <w:rsid w:val="002B02DE"/>
    <w:rsid w:val="002B0744"/>
    <w:rsid w:val="002B0878"/>
    <w:rsid w:val="002B087C"/>
    <w:rsid w:val="002B08B6"/>
    <w:rsid w:val="002B0C54"/>
    <w:rsid w:val="002B124D"/>
    <w:rsid w:val="002B16EA"/>
    <w:rsid w:val="002B18AC"/>
    <w:rsid w:val="002B18EF"/>
    <w:rsid w:val="002B1B60"/>
    <w:rsid w:val="002B1BD6"/>
    <w:rsid w:val="002B1C7C"/>
    <w:rsid w:val="002B1E19"/>
    <w:rsid w:val="002B2351"/>
    <w:rsid w:val="002B2803"/>
    <w:rsid w:val="002B296E"/>
    <w:rsid w:val="002B2D5C"/>
    <w:rsid w:val="002B2E7E"/>
    <w:rsid w:val="002B2FF2"/>
    <w:rsid w:val="002B301B"/>
    <w:rsid w:val="002B30C6"/>
    <w:rsid w:val="002B31CA"/>
    <w:rsid w:val="002B320D"/>
    <w:rsid w:val="002B368B"/>
    <w:rsid w:val="002B3C6C"/>
    <w:rsid w:val="002B3D7B"/>
    <w:rsid w:val="002B3D81"/>
    <w:rsid w:val="002B4274"/>
    <w:rsid w:val="002B42DE"/>
    <w:rsid w:val="002B4376"/>
    <w:rsid w:val="002B4639"/>
    <w:rsid w:val="002B4653"/>
    <w:rsid w:val="002B46C7"/>
    <w:rsid w:val="002B475E"/>
    <w:rsid w:val="002B47A3"/>
    <w:rsid w:val="002B4884"/>
    <w:rsid w:val="002B49B3"/>
    <w:rsid w:val="002B4A40"/>
    <w:rsid w:val="002B4BB3"/>
    <w:rsid w:val="002B4EF9"/>
    <w:rsid w:val="002B4F50"/>
    <w:rsid w:val="002B4F9B"/>
    <w:rsid w:val="002B5100"/>
    <w:rsid w:val="002B5A10"/>
    <w:rsid w:val="002B5CE7"/>
    <w:rsid w:val="002B61D1"/>
    <w:rsid w:val="002B69D3"/>
    <w:rsid w:val="002B6AF7"/>
    <w:rsid w:val="002B6AFA"/>
    <w:rsid w:val="002B6CEB"/>
    <w:rsid w:val="002B6F55"/>
    <w:rsid w:val="002B6FE0"/>
    <w:rsid w:val="002B70EA"/>
    <w:rsid w:val="002B7129"/>
    <w:rsid w:val="002B71B7"/>
    <w:rsid w:val="002B7285"/>
    <w:rsid w:val="002B76FB"/>
    <w:rsid w:val="002B772D"/>
    <w:rsid w:val="002B77FE"/>
    <w:rsid w:val="002B78D4"/>
    <w:rsid w:val="002B7AA6"/>
    <w:rsid w:val="002B7E47"/>
    <w:rsid w:val="002B7F77"/>
    <w:rsid w:val="002C0005"/>
    <w:rsid w:val="002C0228"/>
    <w:rsid w:val="002C0459"/>
    <w:rsid w:val="002C0507"/>
    <w:rsid w:val="002C07C3"/>
    <w:rsid w:val="002C096A"/>
    <w:rsid w:val="002C0B82"/>
    <w:rsid w:val="002C0BB4"/>
    <w:rsid w:val="002C138E"/>
    <w:rsid w:val="002C1391"/>
    <w:rsid w:val="002C16A7"/>
    <w:rsid w:val="002C1960"/>
    <w:rsid w:val="002C1962"/>
    <w:rsid w:val="002C19C6"/>
    <w:rsid w:val="002C1B5D"/>
    <w:rsid w:val="002C1CE7"/>
    <w:rsid w:val="002C1F1C"/>
    <w:rsid w:val="002C1FC6"/>
    <w:rsid w:val="002C21CA"/>
    <w:rsid w:val="002C23E7"/>
    <w:rsid w:val="002C2649"/>
    <w:rsid w:val="002C27D3"/>
    <w:rsid w:val="002C2AF0"/>
    <w:rsid w:val="002C2B19"/>
    <w:rsid w:val="002C2D23"/>
    <w:rsid w:val="002C2E0B"/>
    <w:rsid w:val="002C3561"/>
    <w:rsid w:val="002C3814"/>
    <w:rsid w:val="002C3A13"/>
    <w:rsid w:val="002C3A56"/>
    <w:rsid w:val="002C3A5F"/>
    <w:rsid w:val="002C405C"/>
    <w:rsid w:val="002C4104"/>
    <w:rsid w:val="002C411F"/>
    <w:rsid w:val="002C4428"/>
    <w:rsid w:val="002C4803"/>
    <w:rsid w:val="002C48EA"/>
    <w:rsid w:val="002C4B85"/>
    <w:rsid w:val="002C4D3C"/>
    <w:rsid w:val="002C5110"/>
    <w:rsid w:val="002C5187"/>
    <w:rsid w:val="002C527D"/>
    <w:rsid w:val="002C531E"/>
    <w:rsid w:val="002C5701"/>
    <w:rsid w:val="002C5D3C"/>
    <w:rsid w:val="002C5F08"/>
    <w:rsid w:val="002C606C"/>
    <w:rsid w:val="002C6159"/>
    <w:rsid w:val="002C6503"/>
    <w:rsid w:val="002C6560"/>
    <w:rsid w:val="002C668D"/>
    <w:rsid w:val="002C6877"/>
    <w:rsid w:val="002C6A86"/>
    <w:rsid w:val="002C6BA8"/>
    <w:rsid w:val="002C6FB1"/>
    <w:rsid w:val="002C73EC"/>
    <w:rsid w:val="002C74FB"/>
    <w:rsid w:val="002C793F"/>
    <w:rsid w:val="002C7AFF"/>
    <w:rsid w:val="002D005A"/>
    <w:rsid w:val="002D0255"/>
    <w:rsid w:val="002D0467"/>
    <w:rsid w:val="002D05F6"/>
    <w:rsid w:val="002D05FE"/>
    <w:rsid w:val="002D06AE"/>
    <w:rsid w:val="002D0947"/>
    <w:rsid w:val="002D0C5D"/>
    <w:rsid w:val="002D1274"/>
    <w:rsid w:val="002D17E1"/>
    <w:rsid w:val="002D1C1B"/>
    <w:rsid w:val="002D1D3C"/>
    <w:rsid w:val="002D1F7D"/>
    <w:rsid w:val="002D2369"/>
    <w:rsid w:val="002D2475"/>
    <w:rsid w:val="002D2867"/>
    <w:rsid w:val="002D2899"/>
    <w:rsid w:val="002D299F"/>
    <w:rsid w:val="002D29F9"/>
    <w:rsid w:val="002D2B95"/>
    <w:rsid w:val="002D2BBA"/>
    <w:rsid w:val="002D2D14"/>
    <w:rsid w:val="002D30F2"/>
    <w:rsid w:val="002D33AD"/>
    <w:rsid w:val="002D34E0"/>
    <w:rsid w:val="002D3661"/>
    <w:rsid w:val="002D3740"/>
    <w:rsid w:val="002D382B"/>
    <w:rsid w:val="002D3864"/>
    <w:rsid w:val="002D39D0"/>
    <w:rsid w:val="002D3D9A"/>
    <w:rsid w:val="002D3E4C"/>
    <w:rsid w:val="002D44C6"/>
    <w:rsid w:val="002D4572"/>
    <w:rsid w:val="002D4634"/>
    <w:rsid w:val="002D4856"/>
    <w:rsid w:val="002D49C6"/>
    <w:rsid w:val="002D4A05"/>
    <w:rsid w:val="002D4DA0"/>
    <w:rsid w:val="002D4E79"/>
    <w:rsid w:val="002D500A"/>
    <w:rsid w:val="002D551A"/>
    <w:rsid w:val="002D5614"/>
    <w:rsid w:val="002D57B9"/>
    <w:rsid w:val="002D5A98"/>
    <w:rsid w:val="002D5ACF"/>
    <w:rsid w:val="002D5AF6"/>
    <w:rsid w:val="002D5B5E"/>
    <w:rsid w:val="002D5B82"/>
    <w:rsid w:val="002D5C77"/>
    <w:rsid w:val="002D6085"/>
    <w:rsid w:val="002D60E9"/>
    <w:rsid w:val="002D61C0"/>
    <w:rsid w:val="002D6436"/>
    <w:rsid w:val="002D652B"/>
    <w:rsid w:val="002D65F9"/>
    <w:rsid w:val="002D67D6"/>
    <w:rsid w:val="002D6829"/>
    <w:rsid w:val="002D687C"/>
    <w:rsid w:val="002D6BEC"/>
    <w:rsid w:val="002D6C35"/>
    <w:rsid w:val="002D6E60"/>
    <w:rsid w:val="002D6ECD"/>
    <w:rsid w:val="002D70C1"/>
    <w:rsid w:val="002D72E8"/>
    <w:rsid w:val="002D740C"/>
    <w:rsid w:val="002D74A5"/>
    <w:rsid w:val="002D77EC"/>
    <w:rsid w:val="002D7B04"/>
    <w:rsid w:val="002D7D03"/>
    <w:rsid w:val="002D7D07"/>
    <w:rsid w:val="002D7F1C"/>
    <w:rsid w:val="002D7F46"/>
    <w:rsid w:val="002E014D"/>
    <w:rsid w:val="002E01A1"/>
    <w:rsid w:val="002E0300"/>
    <w:rsid w:val="002E03C5"/>
    <w:rsid w:val="002E04F9"/>
    <w:rsid w:val="002E0552"/>
    <w:rsid w:val="002E0B11"/>
    <w:rsid w:val="002E0B17"/>
    <w:rsid w:val="002E0F01"/>
    <w:rsid w:val="002E1251"/>
    <w:rsid w:val="002E12FF"/>
    <w:rsid w:val="002E1320"/>
    <w:rsid w:val="002E14B3"/>
    <w:rsid w:val="002E15BE"/>
    <w:rsid w:val="002E1642"/>
    <w:rsid w:val="002E1781"/>
    <w:rsid w:val="002E1842"/>
    <w:rsid w:val="002E1D85"/>
    <w:rsid w:val="002E2048"/>
    <w:rsid w:val="002E216F"/>
    <w:rsid w:val="002E2725"/>
    <w:rsid w:val="002E2B58"/>
    <w:rsid w:val="002E2D1B"/>
    <w:rsid w:val="002E2F69"/>
    <w:rsid w:val="002E31D3"/>
    <w:rsid w:val="002E3704"/>
    <w:rsid w:val="002E38E4"/>
    <w:rsid w:val="002E3926"/>
    <w:rsid w:val="002E3935"/>
    <w:rsid w:val="002E39A4"/>
    <w:rsid w:val="002E3BD5"/>
    <w:rsid w:val="002E3CB0"/>
    <w:rsid w:val="002E3E04"/>
    <w:rsid w:val="002E3F0E"/>
    <w:rsid w:val="002E42F5"/>
    <w:rsid w:val="002E4423"/>
    <w:rsid w:val="002E453C"/>
    <w:rsid w:val="002E4631"/>
    <w:rsid w:val="002E471A"/>
    <w:rsid w:val="002E47B2"/>
    <w:rsid w:val="002E4BE9"/>
    <w:rsid w:val="002E4C71"/>
    <w:rsid w:val="002E4D7D"/>
    <w:rsid w:val="002E4D8D"/>
    <w:rsid w:val="002E4ED2"/>
    <w:rsid w:val="002E4EFA"/>
    <w:rsid w:val="002E4FAD"/>
    <w:rsid w:val="002E4FB3"/>
    <w:rsid w:val="002E50BA"/>
    <w:rsid w:val="002E56AE"/>
    <w:rsid w:val="002E5753"/>
    <w:rsid w:val="002E589E"/>
    <w:rsid w:val="002E590C"/>
    <w:rsid w:val="002E5C74"/>
    <w:rsid w:val="002E5CFF"/>
    <w:rsid w:val="002E5DEB"/>
    <w:rsid w:val="002E5FE8"/>
    <w:rsid w:val="002E617B"/>
    <w:rsid w:val="002E64DB"/>
    <w:rsid w:val="002E67CD"/>
    <w:rsid w:val="002E67E1"/>
    <w:rsid w:val="002E7082"/>
    <w:rsid w:val="002E7404"/>
    <w:rsid w:val="002E7510"/>
    <w:rsid w:val="002E7646"/>
    <w:rsid w:val="002E78F5"/>
    <w:rsid w:val="002E799A"/>
    <w:rsid w:val="002E79B6"/>
    <w:rsid w:val="002E79F7"/>
    <w:rsid w:val="002E7B3D"/>
    <w:rsid w:val="002F0295"/>
    <w:rsid w:val="002F0583"/>
    <w:rsid w:val="002F091B"/>
    <w:rsid w:val="002F0A73"/>
    <w:rsid w:val="002F0DFF"/>
    <w:rsid w:val="002F0EF5"/>
    <w:rsid w:val="002F0F39"/>
    <w:rsid w:val="002F14A6"/>
    <w:rsid w:val="002F163F"/>
    <w:rsid w:val="002F1AC3"/>
    <w:rsid w:val="002F1CC0"/>
    <w:rsid w:val="002F1DD8"/>
    <w:rsid w:val="002F1E70"/>
    <w:rsid w:val="002F2010"/>
    <w:rsid w:val="002F21B8"/>
    <w:rsid w:val="002F2357"/>
    <w:rsid w:val="002F24AF"/>
    <w:rsid w:val="002F2531"/>
    <w:rsid w:val="002F266F"/>
    <w:rsid w:val="002F2AED"/>
    <w:rsid w:val="002F2D3E"/>
    <w:rsid w:val="002F2D43"/>
    <w:rsid w:val="002F2ED3"/>
    <w:rsid w:val="002F3134"/>
    <w:rsid w:val="002F3336"/>
    <w:rsid w:val="002F3642"/>
    <w:rsid w:val="002F3758"/>
    <w:rsid w:val="002F38FE"/>
    <w:rsid w:val="002F3993"/>
    <w:rsid w:val="002F399A"/>
    <w:rsid w:val="002F3B39"/>
    <w:rsid w:val="002F3C76"/>
    <w:rsid w:val="002F3D60"/>
    <w:rsid w:val="002F3DFF"/>
    <w:rsid w:val="002F3EE1"/>
    <w:rsid w:val="002F4148"/>
    <w:rsid w:val="002F4165"/>
    <w:rsid w:val="002F4216"/>
    <w:rsid w:val="002F43A1"/>
    <w:rsid w:val="002F4654"/>
    <w:rsid w:val="002F46D5"/>
    <w:rsid w:val="002F4A32"/>
    <w:rsid w:val="002F4D10"/>
    <w:rsid w:val="002F4FF5"/>
    <w:rsid w:val="002F546A"/>
    <w:rsid w:val="002F5A9C"/>
    <w:rsid w:val="002F5E52"/>
    <w:rsid w:val="002F62A5"/>
    <w:rsid w:val="002F630D"/>
    <w:rsid w:val="002F6B68"/>
    <w:rsid w:val="002F6BB8"/>
    <w:rsid w:val="002F6BD9"/>
    <w:rsid w:val="002F6E1D"/>
    <w:rsid w:val="002F6F5E"/>
    <w:rsid w:val="002F6F62"/>
    <w:rsid w:val="002F7175"/>
    <w:rsid w:val="002F7444"/>
    <w:rsid w:val="002F765C"/>
    <w:rsid w:val="002F776E"/>
    <w:rsid w:val="002F7C40"/>
    <w:rsid w:val="002F7DDE"/>
    <w:rsid w:val="002F7EC2"/>
    <w:rsid w:val="003002E7"/>
    <w:rsid w:val="00300394"/>
    <w:rsid w:val="003007C4"/>
    <w:rsid w:val="00300972"/>
    <w:rsid w:val="003009AF"/>
    <w:rsid w:val="003013CF"/>
    <w:rsid w:val="003018D7"/>
    <w:rsid w:val="00301E6B"/>
    <w:rsid w:val="00302184"/>
    <w:rsid w:val="00302414"/>
    <w:rsid w:val="003025BD"/>
    <w:rsid w:val="003025D4"/>
    <w:rsid w:val="00302685"/>
    <w:rsid w:val="00302740"/>
    <w:rsid w:val="003027B8"/>
    <w:rsid w:val="00302CA1"/>
    <w:rsid w:val="00302D06"/>
    <w:rsid w:val="00302D87"/>
    <w:rsid w:val="00302E8D"/>
    <w:rsid w:val="00303058"/>
    <w:rsid w:val="00303121"/>
    <w:rsid w:val="00303198"/>
    <w:rsid w:val="003031DD"/>
    <w:rsid w:val="00303ACD"/>
    <w:rsid w:val="00303B37"/>
    <w:rsid w:val="00303D22"/>
    <w:rsid w:val="00303FEA"/>
    <w:rsid w:val="0030446F"/>
    <w:rsid w:val="003046F7"/>
    <w:rsid w:val="00304B48"/>
    <w:rsid w:val="00304E08"/>
    <w:rsid w:val="00304F49"/>
    <w:rsid w:val="00305266"/>
    <w:rsid w:val="00305974"/>
    <w:rsid w:val="00305FE9"/>
    <w:rsid w:val="003061F8"/>
    <w:rsid w:val="003064AC"/>
    <w:rsid w:val="0030675C"/>
    <w:rsid w:val="00306B6D"/>
    <w:rsid w:val="00306FDE"/>
    <w:rsid w:val="0030710A"/>
    <w:rsid w:val="0030720F"/>
    <w:rsid w:val="003075F9"/>
    <w:rsid w:val="00307769"/>
    <w:rsid w:val="00307773"/>
    <w:rsid w:val="003078C5"/>
    <w:rsid w:val="00307900"/>
    <w:rsid w:val="00307BA5"/>
    <w:rsid w:val="00307BA7"/>
    <w:rsid w:val="00307DDF"/>
    <w:rsid w:val="00310023"/>
    <w:rsid w:val="00310300"/>
    <w:rsid w:val="003103F6"/>
    <w:rsid w:val="0031054D"/>
    <w:rsid w:val="00310A58"/>
    <w:rsid w:val="00310CD2"/>
    <w:rsid w:val="00310CE3"/>
    <w:rsid w:val="00310E3A"/>
    <w:rsid w:val="0031100D"/>
    <w:rsid w:val="00311055"/>
    <w:rsid w:val="003114B3"/>
    <w:rsid w:val="00311570"/>
    <w:rsid w:val="00311D96"/>
    <w:rsid w:val="00311D9C"/>
    <w:rsid w:val="00311DE8"/>
    <w:rsid w:val="003120AB"/>
    <w:rsid w:val="0031215D"/>
    <w:rsid w:val="003124C3"/>
    <w:rsid w:val="00312539"/>
    <w:rsid w:val="00312A20"/>
    <w:rsid w:val="00312A4B"/>
    <w:rsid w:val="00312F4F"/>
    <w:rsid w:val="00313111"/>
    <w:rsid w:val="0031319E"/>
    <w:rsid w:val="003134C6"/>
    <w:rsid w:val="00313641"/>
    <w:rsid w:val="00313B1B"/>
    <w:rsid w:val="00313C49"/>
    <w:rsid w:val="00313F1B"/>
    <w:rsid w:val="0031464B"/>
    <w:rsid w:val="00314663"/>
    <w:rsid w:val="003146A3"/>
    <w:rsid w:val="00314914"/>
    <w:rsid w:val="00314985"/>
    <w:rsid w:val="0031498D"/>
    <w:rsid w:val="00314E46"/>
    <w:rsid w:val="00314E5B"/>
    <w:rsid w:val="00314E93"/>
    <w:rsid w:val="003152B5"/>
    <w:rsid w:val="00315514"/>
    <w:rsid w:val="0031579A"/>
    <w:rsid w:val="003157F9"/>
    <w:rsid w:val="00315C62"/>
    <w:rsid w:val="00315EC0"/>
    <w:rsid w:val="0031615D"/>
    <w:rsid w:val="003162E2"/>
    <w:rsid w:val="0031665A"/>
    <w:rsid w:val="00316725"/>
    <w:rsid w:val="00316944"/>
    <w:rsid w:val="00316AD0"/>
    <w:rsid w:val="00316B78"/>
    <w:rsid w:val="00317582"/>
    <w:rsid w:val="00317B2D"/>
    <w:rsid w:val="00317BA8"/>
    <w:rsid w:val="00317CEA"/>
    <w:rsid w:val="00317DC9"/>
    <w:rsid w:val="00317F22"/>
    <w:rsid w:val="00320067"/>
    <w:rsid w:val="0032018E"/>
    <w:rsid w:val="00320743"/>
    <w:rsid w:val="00320C89"/>
    <w:rsid w:val="00320D3E"/>
    <w:rsid w:val="00320DC2"/>
    <w:rsid w:val="0032120F"/>
    <w:rsid w:val="00321331"/>
    <w:rsid w:val="0032141B"/>
    <w:rsid w:val="00321613"/>
    <w:rsid w:val="00321924"/>
    <w:rsid w:val="00321AFF"/>
    <w:rsid w:val="00321D77"/>
    <w:rsid w:val="00321FA7"/>
    <w:rsid w:val="00322125"/>
    <w:rsid w:val="0032213C"/>
    <w:rsid w:val="00322255"/>
    <w:rsid w:val="00322A12"/>
    <w:rsid w:val="00322BEB"/>
    <w:rsid w:val="0032387A"/>
    <w:rsid w:val="00323AAF"/>
    <w:rsid w:val="00323DDB"/>
    <w:rsid w:val="00323F8D"/>
    <w:rsid w:val="0032410E"/>
    <w:rsid w:val="003241FB"/>
    <w:rsid w:val="003246FC"/>
    <w:rsid w:val="00324725"/>
    <w:rsid w:val="0032479F"/>
    <w:rsid w:val="00324967"/>
    <w:rsid w:val="00324C1C"/>
    <w:rsid w:val="003250F7"/>
    <w:rsid w:val="0032520F"/>
    <w:rsid w:val="00325228"/>
    <w:rsid w:val="00325349"/>
    <w:rsid w:val="00325836"/>
    <w:rsid w:val="00325871"/>
    <w:rsid w:val="00325BEE"/>
    <w:rsid w:val="00325FAE"/>
    <w:rsid w:val="0032624B"/>
    <w:rsid w:val="0032676D"/>
    <w:rsid w:val="00326871"/>
    <w:rsid w:val="00326928"/>
    <w:rsid w:val="00326A45"/>
    <w:rsid w:val="00326B6F"/>
    <w:rsid w:val="00326BDA"/>
    <w:rsid w:val="00326C71"/>
    <w:rsid w:val="00326E37"/>
    <w:rsid w:val="00326E72"/>
    <w:rsid w:val="00327535"/>
    <w:rsid w:val="00327A4E"/>
    <w:rsid w:val="00327F9D"/>
    <w:rsid w:val="003302A0"/>
    <w:rsid w:val="003306CC"/>
    <w:rsid w:val="00330912"/>
    <w:rsid w:val="00330984"/>
    <w:rsid w:val="00330DE2"/>
    <w:rsid w:val="0033132C"/>
    <w:rsid w:val="003314B1"/>
    <w:rsid w:val="003316E6"/>
    <w:rsid w:val="00331801"/>
    <w:rsid w:val="00331EBF"/>
    <w:rsid w:val="00331EFE"/>
    <w:rsid w:val="00332138"/>
    <w:rsid w:val="00332544"/>
    <w:rsid w:val="003326E6"/>
    <w:rsid w:val="00332740"/>
    <w:rsid w:val="00332896"/>
    <w:rsid w:val="003328A6"/>
    <w:rsid w:val="00332A4D"/>
    <w:rsid w:val="00332A89"/>
    <w:rsid w:val="00332B20"/>
    <w:rsid w:val="00332B21"/>
    <w:rsid w:val="00332CA9"/>
    <w:rsid w:val="00332D74"/>
    <w:rsid w:val="00332E16"/>
    <w:rsid w:val="00332E79"/>
    <w:rsid w:val="003331DD"/>
    <w:rsid w:val="003334E4"/>
    <w:rsid w:val="003336B7"/>
    <w:rsid w:val="00333A62"/>
    <w:rsid w:val="00333AAE"/>
    <w:rsid w:val="00333D6A"/>
    <w:rsid w:val="00333E99"/>
    <w:rsid w:val="00334147"/>
    <w:rsid w:val="0033430A"/>
    <w:rsid w:val="003344FA"/>
    <w:rsid w:val="00334A36"/>
    <w:rsid w:val="00334B7D"/>
    <w:rsid w:val="00334EE9"/>
    <w:rsid w:val="0033553A"/>
    <w:rsid w:val="00335662"/>
    <w:rsid w:val="00335765"/>
    <w:rsid w:val="00335870"/>
    <w:rsid w:val="003359EB"/>
    <w:rsid w:val="00335BA2"/>
    <w:rsid w:val="00335BC6"/>
    <w:rsid w:val="0033603C"/>
    <w:rsid w:val="00336194"/>
    <w:rsid w:val="003362F1"/>
    <w:rsid w:val="00336575"/>
    <w:rsid w:val="0033671D"/>
    <w:rsid w:val="00336865"/>
    <w:rsid w:val="003368C4"/>
    <w:rsid w:val="003369D5"/>
    <w:rsid w:val="00336B5A"/>
    <w:rsid w:val="00337234"/>
    <w:rsid w:val="00337421"/>
    <w:rsid w:val="00337447"/>
    <w:rsid w:val="00337579"/>
    <w:rsid w:val="003378D3"/>
    <w:rsid w:val="0033793E"/>
    <w:rsid w:val="00337F4C"/>
    <w:rsid w:val="0034032D"/>
    <w:rsid w:val="00340BCE"/>
    <w:rsid w:val="00340C80"/>
    <w:rsid w:val="00340C94"/>
    <w:rsid w:val="00340D63"/>
    <w:rsid w:val="00341286"/>
    <w:rsid w:val="00341370"/>
    <w:rsid w:val="00341B0B"/>
    <w:rsid w:val="00341FAF"/>
    <w:rsid w:val="0034282B"/>
    <w:rsid w:val="00342920"/>
    <w:rsid w:val="00342B28"/>
    <w:rsid w:val="003431DD"/>
    <w:rsid w:val="00343508"/>
    <w:rsid w:val="003435CB"/>
    <w:rsid w:val="00343780"/>
    <w:rsid w:val="00343A3B"/>
    <w:rsid w:val="00343BC9"/>
    <w:rsid w:val="00343CB8"/>
    <w:rsid w:val="00343CC5"/>
    <w:rsid w:val="00343CE3"/>
    <w:rsid w:val="00343E5D"/>
    <w:rsid w:val="00343E63"/>
    <w:rsid w:val="00343FB9"/>
    <w:rsid w:val="0034455D"/>
    <w:rsid w:val="0034457F"/>
    <w:rsid w:val="003445C0"/>
    <w:rsid w:val="003445C9"/>
    <w:rsid w:val="003446B6"/>
    <w:rsid w:val="0034478E"/>
    <w:rsid w:val="00344A50"/>
    <w:rsid w:val="00344CD3"/>
    <w:rsid w:val="00344D11"/>
    <w:rsid w:val="00344D16"/>
    <w:rsid w:val="00344D6A"/>
    <w:rsid w:val="00344FDA"/>
    <w:rsid w:val="00345367"/>
    <w:rsid w:val="00345444"/>
    <w:rsid w:val="00345470"/>
    <w:rsid w:val="0034549B"/>
    <w:rsid w:val="003455A7"/>
    <w:rsid w:val="003456E0"/>
    <w:rsid w:val="00345C3B"/>
    <w:rsid w:val="00346088"/>
    <w:rsid w:val="0034676E"/>
    <w:rsid w:val="00346885"/>
    <w:rsid w:val="003468D9"/>
    <w:rsid w:val="00346D6D"/>
    <w:rsid w:val="00346FE5"/>
    <w:rsid w:val="00347216"/>
    <w:rsid w:val="0034723F"/>
    <w:rsid w:val="00347473"/>
    <w:rsid w:val="00347623"/>
    <w:rsid w:val="003477BB"/>
    <w:rsid w:val="003478A1"/>
    <w:rsid w:val="00347931"/>
    <w:rsid w:val="00347C26"/>
    <w:rsid w:val="00350138"/>
    <w:rsid w:val="0035024F"/>
    <w:rsid w:val="003504C1"/>
    <w:rsid w:val="00350AC2"/>
    <w:rsid w:val="00350D87"/>
    <w:rsid w:val="00350E26"/>
    <w:rsid w:val="00351081"/>
    <w:rsid w:val="0035129F"/>
    <w:rsid w:val="0035141E"/>
    <w:rsid w:val="00351490"/>
    <w:rsid w:val="0035149D"/>
    <w:rsid w:val="0035167B"/>
    <w:rsid w:val="0035185D"/>
    <w:rsid w:val="003518D1"/>
    <w:rsid w:val="003519DD"/>
    <w:rsid w:val="003520ED"/>
    <w:rsid w:val="00352213"/>
    <w:rsid w:val="00352371"/>
    <w:rsid w:val="003524FD"/>
    <w:rsid w:val="003527ED"/>
    <w:rsid w:val="00352845"/>
    <w:rsid w:val="00352AAD"/>
    <w:rsid w:val="00352E90"/>
    <w:rsid w:val="00352F63"/>
    <w:rsid w:val="003530D2"/>
    <w:rsid w:val="00353151"/>
    <w:rsid w:val="00353218"/>
    <w:rsid w:val="00353285"/>
    <w:rsid w:val="003532FE"/>
    <w:rsid w:val="0035399F"/>
    <w:rsid w:val="00353E62"/>
    <w:rsid w:val="003540D1"/>
    <w:rsid w:val="0035420F"/>
    <w:rsid w:val="0035443B"/>
    <w:rsid w:val="00354594"/>
    <w:rsid w:val="00354893"/>
    <w:rsid w:val="0035498A"/>
    <w:rsid w:val="00354CB3"/>
    <w:rsid w:val="00354F7D"/>
    <w:rsid w:val="00355001"/>
    <w:rsid w:val="00355009"/>
    <w:rsid w:val="00355387"/>
    <w:rsid w:val="003555D9"/>
    <w:rsid w:val="00355A5B"/>
    <w:rsid w:val="00355AA3"/>
    <w:rsid w:val="00355D5C"/>
    <w:rsid w:val="00355E86"/>
    <w:rsid w:val="00355E9A"/>
    <w:rsid w:val="003565C2"/>
    <w:rsid w:val="003566ED"/>
    <w:rsid w:val="00356908"/>
    <w:rsid w:val="00356A73"/>
    <w:rsid w:val="00356B27"/>
    <w:rsid w:val="00356C58"/>
    <w:rsid w:val="00356DB2"/>
    <w:rsid w:val="00356EBB"/>
    <w:rsid w:val="00356F45"/>
    <w:rsid w:val="003572E7"/>
    <w:rsid w:val="0035731D"/>
    <w:rsid w:val="003574D3"/>
    <w:rsid w:val="00357933"/>
    <w:rsid w:val="00357AE6"/>
    <w:rsid w:val="00360284"/>
    <w:rsid w:val="003602A7"/>
    <w:rsid w:val="003603DA"/>
    <w:rsid w:val="003604A8"/>
    <w:rsid w:val="003604AD"/>
    <w:rsid w:val="0036059E"/>
    <w:rsid w:val="003606B0"/>
    <w:rsid w:val="00360790"/>
    <w:rsid w:val="00360881"/>
    <w:rsid w:val="003609BC"/>
    <w:rsid w:val="00360B60"/>
    <w:rsid w:val="00360C68"/>
    <w:rsid w:val="00360CCA"/>
    <w:rsid w:val="00360F23"/>
    <w:rsid w:val="003612E7"/>
    <w:rsid w:val="003614C6"/>
    <w:rsid w:val="003614EC"/>
    <w:rsid w:val="00361AB1"/>
    <w:rsid w:val="00361DB6"/>
    <w:rsid w:val="00361E26"/>
    <w:rsid w:val="00361F5A"/>
    <w:rsid w:val="003621B4"/>
    <w:rsid w:val="003622B2"/>
    <w:rsid w:val="00362A9C"/>
    <w:rsid w:val="00362B5C"/>
    <w:rsid w:val="00362E46"/>
    <w:rsid w:val="003630CB"/>
    <w:rsid w:val="003634CC"/>
    <w:rsid w:val="003634E1"/>
    <w:rsid w:val="00363565"/>
    <w:rsid w:val="0036356D"/>
    <w:rsid w:val="00363DCC"/>
    <w:rsid w:val="00364485"/>
    <w:rsid w:val="00364557"/>
    <w:rsid w:val="00364610"/>
    <w:rsid w:val="0036467A"/>
    <w:rsid w:val="00364682"/>
    <w:rsid w:val="00364830"/>
    <w:rsid w:val="003648DB"/>
    <w:rsid w:val="003649CB"/>
    <w:rsid w:val="00364A38"/>
    <w:rsid w:val="00364C21"/>
    <w:rsid w:val="00364EB5"/>
    <w:rsid w:val="00364F62"/>
    <w:rsid w:val="00365209"/>
    <w:rsid w:val="003658BF"/>
    <w:rsid w:val="00365AAD"/>
    <w:rsid w:val="00365B74"/>
    <w:rsid w:val="00365B8A"/>
    <w:rsid w:val="00365DC2"/>
    <w:rsid w:val="00365FE9"/>
    <w:rsid w:val="003661E0"/>
    <w:rsid w:val="00366612"/>
    <w:rsid w:val="003667B3"/>
    <w:rsid w:val="00366842"/>
    <w:rsid w:val="0036692C"/>
    <w:rsid w:val="00366A35"/>
    <w:rsid w:val="00366B44"/>
    <w:rsid w:val="00366C7B"/>
    <w:rsid w:val="00366C7E"/>
    <w:rsid w:val="00366C99"/>
    <w:rsid w:val="00366DEA"/>
    <w:rsid w:val="00366E2B"/>
    <w:rsid w:val="00366F27"/>
    <w:rsid w:val="00366F40"/>
    <w:rsid w:val="00366F47"/>
    <w:rsid w:val="00366FF4"/>
    <w:rsid w:val="0036701E"/>
    <w:rsid w:val="003672AA"/>
    <w:rsid w:val="003672CD"/>
    <w:rsid w:val="00367403"/>
    <w:rsid w:val="003675DA"/>
    <w:rsid w:val="00367662"/>
    <w:rsid w:val="00367C48"/>
    <w:rsid w:val="00367D6F"/>
    <w:rsid w:val="0037003B"/>
    <w:rsid w:val="003704A7"/>
    <w:rsid w:val="003705DC"/>
    <w:rsid w:val="00370711"/>
    <w:rsid w:val="003709A7"/>
    <w:rsid w:val="00370C4E"/>
    <w:rsid w:val="00370F3E"/>
    <w:rsid w:val="00370F7F"/>
    <w:rsid w:val="00370FF5"/>
    <w:rsid w:val="003718BB"/>
    <w:rsid w:val="003718D9"/>
    <w:rsid w:val="00371A08"/>
    <w:rsid w:val="00371B84"/>
    <w:rsid w:val="00371C12"/>
    <w:rsid w:val="00371E54"/>
    <w:rsid w:val="00371EF4"/>
    <w:rsid w:val="00371FB9"/>
    <w:rsid w:val="0037213B"/>
    <w:rsid w:val="00372172"/>
    <w:rsid w:val="003721DB"/>
    <w:rsid w:val="0037229F"/>
    <w:rsid w:val="003724D4"/>
    <w:rsid w:val="00372545"/>
    <w:rsid w:val="00372579"/>
    <w:rsid w:val="003728EB"/>
    <w:rsid w:val="00372AC2"/>
    <w:rsid w:val="00372E22"/>
    <w:rsid w:val="00372E3C"/>
    <w:rsid w:val="00372FD5"/>
    <w:rsid w:val="00373801"/>
    <w:rsid w:val="003738C7"/>
    <w:rsid w:val="00373C50"/>
    <w:rsid w:val="00373CCA"/>
    <w:rsid w:val="00373DB6"/>
    <w:rsid w:val="00373EE8"/>
    <w:rsid w:val="0037449E"/>
    <w:rsid w:val="003744AB"/>
    <w:rsid w:val="003744F2"/>
    <w:rsid w:val="00374532"/>
    <w:rsid w:val="003746D2"/>
    <w:rsid w:val="003748A1"/>
    <w:rsid w:val="00374AF9"/>
    <w:rsid w:val="00374C8D"/>
    <w:rsid w:val="00374F2B"/>
    <w:rsid w:val="0037515C"/>
    <w:rsid w:val="003751C1"/>
    <w:rsid w:val="003751CF"/>
    <w:rsid w:val="00375360"/>
    <w:rsid w:val="00375499"/>
    <w:rsid w:val="00375836"/>
    <w:rsid w:val="00375EBD"/>
    <w:rsid w:val="00375FA1"/>
    <w:rsid w:val="0037607B"/>
    <w:rsid w:val="003765E5"/>
    <w:rsid w:val="00376B19"/>
    <w:rsid w:val="00376DCC"/>
    <w:rsid w:val="00376E7A"/>
    <w:rsid w:val="00376FBC"/>
    <w:rsid w:val="0037700A"/>
    <w:rsid w:val="003771B3"/>
    <w:rsid w:val="0037724F"/>
    <w:rsid w:val="003772DE"/>
    <w:rsid w:val="003772E4"/>
    <w:rsid w:val="003775C2"/>
    <w:rsid w:val="003775E1"/>
    <w:rsid w:val="003779F2"/>
    <w:rsid w:val="00377CC0"/>
    <w:rsid w:val="00377D4B"/>
    <w:rsid w:val="00377E26"/>
    <w:rsid w:val="00377F76"/>
    <w:rsid w:val="003800A8"/>
    <w:rsid w:val="003800C7"/>
    <w:rsid w:val="00380194"/>
    <w:rsid w:val="00380285"/>
    <w:rsid w:val="003804ED"/>
    <w:rsid w:val="003809F6"/>
    <w:rsid w:val="00380B73"/>
    <w:rsid w:val="003810C5"/>
    <w:rsid w:val="00381429"/>
    <w:rsid w:val="003814A7"/>
    <w:rsid w:val="0038176A"/>
    <w:rsid w:val="00381B0C"/>
    <w:rsid w:val="00381E40"/>
    <w:rsid w:val="00381FA1"/>
    <w:rsid w:val="00381FB2"/>
    <w:rsid w:val="00382073"/>
    <w:rsid w:val="003825DC"/>
    <w:rsid w:val="0038288C"/>
    <w:rsid w:val="00382AC5"/>
    <w:rsid w:val="00382D57"/>
    <w:rsid w:val="00383296"/>
    <w:rsid w:val="00383514"/>
    <w:rsid w:val="00383748"/>
    <w:rsid w:val="00383868"/>
    <w:rsid w:val="00383908"/>
    <w:rsid w:val="00383964"/>
    <w:rsid w:val="00383E16"/>
    <w:rsid w:val="00383F4F"/>
    <w:rsid w:val="003850A8"/>
    <w:rsid w:val="003850D9"/>
    <w:rsid w:val="00385142"/>
    <w:rsid w:val="0038533A"/>
    <w:rsid w:val="00385361"/>
    <w:rsid w:val="00385495"/>
    <w:rsid w:val="00385670"/>
    <w:rsid w:val="003859A5"/>
    <w:rsid w:val="00385BE7"/>
    <w:rsid w:val="00385C96"/>
    <w:rsid w:val="00385EAD"/>
    <w:rsid w:val="00385EE6"/>
    <w:rsid w:val="003860A4"/>
    <w:rsid w:val="0038634F"/>
    <w:rsid w:val="0038694F"/>
    <w:rsid w:val="00386B2D"/>
    <w:rsid w:val="00386C3D"/>
    <w:rsid w:val="00387173"/>
    <w:rsid w:val="00387229"/>
    <w:rsid w:val="00387506"/>
    <w:rsid w:val="003875E8"/>
    <w:rsid w:val="0038770B"/>
    <w:rsid w:val="0038780C"/>
    <w:rsid w:val="003878D0"/>
    <w:rsid w:val="00387C96"/>
    <w:rsid w:val="00387CE1"/>
    <w:rsid w:val="00387D06"/>
    <w:rsid w:val="00387D12"/>
    <w:rsid w:val="00387EDB"/>
    <w:rsid w:val="00387F97"/>
    <w:rsid w:val="003905FB"/>
    <w:rsid w:val="00390A95"/>
    <w:rsid w:val="00390D4F"/>
    <w:rsid w:val="0039103A"/>
    <w:rsid w:val="003910D5"/>
    <w:rsid w:val="003914B0"/>
    <w:rsid w:val="00391799"/>
    <w:rsid w:val="0039185D"/>
    <w:rsid w:val="00391956"/>
    <w:rsid w:val="00391D31"/>
    <w:rsid w:val="00391EB7"/>
    <w:rsid w:val="00391F50"/>
    <w:rsid w:val="00392148"/>
    <w:rsid w:val="00392234"/>
    <w:rsid w:val="00392770"/>
    <w:rsid w:val="00392C5C"/>
    <w:rsid w:val="00392E5D"/>
    <w:rsid w:val="00392F62"/>
    <w:rsid w:val="00393121"/>
    <w:rsid w:val="0039312E"/>
    <w:rsid w:val="00393272"/>
    <w:rsid w:val="003932FD"/>
    <w:rsid w:val="00393366"/>
    <w:rsid w:val="00393595"/>
    <w:rsid w:val="0039387E"/>
    <w:rsid w:val="00393AF3"/>
    <w:rsid w:val="00393BD3"/>
    <w:rsid w:val="00393F5A"/>
    <w:rsid w:val="00394012"/>
    <w:rsid w:val="00394855"/>
    <w:rsid w:val="00394D4C"/>
    <w:rsid w:val="00394E7F"/>
    <w:rsid w:val="003951ED"/>
    <w:rsid w:val="003955CB"/>
    <w:rsid w:val="003955E3"/>
    <w:rsid w:val="00395630"/>
    <w:rsid w:val="0039563C"/>
    <w:rsid w:val="0039567D"/>
    <w:rsid w:val="0039571B"/>
    <w:rsid w:val="00395905"/>
    <w:rsid w:val="00395B89"/>
    <w:rsid w:val="00395D9E"/>
    <w:rsid w:val="00395FEC"/>
    <w:rsid w:val="003962DF"/>
    <w:rsid w:val="00396A58"/>
    <w:rsid w:val="00396ECC"/>
    <w:rsid w:val="00396FC6"/>
    <w:rsid w:val="0039730C"/>
    <w:rsid w:val="003976EB"/>
    <w:rsid w:val="003979BF"/>
    <w:rsid w:val="00397A40"/>
    <w:rsid w:val="00397B7E"/>
    <w:rsid w:val="00397FED"/>
    <w:rsid w:val="003A0061"/>
    <w:rsid w:val="003A03B9"/>
    <w:rsid w:val="003A05EE"/>
    <w:rsid w:val="003A08E2"/>
    <w:rsid w:val="003A0970"/>
    <w:rsid w:val="003A09B2"/>
    <w:rsid w:val="003A0AF1"/>
    <w:rsid w:val="003A0BBF"/>
    <w:rsid w:val="003A0C54"/>
    <w:rsid w:val="003A0F60"/>
    <w:rsid w:val="003A1723"/>
    <w:rsid w:val="003A17C8"/>
    <w:rsid w:val="003A18E1"/>
    <w:rsid w:val="003A1AC0"/>
    <w:rsid w:val="003A1C6D"/>
    <w:rsid w:val="003A1D03"/>
    <w:rsid w:val="003A1D9F"/>
    <w:rsid w:val="003A209B"/>
    <w:rsid w:val="003A2735"/>
    <w:rsid w:val="003A2897"/>
    <w:rsid w:val="003A2A3B"/>
    <w:rsid w:val="003A2B79"/>
    <w:rsid w:val="003A2D95"/>
    <w:rsid w:val="003A30B4"/>
    <w:rsid w:val="003A30C4"/>
    <w:rsid w:val="003A3373"/>
    <w:rsid w:val="003A3449"/>
    <w:rsid w:val="003A3BF5"/>
    <w:rsid w:val="003A3C66"/>
    <w:rsid w:val="003A431C"/>
    <w:rsid w:val="003A4850"/>
    <w:rsid w:val="003A4DE8"/>
    <w:rsid w:val="003A4F63"/>
    <w:rsid w:val="003A53C6"/>
    <w:rsid w:val="003A5401"/>
    <w:rsid w:val="003A554F"/>
    <w:rsid w:val="003A5676"/>
    <w:rsid w:val="003A5A50"/>
    <w:rsid w:val="003A5AB4"/>
    <w:rsid w:val="003A5EC4"/>
    <w:rsid w:val="003A5FF0"/>
    <w:rsid w:val="003A667E"/>
    <w:rsid w:val="003A66B6"/>
    <w:rsid w:val="003A68BA"/>
    <w:rsid w:val="003A6BCA"/>
    <w:rsid w:val="003A6ED1"/>
    <w:rsid w:val="003A737A"/>
    <w:rsid w:val="003A74F9"/>
    <w:rsid w:val="003A7684"/>
    <w:rsid w:val="003A79AA"/>
    <w:rsid w:val="003A7FB0"/>
    <w:rsid w:val="003B00B2"/>
    <w:rsid w:val="003B015D"/>
    <w:rsid w:val="003B047A"/>
    <w:rsid w:val="003B0754"/>
    <w:rsid w:val="003B0768"/>
    <w:rsid w:val="003B083A"/>
    <w:rsid w:val="003B0C13"/>
    <w:rsid w:val="003B0CCD"/>
    <w:rsid w:val="003B0D09"/>
    <w:rsid w:val="003B1018"/>
    <w:rsid w:val="003B1257"/>
    <w:rsid w:val="003B1365"/>
    <w:rsid w:val="003B1778"/>
    <w:rsid w:val="003B178C"/>
    <w:rsid w:val="003B17B3"/>
    <w:rsid w:val="003B21BF"/>
    <w:rsid w:val="003B22B2"/>
    <w:rsid w:val="003B24C3"/>
    <w:rsid w:val="003B24EE"/>
    <w:rsid w:val="003B2539"/>
    <w:rsid w:val="003B2712"/>
    <w:rsid w:val="003B2882"/>
    <w:rsid w:val="003B29C0"/>
    <w:rsid w:val="003B2A57"/>
    <w:rsid w:val="003B2CCA"/>
    <w:rsid w:val="003B2DFC"/>
    <w:rsid w:val="003B30CF"/>
    <w:rsid w:val="003B389F"/>
    <w:rsid w:val="003B3981"/>
    <w:rsid w:val="003B3AD2"/>
    <w:rsid w:val="003B3FF1"/>
    <w:rsid w:val="003B40AD"/>
    <w:rsid w:val="003B40EA"/>
    <w:rsid w:val="003B41E0"/>
    <w:rsid w:val="003B41E6"/>
    <w:rsid w:val="003B423C"/>
    <w:rsid w:val="003B42AA"/>
    <w:rsid w:val="003B4754"/>
    <w:rsid w:val="003B4BCF"/>
    <w:rsid w:val="003B4D53"/>
    <w:rsid w:val="003B4DBE"/>
    <w:rsid w:val="003B5287"/>
    <w:rsid w:val="003B5493"/>
    <w:rsid w:val="003B5E80"/>
    <w:rsid w:val="003B60D5"/>
    <w:rsid w:val="003B624E"/>
    <w:rsid w:val="003B6253"/>
    <w:rsid w:val="003B6321"/>
    <w:rsid w:val="003B6523"/>
    <w:rsid w:val="003B669E"/>
    <w:rsid w:val="003B67B6"/>
    <w:rsid w:val="003B6922"/>
    <w:rsid w:val="003B6DA7"/>
    <w:rsid w:val="003B6E23"/>
    <w:rsid w:val="003B723E"/>
    <w:rsid w:val="003B7430"/>
    <w:rsid w:val="003B762E"/>
    <w:rsid w:val="003B7AE9"/>
    <w:rsid w:val="003B7B4D"/>
    <w:rsid w:val="003B7BD2"/>
    <w:rsid w:val="003B7CF3"/>
    <w:rsid w:val="003C00E1"/>
    <w:rsid w:val="003C0213"/>
    <w:rsid w:val="003C0421"/>
    <w:rsid w:val="003C04A6"/>
    <w:rsid w:val="003C060D"/>
    <w:rsid w:val="003C0BC2"/>
    <w:rsid w:val="003C0C74"/>
    <w:rsid w:val="003C0E8C"/>
    <w:rsid w:val="003C0EEE"/>
    <w:rsid w:val="003C0FE1"/>
    <w:rsid w:val="003C109F"/>
    <w:rsid w:val="003C11A5"/>
    <w:rsid w:val="003C1870"/>
    <w:rsid w:val="003C18DD"/>
    <w:rsid w:val="003C1AD8"/>
    <w:rsid w:val="003C1CF2"/>
    <w:rsid w:val="003C1E7D"/>
    <w:rsid w:val="003C2716"/>
    <w:rsid w:val="003C28A1"/>
    <w:rsid w:val="003C2A1D"/>
    <w:rsid w:val="003C2B7F"/>
    <w:rsid w:val="003C2BDC"/>
    <w:rsid w:val="003C2C0C"/>
    <w:rsid w:val="003C2C6B"/>
    <w:rsid w:val="003C2E25"/>
    <w:rsid w:val="003C2E76"/>
    <w:rsid w:val="003C30B8"/>
    <w:rsid w:val="003C313E"/>
    <w:rsid w:val="003C3507"/>
    <w:rsid w:val="003C3561"/>
    <w:rsid w:val="003C375C"/>
    <w:rsid w:val="003C3761"/>
    <w:rsid w:val="003C3A5F"/>
    <w:rsid w:val="003C3C58"/>
    <w:rsid w:val="003C3C72"/>
    <w:rsid w:val="003C3D42"/>
    <w:rsid w:val="003C4141"/>
    <w:rsid w:val="003C4197"/>
    <w:rsid w:val="003C4477"/>
    <w:rsid w:val="003C44FB"/>
    <w:rsid w:val="003C4600"/>
    <w:rsid w:val="003C4789"/>
    <w:rsid w:val="003C4B15"/>
    <w:rsid w:val="003C4B2F"/>
    <w:rsid w:val="003C4F3F"/>
    <w:rsid w:val="003C5105"/>
    <w:rsid w:val="003C512D"/>
    <w:rsid w:val="003C512E"/>
    <w:rsid w:val="003C5136"/>
    <w:rsid w:val="003C52C4"/>
    <w:rsid w:val="003C55BD"/>
    <w:rsid w:val="003C58E3"/>
    <w:rsid w:val="003C592A"/>
    <w:rsid w:val="003C5991"/>
    <w:rsid w:val="003C5BD0"/>
    <w:rsid w:val="003C5D86"/>
    <w:rsid w:val="003C5F0D"/>
    <w:rsid w:val="003C6424"/>
    <w:rsid w:val="003C644E"/>
    <w:rsid w:val="003C6664"/>
    <w:rsid w:val="003C6727"/>
    <w:rsid w:val="003C6903"/>
    <w:rsid w:val="003C6B2C"/>
    <w:rsid w:val="003C6D9B"/>
    <w:rsid w:val="003C729D"/>
    <w:rsid w:val="003C7401"/>
    <w:rsid w:val="003C76ED"/>
    <w:rsid w:val="003C7A29"/>
    <w:rsid w:val="003C7E23"/>
    <w:rsid w:val="003C7F36"/>
    <w:rsid w:val="003D0067"/>
    <w:rsid w:val="003D020B"/>
    <w:rsid w:val="003D03E3"/>
    <w:rsid w:val="003D0711"/>
    <w:rsid w:val="003D09C4"/>
    <w:rsid w:val="003D0C33"/>
    <w:rsid w:val="003D0C95"/>
    <w:rsid w:val="003D0CDE"/>
    <w:rsid w:val="003D0DF3"/>
    <w:rsid w:val="003D0F20"/>
    <w:rsid w:val="003D1023"/>
    <w:rsid w:val="003D1260"/>
    <w:rsid w:val="003D1421"/>
    <w:rsid w:val="003D146E"/>
    <w:rsid w:val="003D1512"/>
    <w:rsid w:val="003D15EC"/>
    <w:rsid w:val="003D183D"/>
    <w:rsid w:val="003D1B63"/>
    <w:rsid w:val="003D1C49"/>
    <w:rsid w:val="003D1D7C"/>
    <w:rsid w:val="003D1DF2"/>
    <w:rsid w:val="003D1F38"/>
    <w:rsid w:val="003D2518"/>
    <w:rsid w:val="003D25AA"/>
    <w:rsid w:val="003D27A4"/>
    <w:rsid w:val="003D27EA"/>
    <w:rsid w:val="003D286B"/>
    <w:rsid w:val="003D2AB3"/>
    <w:rsid w:val="003D2CA9"/>
    <w:rsid w:val="003D2E0F"/>
    <w:rsid w:val="003D31B5"/>
    <w:rsid w:val="003D3251"/>
    <w:rsid w:val="003D3327"/>
    <w:rsid w:val="003D348A"/>
    <w:rsid w:val="003D3A91"/>
    <w:rsid w:val="003D3B6E"/>
    <w:rsid w:val="003D3C59"/>
    <w:rsid w:val="003D3CB0"/>
    <w:rsid w:val="003D401C"/>
    <w:rsid w:val="003D46D5"/>
    <w:rsid w:val="003D4719"/>
    <w:rsid w:val="003D476B"/>
    <w:rsid w:val="003D4B66"/>
    <w:rsid w:val="003D4F7A"/>
    <w:rsid w:val="003D4FF5"/>
    <w:rsid w:val="003D5226"/>
    <w:rsid w:val="003D52E6"/>
    <w:rsid w:val="003D5632"/>
    <w:rsid w:val="003D564E"/>
    <w:rsid w:val="003D5BFA"/>
    <w:rsid w:val="003D5BFC"/>
    <w:rsid w:val="003D62C3"/>
    <w:rsid w:val="003D6787"/>
    <w:rsid w:val="003D694A"/>
    <w:rsid w:val="003D762E"/>
    <w:rsid w:val="003D7759"/>
    <w:rsid w:val="003D783E"/>
    <w:rsid w:val="003D7BDE"/>
    <w:rsid w:val="003D7BF1"/>
    <w:rsid w:val="003D7D65"/>
    <w:rsid w:val="003E02AB"/>
    <w:rsid w:val="003E0454"/>
    <w:rsid w:val="003E064F"/>
    <w:rsid w:val="003E0686"/>
    <w:rsid w:val="003E0B7A"/>
    <w:rsid w:val="003E0C10"/>
    <w:rsid w:val="003E0E44"/>
    <w:rsid w:val="003E116F"/>
    <w:rsid w:val="003E1238"/>
    <w:rsid w:val="003E12CE"/>
    <w:rsid w:val="003E136A"/>
    <w:rsid w:val="003E151C"/>
    <w:rsid w:val="003E1766"/>
    <w:rsid w:val="003E1878"/>
    <w:rsid w:val="003E188E"/>
    <w:rsid w:val="003E18BA"/>
    <w:rsid w:val="003E1AE9"/>
    <w:rsid w:val="003E1E10"/>
    <w:rsid w:val="003E1E27"/>
    <w:rsid w:val="003E1E9C"/>
    <w:rsid w:val="003E1F25"/>
    <w:rsid w:val="003E22E8"/>
    <w:rsid w:val="003E238E"/>
    <w:rsid w:val="003E25CA"/>
    <w:rsid w:val="003E271B"/>
    <w:rsid w:val="003E2756"/>
    <w:rsid w:val="003E27D2"/>
    <w:rsid w:val="003E2985"/>
    <w:rsid w:val="003E2A99"/>
    <w:rsid w:val="003E2C45"/>
    <w:rsid w:val="003E2D85"/>
    <w:rsid w:val="003E2DFF"/>
    <w:rsid w:val="003E2E7D"/>
    <w:rsid w:val="003E2F95"/>
    <w:rsid w:val="003E3209"/>
    <w:rsid w:val="003E338D"/>
    <w:rsid w:val="003E346F"/>
    <w:rsid w:val="003E3667"/>
    <w:rsid w:val="003E369A"/>
    <w:rsid w:val="003E36FA"/>
    <w:rsid w:val="003E39D5"/>
    <w:rsid w:val="003E3AD5"/>
    <w:rsid w:val="003E3B46"/>
    <w:rsid w:val="003E3BEF"/>
    <w:rsid w:val="003E3EAC"/>
    <w:rsid w:val="003E3F66"/>
    <w:rsid w:val="003E3FA4"/>
    <w:rsid w:val="003E4011"/>
    <w:rsid w:val="003E413C"/>
    <w:rsid w:val="003E42BE"/>
    <w:rsid w:val="003E4353"/>
    <w:rsid w:val="003E445D"/>
    <w:rsid w:val="003E4503"/>
    <w:rsid w:val="003E47D7"/>
    <w:rsid w:val="003E4910"/>
    <w:rsid w:val="003E4AC3"/>
    <w:rsid w:val="003E4DBE"/>
    <w:rsid w:val="003E4E38"/>
    <w:rsid w:val="003E4EC0"/>
    <w:rsid w:val="003E5394"/>
    <w:rsid w:val="003E5713"/>
    <w:rsid w:val="003E5867"/>
    <w:rsid w:val="003E58A2"/>
    <w:rsid w:val="003E5AA7"/>
    <w:rsid w:val="003E5C09"/>
    <w:rsid w:val="003E5DC5"/>
    <w:rsid w:val="003E5F31"/>
    <w:rsid w:val="003E5F56"/>
    <w:rsid w:val="003E6422"/>
    <w:rsid w:val="003E6639"/>
    <w:rsid w:val="003E66CC"/>
    <w:rsid w:val="003E66F2"/>
    <w:rsid w:val="003E67BB"/>
    <w:rsid w:val="003E6939"/>
    <w:rsid w:val="003E6FE7"/>
    <w:rsid w:val="003E7669"/>
    <w:rsid w:val="003E7894"/>
    <w:rsid w:val="003E7AED"/>
    <w:rsid w:val="003E7BD7"/>
    <w:rsid w:val="003E7DB3"/>
    <w:rsid w:val="003E7E90"/>
    <w:rsid w:val="003F0078"/>
    <w:rsid w:val="003F0323"/>
    <w:rsid w:val="003F06B0"/>
    <w:rsid w:val="003F0768"/>
    <w:rsid w:val="003F092B"/>
    <w:rsid w:val="003F09AB"/>
    <w:rsid w:val="003F0BF6"/>
    <w:rsid w:val="003F0C5F"/>
    <w:rsid w:val="003F0F94"/>
    <w:rsid w:val="003F1121"/>
    <w:rsid w:val="003F11B2"/>
    <w:rsid w:val="003F14FA"/>
    <w:rsid w:val="003F17C3"/>
    <w:rsid w:val="003F1816"/>
    <w:rsid w:val="003F187D"/>
    <w:rsid w:val="003F19F8"/>
    <w:rsid w:val="003F1DFE"/>
    <w:rsid w:val="003F1EF8"/>
    <w:rsid w:val="003F25E3"/>
    <w:rsid w:val="003F27BA"/>
    <w:rsid w:val="003F2AD6"/>
    <w:rsid w:val="003F2FAB"/>
    <w:rsid w:val="003F3055"/>
    <w:rsid w:val="003F32A2"/>
    <w:rsid w:val="003F33A6"/>
    <w:rsid w:val="003F3533"/>
    <w:rsid w:val="003F3560"/>
    <w:rsid w:val="003F35BF"/>
    <w:rsid w:val="003F3661"/>
    <w:rsid w:val="003F36B2"/>
    <w:rsid w:val="003F374A"/>
    <w:rsid w:val="003F3CEC"/>
    <w:rsid w:val="003F3FD4"/>
    <w:rsid w:val="003F401A"/>
    <w:rsid w:val="003F4115"/>
    <w:rsid w:val="003F4133"/>
    <w:rsid w:val="003F44F1"/>
    <w:rsid w:val="003F4631"/>
    <w:rsid w:val="003F4972"/>
    <w:rsid w:val="003F5036"/>
    <w:rsid w:val="003F510C"/>
    <w:rsid w:val="003F52A9"/>
    <w:rsid w:val="003F5606"/>
    <w:rsid w:val="003F584A"/>
    <w:rsid w:val="003F594A"/>
    <w:rsid w:val="003F5991"/>
    <w:rsid w:val="003F5C4A"/>
    <w:rsid w:val="003F5C61"/>
    <w:rsid w:val="003F5F13"/>
    <w:rsid w:val="003F5FAD"/>
    <w:rsid w:val="003F618F"/>
    <w:rsid w:val="003F62E4"/>
    <w:rsid w:val="003F6549"/>
    <w:rsid w:val="003F664A"/>
    <w:rsid w:val="003F66E3"/>
    <w:rsid w:val="003F6713"/>
    <w:rsid w:val="003F6992"/>
    <w:rsid w:val="003F6E88"/>
    <w:rsid w:val="003F7320"/>
    <w:rsid w:val="003F734A"/>
    <w:rsid w:val="003F738C"/>
    <w:rsid w:val="003F755A"/>
    <w:rsid w:val="003F75D0"/>
    <w:rsid w:val="003F76BA"/>
    <w:rsid w:val="003F76DE"/>
    <w:rsid w:val="003F7749"/>
    <w:rsid w:val="003F788B"/>
    <w:rsid w:val="003F7E7A"/>
    <w:rsid w:val="003F7F67"/>
    <w:rsid w:val="003F7F87"/>
    <w:rsid w:val="004001AB"/>
    <w:rsid w:val="00400830"/>
    <w:rsid w:val="00400838"/>
    <w:rsid w:val="00400B7D"/>
    <w:rsid w:val="00400E47"/>
    <w:rsid w:val="00400F0A"/>
    <w:rsid w:val="00401150"/>
    <w:rsid w:val="00401203"/>
    <w:rsid w:val="0040129E"/>
    <w:rsid w:val="0040158A"/>
    <w:rsid w:val="00401685"/>
    <w:rsid w:val="00401777"/>
    <w:rsid w:val="0040196A"/>
    <w:rsid w:val="00401F4E"/>
    <w:rsid w:val="00402448"/>
    <w:rsid w:val="00402925"/>
    <w:rsid w:val="00402AEA"/>
    <w:rsid w:val="00402B3A"/>
    <w:rsid w:val="00403077"/>
    <w:rsid w:val="0040377A"/>
    <w:rsid w:val="00403CBD"/>
    <w:rsid w:val="00403EF1"/>
    <w:rsid w:val="00404142"/>
    <w:rsid w:val="004042D3"/>
    <w:rsid w:val="00404378"/>
    <w:rsid w:val="0040437B"/>
    <w:rsid w:val="004044AD"/>
    <w:rsid w:val="004044DB"/>
    <w:rsid w:val="004045CB"/>
    <w:rsid w:val="0040470B"/>
    <w:rsid w:val="0040478F"/>
    <w:rsid w:val="00404908"/>
    <w:rsid w:val="00404B62"/>
    <w:rsid w:val="00404DC7"/>
    <w:rsid w:val="00404E8F"/>
    <w:rsid w:val="00404FD1"/>
    <w:rsid w:val="00404FFE"/>
    <w:rsid w:val="004052B3"/>
    <w:rsid w:val="00405377"/>
    <w:rsid w:val="004055A1"/>
    <w:rsid w:val="00405824"/>
    <w:rsid w:val="00405848"/>
    <w:rsid w:val="0040599E"/>
    <w:rsid w:val="00405C5D"/>
    <w:rsid w:val="00405E8D"/>
    <w:rsid w:val="00405F0F"/>
    <w:rsid w:val="00405F64"/>
    <w:rsid w:val="00406200"/>
    <w:rsid w:val="0040639D"/>
    <w:rsid w:val="0040663E"/>
    <w:rsid w:val="00406681"/>
    <w:rsid w:val="004067A2"/>
    <w:rsid w:val="00406852"/>
    <w:rsid w:val="00406DB9"/>
    <w:rsid w:val="00406EB9"/>
    <w:rsid w:val="004071DD"/>
    <w:rsid w:val="00407227"/>
    <w:rsid w:val="00407289"/>
    <w:rsid w:val="004072C2"/>
    <w:rsid w:val="0040750C"/>
    <w:rsid w:val="00407660"/>
    <w:rsid w:val="00407DA3"/>
    <w:rsid w:val="00407E26"/>
    <w:rsid w:val="00407F5E"/>
    <w:rsid w:val="0041002E"/>
    <w:rsid w:val="004100DC"/>
    <w:rsid w:val="00410170"/>
    <w:rsid w:val="00410459"/>
    <w:rsid w:val="004104A4"/>
    <w:rsid w:val="004104F1"/>
    <w:rsid w:val="0041051D"/>
    <w:rsid w:val="00410704"/>
    <w:rsid w:val="004108C2"/>
    <w:rsid w:val="0041095A"/>
    <w:rsid w:val="004109CE"/>
    <w:rsid w:val="00410A51"/>
    <w:rsid w:val="00410A78"/>
    <w:rsid w:val="00410B76"/>
    <w:rsid w:val="00410BA9"/>
    <w:rsid w:val="0041142B"/>
    <w:rsid w:val="004118C4"/>
    <w:rsid w:val="00411905"/>
    <w:rsid w:val="00411E60"/>
    <w:rsid w:val="00411F52"/>
    <w:rsid w:val="00411FCA"/>
    <w:rsid w:val="00412416"/>
    <w:rsid w:val="0041254B"/>
    <w:rsid w:val="00412A2C"/>
    <w:rsid w:val="00412AE7"/>
    <w:rsid w:val="00412B5A"/>
    <w:rsid w:val="00412BE4"/>
    <w:rsid w:val="00412CCB"/>
    <w:rsid w:val="00412EE7"/>
    <w:rsid w:val="00412F1D"/>
    <w:rsid w:val="00413150"/>
    <w:rsid w:val="00413327"/>
    <w:rsid w:val="0041340B"/>
    <w:rsid w:val="004137AD"/>
    <w:rsid w:val="00413861"/>
    <w:rsid w:val="0041473F"/>
    <w:rsid w:val="00414766"/>
    <w:rsid w:val="00414785"/>
    <w:rsid w:val="00414966"/>
    <w:rsid w:val="00414995"/>
    <w:rsid w:val="00414D0A"/>
    <w:rsid w:val="00414D56"/>
    <w:rsid w:val="00414E74"/>
    <w:rsid w:val="00414FE2"/>
    <w:rsid w:val="0041517F"/>
    <w:rsid w:val="0041563E"/>
    <w:rsid w:val="00415C09"/>
    <w:rsid w:val="00415D9D"/>
    <w:rsid w:val="00415F28"/>
    <w:rsid w:val="0041604C"/>
    <w:rsid w:val="004166EB"/>
    <w:rsid w:val="00416981"/>
    <w:rsid w:val="00417017"/>
    <w:rsid w:val="004174B0"/>
    <w:rsid w:val="0041787F"/>
    <w:rsid w:val="00417A52"/>
    <w:rsid w:val="00417A7B"/>
    <w:rsid w:val="00417FA3"/>
    <w:rsid w:val="004200EB"/>
    <w:rsid w:val="00420480"/>
    <w:rsid w:val="00420537"/>
    <w:rsid w:val="00420586"/>
    <w:rsid w:val="00420622"/>
    <w:rsid w:val="00420A34"/>
    <w:rsid w:val="00420A63"/>
    <w:rsid w:val="00420BCB"/>
    <w:rsid w:val="00420CDE"/>
    <w:rsid w:val="00420E34"/>
    <w:rsid w:val="00421027"/>
    <w:rsid w:val="004213F3"/>
    <w:rsid w:val="004215FE"/>
    <w:rsid w:val="00421ABD"/>
    <w:rsid w:val="00421DA0"/>
    <w:rsid w:val="00421EFB"/>
    <w:rsid w:val="00421F1C"/>
    <w:rsid w:val="00422220"/>
    <w:rsid w:val="004223CA"/>
    <w:rsid w:val="00422616"/>
    <w:rsid w:val="0042272B"/>
    <w:rsid w:val="0042287D"/>
    <w:rsid w:val="004228DC"/>
    <w:rsid w:val="0042296C"/>
    <w:rsid w:val="00422B65"/>
    <w:rsid w:val="00422E71"/>
    <w:rsid w:val="004230FA"/>
    <w:rsid w:val="0042349B"/>
    <w:rsid w:val="0042384B"/>
    <w:rsid w:val="004238AE"/>
    <w:rsid w:val="00423910"/>
    <w:rsid w:val="00423B35"/>
    <w:rsid w:val="0042403E"/>
    <w:rsid w:val="004242CB"/>
    <w:rsid w:val="0042434D"/>
    <w:rsid w:val="004243FB"/>
    <w:rsid w:val="0042471B"/>
    <w:rsid w:val="004249E9"/>
    <w:rsid w:val="00424A50"/>
    <w:rsid w:val="00424C32"/>
    <w:rsid w:val="00424C85"/>
    <w:rsid w:val="00424CAA"/>
    <w:rsid w:val="00424F89"/>
    <w:rsid w:val="004250B5"/>
    <w:rsid w:val="004253EE"/>
    <w:rsid w:val="00425515"/>
    <w:rsid w:val="00425676"/>
    <w:rsid w:val="00425896"/>
    <w:rsid w:val="00425CED"/>
    <w:rsid w:val="004262D8"/>
    <w:rsid w:val="00426758"/>
    <w:rsid w:val="0042676D"/>
    <w:rsid w:val="0042698C"/>
    <w:rsid w:val="00426AC7"/>
    <w:rsid w:val="00426ACA"/>
    <w:rsid w:val="00426ECA"/>
    <w:rsid w:val="0042736C"/>
    <w:rsid w:val="004275F0"/>
    <w:rsid w:val="00427739"/>
    <w:rsid w:val="004277A7"/>
    <w:rsid w:val="00427AAF"/>
    <w:rsid w:val="00427AEE"/>
    <w:rsid w:val="00427BA4"/>
    <w:rsid w:val="00427EA6"/>
    <w:rsid w:val="00427EFD"/>
    <w:rsid w:val="00427F4C"/>
    <w:rsid w:val="00427FAC"/>
    <w:rsid w:val="004300AF"/>
    <w:rsid w:val="00430286"/>
    <w:rsid w:val="00430338"/>
    <w:rsid w:val="00430559"/>
    <w:rsid w:val="00430895"/>
    <w:rsid w:val="00430A6E"/>
    <w:rsid w:val="00430AED"/>
    <w:rsid w:val="0043128A"/>
    <w:rsid w:val="00431457"/>
    <w:rsid w:val="0043147C"/>
    <w:rsid w:val="00431509"/>
    <w:rsid w:val="004316C1"/>
    <w:rsid w:val="004316C9"/>
    <w:rsid w:val="004317C0"/>
    <w:rsid w:val="00431834"/>
    <w:rsid w:val="004318BA"/>
    <w:rsid w:val="00431A0E"/>
    <w:rsid w:val="00432380"/>
    <w:rsid w:val="004323B0"/>
    <w:rsid w:val="00432407"/>
    <w:rsid w:val="00432570"/>
    <w:rsid w:val="00432B45"/>
    <w:rsid w:val="00432E5D"/>
    <w:rsid w:val="00432EE0"/>
    <w:rsid w:val="004330BB"/>
    <w:rsid w:val="00433251"/>
    <w:rsid w:val="0043325D"/>
    <w:rsid w:val="004332B5"/>
    <w:rsid w:val="00433305"/>
    <w:rsid w:val="0043377A"/>
    <w:rsid w:val="00433900"/>
    <w:rsid w:val="00433C7D"/>
    <w:rsid w:val="00434109"/>
    <w:rsid w:val="004343ED"/>
    <w:rsid w:val="00434672"/>
    <w:rsid w:val="00434860"/>
    <w:rsid w:val="004348E7"/>
    <w:rsid w:val="004349D8"/>
    <w:rsid w:val="00434BDB"/>
    <w:rsid w:val="00434BEE"/>
    <w:rsid w:val="00434CAF"/>
    <w:rsid w:val="00434F7F"/>
    <w:rsid w:val="0043521D"/>
    <w:rsid w:val="00435325"/>
    <w:rsid w:val="004353EF"/>
    <w:rsid w:val="00435CBB"/>
    <w:rsid w:val="00436135"/>
    <w:rsid w:val="004361B2"/>
    <w:rsid w:val="00436313"/>
    <w:rsid w:val="004364B7"/>
    <w:rsid w:val="00436A5C"/>
    <w:rsid w:val="00436E06"/>
    <w:rsid w:val="00437476"/>
    <w:rsid w:val="004376EB"/>
    <w:rsid w:val="004377B1"/>
    <w:rsid w:val="004379C0"/>
    <w:rsid w:val="00437D6B"/>
    <w:rsid w:val="00437DFB"/>
    <w:rsid w:val="0044004D"/>
    <w:rsid w:val="0044010F"/>
    <w:rsid w:val="00440797"/>
    <w:rsid w:val="004407FA"/>
    <w:rsid w:val="00440A3E"/>
    <w:rsid w:val="00440B0A"/>
    <w:rsid w:val="00440ED9"/>
    <w:rsid w:val="004413BD"/>
    <w:rsid w:val="00441879"/>
    <w:rsid w:val="00441895"/>
    <w:rsid w:val="0044196E"/>
    <w:rsid w:val="00441AEC"/>
    <w:rsid w:val="00441C85"/>
    <w:rsid w:val="00441EEE"/>
    <w:rsid w:val="004420D4"/>
    <w:rsid w:val="00442941"/>
    <w:rsid w:val="004429D0"/>
    <w:rsid w:val="00442A2C"/>
    <w:rsid w:val="00442AA6"/>
    <w:rsid w:val="00442B3B"/>
    <w:rsid w:val="00442B9F"/>
    <w:rsid w:val="00442BA8"/>
    <w:rsid w:val="00442C71"/>
    <w:rsid w:val="0044306C"/>
    <w:rsid w:val="00443157"/>
    <w:rsid w:val="004433A0"/>
    <w:rsid w:val="00443495"/>
    <w:rsid w:val="00443679"/>
    <w:rsid w:val="00443E83"/>
    <w:rsid w:val="00443F9E"/>
    <w:rsid w:val="00443FCF"/>
    <w:rsid w:val="00444063"/>
    <w:rsid w:val="004444F9"/>
    <w:rsid w:val="0044491F"/>
    <w:rsid w:val="00444942"/>
    <w:rsid w:val="00444B1D"/>
    <w:rsid w:val="00444B32"/>
    <w:rsid w:val="00444C37"/>
    <w:rsid w:val="00445047"/>
    <w:rsid w:val="00445224"/>
    <w:rsid w:val="0044522E"/>
    <w:rsid w:val="00445C07"/>
    <w:rsid w:val="00445C08"/>
    <w:rsid w:val="00445EBE"/>
    <w:rsid w:val="004460E6"/>
    <w:rsid w:val="00446259"/>
    <w:rsid w:val="00446281"/>
    <w:rsid w:val="0044648A"/>
    <w:rsid w:val="00446705"/>
    <w:rsid w:val="004467AC"/>
    <w:rsid w:val="00446B26"/>
    <w:rsid w:val="00446D1E"/>
    <w:rsid w:val="00446E86"/>
    <w:rsid w:val="00446EAC"/>
    <w:rsid w:val="00446EF1"/>
    <w:rsid w:val="00446F95"/>
    <w:rsid w:val="00447386"/>
    <w:rsid w:val="004475A2"/>
    <w:rsid w:val="004476BC"/>
    <w:rsid w:val="00447995"/>
    <w:rsid w:val="00447AC5"/>
    <w:rsid w:val="00447BAC"/>
    <w:rsid w:val="00447C20"/>
    <w:rsid w:val="00447D4F"/>
    <w:rsid w:val="00447E28"/>
    <w:rsid w:val="00447EB8"/>
    <w:rsid w:val="004500AE"/>
    <w:rsid w:val="004501EE"/>
    <w:rsid w:val="00450338"/>
    <w:rsid w:val="004507F3"/>
    <w:rsid w:val="004508B8"/>
    <w:rsid w:val="004509FF"/>
    <w:rsid w:val="00450A89"/>
    <w:rsid w:val="00450C87"/>
    <w:rsid w:val="00450CFE"/>
    <w:rsid w:val="00450DDE"/>
    <w:rsid w:val="00450EB4"/>
    <w:rsid w:val="0045113F"/>
    <w:rsid w:val="00451154"/>
    <w:rsid w:val="00451161"/>
    <w:rsid w:val="004511DA"/>
    <w:rsid w:val="004511FD"/>
    <w:rsid w:val="004513FF"/>
    <w:rsid w:val="004514F9"/>
    <w:rsid w:val="004516D5"/>
    <w:rsid w:val="00451729"/>
    <w:rsid w:val="00451B00"/>
    <w:rsid w:val="00451EF7"/>
    <w:rsid w:val="00452026"/>
    <w:rsid w:val="00452070"/>
    <w:rsid w:val="00452094"/>
    <w:rsid w:val="00452170"/>
    <w:rsid w:val="00452230"/>
    <w:rsid w:val="00452416"/>
    <w:rsid w:val="004528EC"/>
    <w:rsid w:val="004529C2"/>
    <w:rsid w:val="00452A91"/>
    <w:rsid w:val="00452C00"/>
    <w:rsid w:val="00452E1C"/>
    <w:rsid w:val="00453271"/>
    <w:rsid w:val="004538C2"/>
    <w:rsid w:val="00453991"/>
    <w:rsid w:val="00453A5D"/>
    <w:rsid w:val="00453BB7"/>
    <w:rsid w:val="00453C04"/>
    <w:rsid w:val="00453C30"/>
    <w:rsid w:val="00453E58"/>
    <w:rsid w:val="00453E99"/>
    <w:rsid w:val="00454090"/>
    <w:rsid w:val="0045446E"/>
    <w:rsid w:val="004548E8"/>
    <w:rsid w:val="0045490F"/>
    <w:rsid w:val="00454B9B"/>
    <w:rsid w:val="00454EF2"/>
    <w:rsid w:val="00454FC3"/>
    <w:rsid w:val="00455047"/>
    <w:rsid w:val="004554BC"/>
    <w:rsid w:val="004554D4"/>
    <w:rsid w:val="00455683"/>
    <w:rsid w:val="0045568A"/>
    <w:rsid w:val="00455CCC"/>
    <w:rsid w:val="00455E15"/>
    <w:rsid w:val="00455EB6"/>
    <w:rsid w:val="00455F55"/>
    <w:rsid w:val="00455FC6"/>
    <w:rsid w:val="004562B1"/>
    <w:rsid w:val="0045643D"/>
    <w:rsid w:val="00456583"/>
    <w:rsid w:val="0045659B"/>
    <w:rsid w:val="004568B9"/>
    <w:rsid w:val="004569A9"/>
    <w:rsid w:val="004569C0"/>
    <w:rsid w:val="00457AD7"/>
    <w:rsid w:val="00457BEF"/>
    <w:rsid w:val="00457E06"/>
    <w:rsid w:val="004600DC"/>
    <w:rsid w:val="00460174"/>
    <w:rsid w:val="0046030F"/>
    <w:rsid w:val="0046032A"/>
    <w:rsid w:val="00460462"/>
    <w:rsid w:val="00460655"/>
    <w:rsid w:val="004606D8"/>
    <w:rsid w:val="00460954"/>
    <w:rsid w:val="00460B16"/>
    <w:rsid w:val="00460D27"/>
    <w:rsid w:val="00460F01"/>
    <w:rsid w:val="0046111A"/>
    <w:rsid w:val="0046114A"/>
    <w:rsid w:val="004612FB"/>
    <w:rsid w:val="004614DC"/>
    <w:rsid w:val="004617F9"/>
    <w:rsid w:val="00461AC6"/>
    <w:rsid w:val="00461B7E"/>
    <w:rsid w:val="00461D4F"/>
    <w:rsid w:val="00461F58"/>
    <w:rsid w:val="004621A4"/>
    <w:rsid w:val="0046227B"/>
    <w:rsid w:val="004622CC"/>
    <w:rsid w:val="00462313"/>
    <w:rsid w:val="0046235F"/>
    <w:rsid w:val="0046252D"/>
    <w:rsid w:val="00462627"/>
    <w:rsid w:val="004627F0"/>
    <w:rsid w:val="00462AC4"/>
    <w:rsid w:val="00462B15"/>
    <w:rsid w:val="00462C12"/>
    <w:rsid w:val="00462E3E"/>
    <w:rsid w:val="00462F4A"/>
    <w:rsid w:val="00462F88"/>
    <w:rsid w:val="00462FB7"/>
    <w:rsid w:val="004630CF"/>
    <w:rsid w:val="004634A7"/>
    <w:rsid w:val="00463775"/>
    <w:rsid w:val="00463898"/>
    <w:rsid w:val="00463D36"/>
    <w:rsid w:val="00463E58"/>
    <w:rsid w:val="00463EBB"/>
    <w:rsid w:val="004641A3"/>
    <w:rsid w:val="00464733"/>
    <w:rsid w:val="00464A1B"/>
    <w:rsid w:val="00464A7E"/>
    <w:rsid w:val="00464B91"/>
    <w:rsid w:val="00464BC9"/>
    <w:rsid w:val="00464BCC"/>
    <w:rsid w:val="00464BFA"/>
    <w:rsid w:val="00464C30"/>
    <w:rsid w:val="00464D1F"/>
    <w:rsid w:val="004651B0"/>
    <w:rsid w:val="00465539"/>
    <w:rsid w:val="0046557C"/>
    <w:rsid w:val="00465634"/>
    <w:rsid w:val="00465B70"/>
    <w:rsid w:val="00465D05"/>
    <w:rsid w:val="004660FA"/>
    <w:rsid w:val="00466414"/>
    <w:rsid w:val="0046644C"/>
    <w:rsid w:val="004669F0"/>
    <w:rsid w:val="00466A7A"/>
    <w:rsid w:val="00466F6C"/>
    <w:rsid w:val="00466F6E"/>
    <w:rsid w:val="00467204"/>
    <w:rsid w:val="00467866"/>
    <w:rsid w:val="004678F7"/>
    <w:rsid w:val="00467957"/>
    <w:rsid w:val="00467B03"/>
    <w:rsid w:val="00467C1A"/>
    <w:rsid w:val="0047012E"/>
    <w:rsid w:val="00470268"/>
    <w:rsid w:val="00470606"/>
    <w:rsid w:val="004707C4"/>
    <w:rsid w:val="0047095D"/>
    <w:rsid w:val="00470DCC"/>
    <w:rsid w:val="0047104E"/>
    <w:rsid w:val="004711B4"/>
    <w:rsid w:val="004714CE"/>
    <w:rsid w:val="00471610"/>
    <w:rsid w:val="00471658"/>
    <w:rsid w:val="004716C3"/>
    <w:rsid w:val="00471731"/>
    <w:rsid w:val="004718C5"/>
    <w:rsid w:val="00471991"/>
    <w:rsid w:val="00471CAE"/>
    <w:rsid w:val="00471DA7"/>
    <w:rsid w:val="00471E31"/>
    <w:rsid w:val="00472276"/>
    <w:rsid w:val="0047244C"/>
    <w:rsid w:val="004725E2"/>
    <w:rsid w:val="00472D21"/>
    <w:rsid w:val="00472D9A"/>
    <w:rsid w:val="0047300D"/>
    <w:rsid w:val="00473CC9"/>
    <w:rsid w:val="00473F8D"/>
    <w:rsid w:val="00474022"/>
    <w:rsid w:val="00474154"/>
    <w:rsid w:val="004741C9"/>
    <w:rsid w:val="004741E1"/>
    <w:rsid w:val="00474240"/>
    <w:rsid w:val="004742DC"/>
    <w:rsid w:val="00474507"/>
    <w:rsid w:val="00474571"/>
    <w:rsid w:val="0047475E"/>
    <w:rsid w:val="00474D53"/>
    <w:rsid w:val="004751AC"/>
    <w:rsid w:val="00475582"/>
    <w:rsid w:val="004758E5"/>
    <w:rsid w:val="004759F0"/>
    <w:rsid w:val="00475ACF"/>
    <w:rsid w:val="00475C94"/>
    <w:rsid w:val="00475F4F"/>
    <w:rsid w:val="004763F5"/>
    <w:rsid w:val="004764E5"/>
    <w:rsid w:val="004765B8"/>
    <w:rsid w:val="004767FD"/>
    <w:rsid w:val="004769DA"/>
    <w:rsid w:val="00476AE2"/>
    <w:rsid w:val="00476C62"/>
    <w:rsid w:val="00476E66"/>
    <w:rsid w:val="00477133"/>
    <w:rsid w:val="0047762A"/>
    <w:rsid w:val="004777CC"/>
    <w:rsid w:val="004777FB"/>
    <w:rsid w:val="00477923"/>
    <w:rsid w:val="00477A72"/>
    <w:rsid w:val="00477AC6"/>
    <w:rsid w:val="00477BAF"/>
    <w:rsid w:val="004801F6"/>
    <w:rsid w:val="0048030D"/>
    <w:rsid w:val="0048038B"/>
    <w:rsid w:val="004803A2"/>
    <w:rsid w:val="0048047C"/>
    <w:rsid w:val="004804AE"/>
    <w:rsid w:val="004805F6"/>
    <w:rsid w:val="00480C92"/>
    <w:rsid w:val="00480CF6"/>
    <w:rsid w:val="00480F5D"/>
    <w:rsid w:val="00481733"/>
    <w:rsid w:val="00481C30"/>
    <w:rsid w:val="00481EEC"/>
    <w:rsid w:val="0048235B"/>
    <w:rsid w:val="004823F3"/>
    <w:rsid w:val="004825B9"/>
    <w:rsid w:val="004827AB"/>
    <w:rsid w:val="0048291A"/>
    <w:rsid w:val="0048294E"/>
    <w:rsid w:val="00482BB5"/>
    <w:rsid w:val="00482E1F"/>
    <w:rsid w:val="00482FF0"/>
    <w:rsid w:val="004831C9"/>
    <w:rsid w:val="004833D1"/>
    <w:rsid w:val="004837D6"/>
    <w:rsid w:val="00483CF9"/>
    <w:rsid w:val="00483D7B"/>
    <w:rsid w:val="00483F63"/>
    <w:rsid w:val="00484431"/>
    <w:rsid w:val="0048445F"/>
    <w:rsid w:val="00484716"/>
    <w:rsid w:val="0048471F"/>
    <w:rsid w:val="00484858"/>
    <w:rsid w:val="00484AA7"/>
    <w:rsid w:val="00484C1D"/>
    <w:rsid w:val="00484EAF"/>
    <w:rsid w:val="00485129"/>
    <w:rsid w:val="00485742"/>
    <w:rsid w:val="00485C82"/>
    <w:rsid w:val="00485D36"/>
    <w:rsid w:val="00485FC8"/>
    <w:rsid w:val="00485FF3"/>
    <w:rsid w:val="0048656E"/>
    <w:rsid w:val="00486AA0"/>
    <w:rsid w:val="00486B0C"/>
    <w:rsid w:val="00486C3A"/>
    <w:rsid w:val="00486D27"/>
    <w:rsid w:val="00486F7A"/>
    <w:rsid w:val="00486F8F"/>
    <w:rsid w:val="00486FCF"/>
    <w:rsid w:val="00487007"/>
    <w:rsid w:val="0048750F"/>
    <w:rsid w:val="004877CC"/>
    <w:rsid w:val="004878AF"/>
    <w:rsid w:val="00487A92"/>
    <w:rsid w:val="00487B72"/>
    <w:rsid w:val="00487C53"/>
    <w:rsid w:val="00487C5E"/>
    <w:rsid w:val="004902CD"/>
    <w:rsid w:val="004902E0"/>
    <w:rsid w:val="00490775"/>
    <w:rsid w:val="00490B67"/>
    <w:rsid w:val="00490CEA"/>
    <w:rsid w:val="00490CFF"/>
    <w:rsid w:val="004910B2"/>
    <w:rsid w:val="0049144C"/>
    <w:rsid w:val="00491487"/>
    <w:rsid w:val="00491504"/>
    <w:rsid w:val="004919B3"/>
    <w:rsid w:val="00491B5D"/>
    <w:rsid w:val="00491D79"/>
    <w:rsid w:val="00491ED3"/>
    <w:rsid w:val="0049216E"/>
    <w:rsid w:val="00492481"/>
    <w:rsid w:val="0049250D"/>
    <w:rsid w:val="004926CD"/>
    <w:rsid w:val="00492818"/>
    <w:rsid w:val="004928C8"/>
    <w:rsid w:val="00492D82"/>
    <w:rsid w:val="00492FCA"/>
    <w:rsid w:val="00493088"/>
    <w:rsid w:val="00493348"/>
    <w:rsid w:val="00493850"/>
    <w:rsid w:val="00493C80"/>
    <w:rsid w:val="00494195"/>
    <w:rsid w:val="0049419B"/>
    <w:rsid w:val="00494258"/>
    <w:rsid w:val="00494268"/>
    <w:rsid w:val="004942E9"/>
    <w:rsid w:val="004942EC"/>
    <w:rsid w:val="004951B4"/>
    <w:rsid w:val="00495396"/>
    <w:rsid w:val="00495556"/>
    <w:rsid w:val="004957A4"/>
    <w:rsid w:val="00495B0B"/>
    <w:rsid w:val="00495DD3"/>
    <w:rsid w:val="00495F61"/>
    <w:rsid w:val="00496034"/>
    <w:rsid w:val="00496218"/>
    <w:rsid w:val="00496225"/>
    <w:rsid w:val="00496278"/>
    <w:rsid w:val="0049652B"/>
    <w:rsid w:val="004965C1"/>
    <w:rsid w:val="004966CB"/>
    <w:rsid w:val="004966D3"/>
    <w:rsid w:val="004967A2"/>
    <w:rsid w:val="00496886"/>
    <w:rsid w:val="00496D08"/>
    <w:rsid w:val="00496D7D"/>
    <w:rsid w:val="00496E74"/>
    <w:rsid w:val="00496EC4"/>
    <w:rsid w:val="0049757A"/>
    <w:rsid w:val="00497D3A"/>
    <w:rsid w:val="00497E8F"/>
    <w:rsid w:val="004A0208"/>
    <w:rsid w:val="004A07BE"/>
    <w:rsid w:val="004A0965"/>
    <w:rsid w:val="004A0B51"/>
    <w:rsid w:val="004A0BFE"/>
    <w:rsid w:val="004A0CDC"/>
    <w:rsid w:val="004A0EE8"/>
    <w:rsid w:val="004A11F1"/>
    <w:rsid w:val="004A1244"/>
    <w:rsid w:val="004A150E"/>
    <w:rsid w:val="004A153F"/>
    <w:rsid w:val="004A15ED"/>
    <w:rsid w:val="004A1617"/>
    <w:rsid w:val="004A1927"/>
    <w:rsid w:val="004A1B60"/>
    <w:rsid w:val="004A1BBA"/>
    <w:rsid w:val="004A1C0B"/>
    <w:rsid w:val="004A1D03"/>
    <w:rsid w:val="004A22FF"/>
    <w:rsid w:val="004A233E"/>
    <w:rsid w:val="004A292B"/>
    <w:rsid w:val="004A296B"/>
    <w:rsid w:val="004A29C0"/>
    <w:rsid w:val="004A29D7"/>
    <w:rsid w:val="004A2B7A"/>
    <w:rsid w:val="004A2E17"/>
    <w:rsid w:val="004A2EB3"/>
    <w:rsid w:val="004A3164"/>
    <w:rsid w:val="004A34D8"/>
    <w:rsid w:val="004A3836"/>
    <w:rsid w:val="004A3996"/>
    <w:rsid w:val="004A3AF3"/>
    <w:rsid w:val="004A4181"/>
    <w:rsid w:val="004A427B"/>
    <w:rsid w:val="004A4301"/>
    <w:rsid w:val="004A433A"/>
    <w:rsid w:val="004A43A6"/>
    <w:rsid w:val="004A48B6"/>
    <w:rsid w:val="004A4B17"/>
    <w:rsid w:val="004A4C9C"/>
    <w:rsid w:val="004A4E1C"/>
    <w:rsid w:val="004A4FDA"/>
    <w:rsid w:val="004A50B7"/>
    <w:rsid w:val="004A5335"/>
    <w:rsid w:val="004A5507"/>
    <w:rsid w:val="004A55CC"/>
    <w:rsid w:val="004A592C"/>
    <w:rsid w:val="004A5931"/>
    <w:rsid w:val="004A5993"/>
    <w:rsid w:val="004A59EF"/>
    <w:rsid w:val="004A6083"/>
    <w:rsid w:val="004A6241"/>
    <w:rsid w:val="004A6318"/>
    <w:rsid w:val="004A63E6"/>
    <w:rsid w:val="004A6E87"/>
    <w:rsid w:val="004A6EF1"/>
    <w:rsid w:val="004A6F61"/>
    <w:rsid w:val="004A7631"/>
    <w:rsid w:val="004A7A8E"/>
    <w:rsid w:val="004A7B12"/>
    <w:rsid w:val="004A7CC7"/>
    <w:rsid w:val="004A7D53"/>
    <w:rsid w:val="004A7E20"/>
    <w:rsid w:val="004A7F97"/>
    <w:rsid w:val="004B0026"/>
    <w:rsid w:val="004B0047"/>
    <w:rsid w:val="004B0112"/>
    <w:rsid w:val="004B01C8"/>
    <w:rsid w:val="004B0293"/>
    <w:rsid w:val="004B03EF"/>
    <w:rsid w:val="004B054A"/>
    <w:rsid w:val="004B0573"/>
    <w:rsid w:val="004B0764"/>
    <w:rsid w:val="004B07A5"/>
    <w:rsid w:val="004B0CEF"/>
    <w:rsid w:val="004B0CF0"/>
    <w:rsid w:val="004B0EAD"/>
    <w:rsid w:val="004B0F98"/>
    <w:rsid w:val="004B12EF"/>
    <w:rsid w:val="004B14F1"/>
    <w:rsid w:val="004B1571"/>
    <w:rsid w:val="004B15BD"/>
    <w:rsid w:val="004B169A"/>
    <w:rsid w:val="004B17B5"/>
    <w:rsid w:val="004B1899"/>
    <w:rsid w:val="004B18C3"/>
    <w:rsid w:val="004B19EA"/>
    <w:rsid w:val="004B20D4"/>
    <w:rsid w:val="004B21F8"/>
    <w:rsid w:val="004B2249"/>
    <w:rsid w:val="004B2282"/>
    <w:rsid w:val="004B236F"/>
    <w:rsid w:val="004B237C"/>
    <w:rsid w:val="004B2538"/>
    <w:rsid w:val="004B265C"/>
    <w:rsid w:val="004B2F13"/>
    <w:rsid w:val="004B2F7F"/>
    <w:rsid w:val="004B3024"/>
    <w:rsid w:val="004B3392"/>
    <w:rsid w:val="004B33BE"/>
    <w:rsid w:val="004B34B6"/>
    <w:rsid w:val="004B3776"/>
    <w:rsid w:val="004B39BF"/>
    <w:rsid w:val="004B3B5D"/>
    <w:rsid w:val="004B3D93"/>
    <w:rsid w:val="004B43FF"/>
    <w:rsid w:val="004B450C"/>
    <w:rsid w:val="004B464E"/>
    <w:rsid w:val="004B4CCD"/>
    <w:rsid w:val="004B4FA0"/>
    <w:rsid w:val="004B5372"/>
    <w:rsid w:val="004B53BC"/>
    <w:rsid w:val="004B5675"/>
    <w:rsid w:val="004B5685"/>
    <w:rsid w:val="004B59C0"/>
    <w:rsid w:val="004B5AC4"/>
    <w:rsid w:val="004B5B80"/>
    <w:rsid w:val="004B5C8B"/>
    <w:rsid w:val="004B5CE7"/>
    <w:rsid w:val="004B5F15"/>
    <w:rsid w:val="004B6237"/>
    <w:rsid w:val="004B626A"/>
    <w:rsid w:val="004B62EB"/>
    <w:rsid w:val="004B6613"/>
    <w:rsid w:val="004B668A"/>
    <w:rsid w:val="004B67A1"/>
    <w:rsid w:val="004B692E"/>
    <w:rsid w:val="004B69EC"/>
    <w:rsid w:val="004B6A30"/>
    <w:rsid w:val="004B6A41"/>
    <w:rsid w:val="004B6D30"/>
    <w:rsid w:val="004B6D9F"/>
    <w:rsid w:val="004B6EB6"/>
    <w:rsid w:val="004B72BE"/>
    <w:rsid w:val="004B73ED"/>
    <w:rsid w:val="004B77C5"/>
    <w:rsid w:val="004B7934"/>
    <w:rsid w:val="004B79CA"/>
    <w:rsid w:val="004B7C7C"/>
    <w:rsid w:val="004B7E4D"/>
    <w:rsid w:val="004B7F42"/>
    <w:rsid w:val="004C005D"/>
    <w:rsid w:val="004C0115"/>
    <w:rsid w:val="004C022D"/>
    <w:rsid w:val="004C0444"/>
    <w:rsid w:val="004C045B"/>
    <w:rsid w:val="004C0856"/>
    <w:rsid w:val="004C0BCD"/>
    <w:rsid w:val="004C0C14"/>
    <w:rsid w:val="004C0DBC"/>
    <w:rsid w:val="004C1432"/>
    <w:rsid w:val="004C159F"/>
    <w:rsid w:val="004C167C"/>
    <w:rsid w:val="004C1C37"/>
    <w:rsid w:val="004C1C7E"/>
    <w:rsid w:val="004C1CC2"/>
    <w:rsid w:val="004C1DA4"/>
    <w:rsid w:val="004C207C"/>
    <w:rsid w:val="004C20A0"/>
    <w:rsid w:val="004C20FC"/>
    <w:rsid w:val="004C2582"/>
    <w:rsid w:val="004C2681"/>
    <w:rsid w:val="004C26A8"/>
    <w:rsid w:val="004C2D43"/>
    <w:rsid w:val="004C2DB7"/>
    <w:rsid w:val="004C2FDB"/>
    <w:rsid w:val="004C2FF1"/>
    <w:rsid w:val="004C312B"/>
    <w:rsid w:val="004C32E7"/>
    <w:rsid w:val="004C3728"/>
    <w:rsid w:val="004C3A6E"/>
    <w:rsid w:val="004C3C2F"/>
    <w:rsid w:val="004C3D2E"/>
    <w:rsid w:val="004C40E1"/>
    <w:rsid w:val="004C4238"/>
    <w:rsid w:val="004C4711"/>
    <w:rsid w:val="004C4795"/>
    <w:rsid w:val="004C491E"/>
    <w:rsid w:val="004C4C2C"/>
    <w:rsid w:val="004C4D31"/>
    <w:rsid w:val="004C4D8C"/>
    <w:rsid w:val="004C4DEE"/>
    <w:rsid w:val="004C4E4B"/>
    <w:rsid w:val="004C4EC6"/>
    <w:rsid w:val="004C5034"/>
    <w:rsid w:val="004C5131"/>
    <w:rsid w:val="004C513A"/>
    <w:rsid w:val="004C53EB"/>
    <w:rsid w:val="004C54DC"/>
    <w:rsid w:val="004C5544"/>
    <w:rsid w:val="004C55AD"/>
    <w:rsid w:val="004C56CC"/>
    <w:rsid w:val="004C56D8"/>
    <w:rsid w:val="004C57F2"/>
    <w:rsid w:val="004C58C9"/>
    <w:rsid w:val="004C5934"/>
    <w:rsid w:val="004C5ABE"/>
    <w:rsid w:val="004C5B28"/>
    <w:rsid w:val="004C5CE6"/>
    <w:rsid w:val="004C5DA4"/>
    <w:rsid w:val="004C5F9A"/>
    <w:rsid w:val="004C63B2"/>
    <w:rsid w:val="004C6847"/>
    <w:rsid w:val="004C6AED"/>
    <w:rsid w:val="004C6D7A"/>
    <w:rsid w:val="004C71DA"/>
    <w:rsid w:val="004C72D4"/>
    <w:rsid w:val="004C7581"/>
    <w:rsid w:val="004C792E"/>
    <w:rsid w:val="004C7AAC"/>
    <w:rsid w:val="004C7CF2"/>
    <w:rsid w:val="004C7F80"/>
    <w:rsid w:val="004D006D"/>
    <w:rsid w:val="004D0100"/>
    <w:rsid w:val="004D012F"/>
    <w:rsid w:val="004D0902"/>
    <w:rsid w:val="004D0B69"/>
    <w:rsid w:val="004D0D10"/>
    <w:rsid w:val="004D125E"/>
    <w:rsid w:val="004D132D"/>
    <w:rsid w:val="004D13D1"/>
    <w:rsid w:val="004D15E1"/>
    <w:rsid w:val="004D1645"/>
    <w:rsid w:val="004D1657"/>
    <w:rsid w:val="004D18AE"/>
    <w:rsid w:val="004D1E86"/>
    <w:rsid w:val="004D1F35"/>
    <w:rsid w:val="004D20D2"/>
    <w:rsid w:val="004D229B"/>
    <w:rsid w:val="004D2359"/>
    <w:rsid w:val="004D24CC"/>
    <w:rsid w:val="004D24F0"/>
    <w:rsid w:val="004D2531"/>
    <w:rsid w:val="004D255B"/>
    <w:rsid w:val="004D27FC"/>
    <w:rsid w:val="004D29D0"/>
    <w:rsid w:val="004D2A85"/>
    <w:rsid w:val="004D2CDC"/>
    <w:rsid w:val="004D2EDC"/>
    <w:rsid w:val="004D337A"/>
    <w:rsid w:val="004D339F"/>
    <w:rsid w:val="004D3426"/>
    <w:rsid w:val="004D3A43"/>
    <w:rsid w:val="004D3B4A"/>
    <w:rsid w:val="004D3B56"/>
    <w:rsid w:val="004D3C63"/>
    <w:rsid w:val="004D3F7B"/>
    <w:rsid w:val="004D3FF3"/>
    <w:rsid w:val="004D40D2"/>
    <w:rsid w:val="004D4156"/>
    <w:rsid w:val="004D4253"/>
    <w:rsid w:val="004D437E"/>
    <w:rsid w:val="004D4528"/>
    <w:rsid w:val="004D4806"/>
    <w:rsid w:val="004D489A"/>
    <w:rsid w:val="004D494A"/>
    <w:rsid w:val="004D4B42"/>
    <w:rsid w:val="004D4B6C"/>
    <w:rsid w:val="004D4DC1"/>
    <w:rsid w:val="004D4FC7"/>
    <w:rsid w:val="004D51EA"/>
    <w:rsid w:val="004D55D3"/>
    <w:rsid w:val="004D5989"/>
    <w:rsid w:val="004D5BAE"/>
    <w:rsid w:val="004D5C5F"/>
    <w:rsid w:val="004D5F3D"/>
    <w:rsid w:val="004D614E"/>
    <w:rsid w:val="004D61E1"/>
    <w:rsid w:val="004D6446"/>
    <w:rsid w:val="004D6597"/>
    <w:rsid w:val="004D6622"/>
    <w:rsid w:val="004D6819"/>
    <w:rsid w:val="004D6897"/>
    <w:rsid w:val="004D6B84"/>
    <w:rsid w:val="004D749C"/>
    <w:rsid w:val="004D752B"/>
    <w:rsid w:val="004D763E"/>
    <w:rsid w:val="004D783D"/>
    <w:rsid w:val="004E0707"/>
    <w:rsid w:val="004E0770"/>
    <w:rsid w:val="004E0835"/>
    <w:rsid w:val="004E087E"/>
    <w:rsid w:val="004E0A8E"/>
    <w:rsid w:val="004E0C7B"/>
    <w:rsid w:val="004E0D38"/>
    <w:rsid w:val="004E0D84"/>
    <w:rsid w:val="004E0FD5"/>
    <w:rsid w:val="004E1010"/>
    <w:rsid w:val="004E174E"/>
    <w:rsid w:val="004E179F"/>
    <w:rsid w:val="004E17E9"/>
    <w:rsid w:val="004E1898"/>
    <w:rsid w:val="004E18CC"/>
    <w:rsid w:val="004E1A56"/>
    <w:rsid w:val="004E1A64"/>
    <w:rsid w:val="004E1C77"/>
    <w:rsid w:val="004E1FBB"/>
    <w:rsid w:val="004E204B"/>
    <w:rsid w:val="004E221C"/>
    <w:rsid w:val="004E2342"/>
    <w:rsid w:val="004E2577"/>
    <w:rsid w:val="004E2919"/>
    <w:rsid w:val="004E29B7"/>
    <w:rsid w:val="004E29F3"/>
    <w:rsid w:val="004E2D5D"/>
    <w:rsid w:val="004E2DB7"/>
    <w:rsid w:val="004E2DEF"/>
    <w:rsid w:val="004E2ED3"/>
    <w:rsid w:val="004E2FA7"/>
    <w:rsid w:val="004E33F0"/>
    <w:rsid w:val="004E33F6"/>
    <w:rsid w:val="004E3414"/>
    <w:rsid w:val="004E3528"/>
    <w:rsid w:val="004E353C"/>
    <w:rsid w:val="004E37F0"/>
    <w:rsid w:val="004E3D5A"/>
    <w:rsid w:val="004E3E71"/>
    <w:rsid w:val="004E408E"/>
    <w:rsid w:val="004E41DF"/>
    <w:rsid w:val="004E4212"/>
    <w:rsid w:val="004E44D7"/>
    <w:rsid w:val="004E4A56"/>
    <w:rsid w:val="004E4CD0"/>
    <w:rsid w:val="004E4E6E"/>
    <w:rsid w:val="004E5638"/>
    <w:rsid w:val="004E57CF"/>
    <w:rsid w:val="004E586B"/>
    <w:rsid w:val="004E5A1C"/>
    <w:rsid w:val="004E5AD7"/>
    <w:rsid w:val="004E6110"/>
    <w:rsid w:val="004E62F5"/>
    <w:rsid w:val="004E6367"/>
    <w:rsid w:val="004E645A"/>
    <w:rsid w:val="004E6581"/>
    <w:rsid w:val="004E65DE"/>
    <w:rsid w:val="004E6788"/>
    <w:rsid w:val="004E69E8"/>
    <w:rsid w:val="004E6C3F"/>
    <w:rsid w:val="004E725A"/>
    <w:rsid w:val="004E7ADA"/>
    <w:rsid w:val="004E7B8B"/>
    <w:rsid w:val="004E7BB4"/>
    <w:rsid w:val="004E7FD0"/>
    <w:rsid w:val="004F0AAB"/>
    <w:rsid w:val="004F0FF8"/>
    <w:rsid w:val="004F10BB"/>
    <w:rsid w:val="004F10DE"/>
    <w:rsid w:val="004F135A"/>
    <w:rsid w:val="004F15B7"/>
    <w:rsid w:val="004F15C8"/>
    <w:rsid w:val="004F1636"/>
    <w:rsid w:val="004F1C29"/>
    <w:rsid w:val="004F1E6C"/>
    <w:rsid w:val="004F1F4A"/>
    <w:rsid w:val="004F203A"/>
    <w:rsid w:val="004F2074"/>
    <w:rsid w:val="004F24C9"/>
    <w:rsid w:val="004F28C3"/>
    <w:rsid w:val="004F2939"/>
    <w:rsid w:val="004F2A5E"/>
    <w:rsid w:val="004F2C74"/>
    <w:rsid w:val="004F2D38"/>
    <w:rsid w:val="004F2DBE"/>
    <w:rsid w:val="004F2DEE"/>
    <w:rsid w:val="004F31FD"/>
    <w:rsid w:val="004F3801"/>
    <w:rsid w:val="004F3DCA"/>
    <w:rsid w:val="004F40A6"/>
    <w:rsid w:val="004F4766"/>
    <w:rsid w:val="004F4C96"/>
    <w:rsid w:val="004F4D10"/>
    <w:rsid w:val="004F4D35"/>
    <w:rsid w:val="004F534E"/>
    <w:rsid w:val="004F550C"/>
    <w:rsid w:val="004F551C"/>
    <w:rsid w:val="004F57D4"/>
    <w:rsid w:val="004F5836"/>
    <w:rsid w:val="004F5992"/>
    <w:rsid w:val="004F5A3E"/>
    <w:rsid w:val="004F5B61"/>
    <w:rsid w:val="004F5D8A"/>
    <w:rsid w:val="004F5E1D"/>
    <w:rsid w:val="004F616E"/>
    <w:rsid w:val="004F623E"/>
    <w:rsid w:val="004F65C0"/>
    <w:rsid w:val="004F668F"/>
    <w:rsid w:val="004F6D3D"/>
    <w:rsid w:val="004F6FA7"/>
    <w:rsid w:val="004F706D"/>
    <w:rsid w:val="004F712C"/>
    <w:rsid w:val="004F7305"/>
    <w:rsid w:val="004F7743"/>
    <w:rsid w:val="004F7E45"/>
    <w:rsid w:val="004F7EC7"/>
    <w:rsid w:val="004F7FED"/>
    <w:rsid w:val="005004A2"/>
    <w:rsid w:val="0050056E"/>
    <w:rsid w:val="00500810"/>
    <w:rsid w:val="00500B0E"/>
    <w:rsid w:val="00500B6B"/>
    <w:rsid w:val="00500D61"/>
    <w:rsid w:val="00500F25"/>
    <w:rsid w:val="0050126E"/>
    <w:rsid w:val="00501328"/>
    <w:rsid w:val="005014C9"/>
    <w:rsid w:val="005016C6"/>
    <w:rsid w:val="005017C2"/>
    <w:rsid w:val="00501A86"/>
    <w:rsid w:val="00501AA6"/>
    <w:rsid w:val="00501CB6"/>
    <w:rsid w:val="00501DA4"/>
    <w:rsid w:val="00501FBA"/>
    <w:rsid w:val="0050270F"/>
    <w:rsid w:val="00502796"/>
    <w:rsid w:val="00502BF6"/>
    <w:rsid w:val="00502DDC"/>
    <w:rsid w:val="00502EA9"/>
    <w:rsid w:val="00503000"/>
    <w:rsid w:val="00503464"/>
    <w:rsid w:val="00503512"/>
    <w:rsid w:val="005035A4"/>
    <w:rsid w:val="005035FA"/>
    <w:rsid w:val="0050361A"/>
    <w:rsid w:val="005036ED"/>
    <w:rsid w:val="0050388E"/>
    <w:rsid w:val="00503950"/>
    <w:rsid w:val="005039EB"/>
    <w:rsid w:val="00503F84"/>
    <w:rsid w:val="005040B3"/>
    <w:rsid w:val="00504355"/>
    <w:rsid w:val="0050437A"/>
    <w:rsid w:val="005045B0"/>
    <w:rsid w:val="005046AF"/>
    <w:rsid w:val="00504AAB"/>
    <w:rsid w:val="00504B1D"/>
    <w:rsid w:val="00504B34"/>
    <w:rsid w:val="00504D50"/>
    <w:rsid w:val="00504E10"/>
    <w:rsid w:val="005050D3"/>
    <w:rsid w:val="00505286"/>
    <w:rsid w:val="005052EE"/>
    <w:rsid w:val="005053B3"/>
    <w:rsid w:val="0050558C"/>
    <w:rsid w:val="005055FD"/>
    <w:rsid w:val="005065D9"/>
    <w:rsid w:val="005066A5"/>
    <w:rsid w:val="00506871"/>
    <w:rsid w:val="00506D19"/>
    <w:rsid w:val="00506EEE"/>
    <w:rsid w:val="00507145"/>
    <w:rsid w:val="0050737C"/>
    <w:rsid w:val="005073D6"/>
    <w:rsid w:val="005073E5"/>
    <w:rsid w:val="005075E9"/>
    <w:rsid w:val="00507759"/>
    <w:rsid w:val="005077A8"/>
    <w:rsid w:val="00507AB5"/>
    <w:rsid w:val="00507BFF"/>
    <w:rsid w:val="00510007"/>
    <w:rsid w:val="005104A3"/>
    <w:rsid w:val="00510523"/>
    <w:rsid w:val="00510687"/>
    <w:rsid w:val="00510730"/>
    <w:rsid w:val="00510E84"/>
    <w:rsid w:val="00510EEF"/>
    <w:rsid w:val="00510F30"/>
    <w:rsid w:val="00510F5B"/>
    <w:rsid w:val="00511426"/>
    <w:rsid w:val="00511486"/>
    <w:rsid w:val="005116A8"/>
    <w:rsid w:val="00511AC0"/>
    <w:rsid w:val="0051203A"/>
    <w:rsid w:val="00512272"/>
    <w:rsid w:val="0051230B"/>
    <w:rsid w:val="0051287D"/>
    <w:rsid w:val="0051292E"/>
    <w:rsid w:val="00512966"/>
    <w:rsid w:val="00512E4B"/>
    <w:rsid w:val="00512F7D"/>
    <w:rsid w:val="00512F8D"/>
    <w:rsid w:val="00513035"/>
    <w:rsid w:val="005131EE"/>
    <w:rsid w:val="00513361"/>
    <w:rsid w:val="00513670"/>
    <w:rsid w:val="00513C39"/>
    <w:rsid w:val="00513C3E"/>
    <w:rsid w:val="00513CB0"/>
    <w:rsid w:val="00513D39"/>
    <w:rsid w:val="00513F3C"/>
    <w:rsid w:val="00513F4D"/>
    <w:rsid w:val="0051408D"/>
    <w:rsid w:val="0051417D"/>
    <w:rsid w:val="00514302"/>
    <w:rsid w:val="0051444B"/>
    <w:rsid w:val="005144BF"/>
    <w:rsid w:val="005144E5"/>
    <w:rsid w:val="0051481A"/>
    <w:rsid w:val="005149D3"/>
    <w:rsid w:val="00514B65"/>
    <w:rsid w:val="00514F36"/>
    <w:rsid w:val="00514FE2"/>
    <w:rsid w:val="0051529C"/>
    <w:rsid w:val="005155B5"/>
    <w:rsid w:val="0051567F"/>
    <w:rsid w:val="00515A3B"/>
    <w:rsid w:val="00515DD9"/>
    <w:rsid w:val="00515F7F"/>
    <w:rsid w:val="00516214"/>
    <w:rsid w:val="00516544"/>
    <w:rsid w:val="005167D2"/>
    <w:rsid w:val="005168D6"/>
    <w:rsid w:val="00516A3D"/>
    <w:rsid w:val="00516BA2"/>
    <w:rsid w:val="00516D24"/>
    <w:rsid w:val="00516DA4"/>
    <w:rsid w:val="00516E27"/>
    <w:rsid w:val="0051716C"/>
    <w:rsid w:val="00517551"/>
    <w:rsid w:val="00517691"/>
    <w:rsid w:val="00517A16"/>
    <w:rsid w:val="00517CA3"/>
    <w:rsid w:val="00517D33"/>
    <w:rsid w:val="00517FBC"/>
    <w:rsid w:val="00517FF5"/>
    <w:rsid w:val="00520079"/>
    <w:rsid w:val="00520501"/>
    <w:rsid w:val="0052069C"/>
    <w:rsid w:val="0052082A"/>
    <w:rsid w:val="005209AA"/>
    <w:rsid w:val="00520AC4"/>
    <w:rsid w:val="00520CEE"/>
    <w:rsid w:val="00520F0A"/>
    <w:rsid w:val="0052182E"/>
    <w:rsid w:val="0052187A"/>
    <w:rsid w:val="00521E96"/>
    <w:rsid w:val="00521E98"/>
    <w:rsid w:val="00521FBD"/>
    <w:rsid w:val="0052207A"/>
    <w:rsid w:val="0052217A"/>
    <w:rsid w:val="005224D1"/>
    <w:rsid w:val="00522871"/>
    <w:rsid w:val="00522A13"/>
    <w:rsid w:val="00522B2A"/>
    <w:rsid w:val="00522B65"/>
    <w:rsid w:val="00522C89"/>
    <w:rsid w:val="00522CE9"/>
    <w:rsid w:val="00522FCB"/>
    <w:rsid w:val="00523032"/>
    <w:rsid w:val="005232EF"/>
    <w:rsid w:val="00523734"/>
    <w:rsid w:val="005238ED"/>
    <w:rsid w:val="005238FF"/>
    <w:rsid w:val="00523939"/>
    <w:rsid w:val="00523A2F"/>
    <w:rsid w:val="00523EAF"/>
    <w:rsid w:val="005243E1"/>
    <w:rsid w:val="00524A8C"/>
    <w:rsid w:val="00524AC2"/>
    <w:rsid w:val="00524C04"/>
    <w:rsid w:val="00524D3A"/>
    <w:rsid w:val="00524EE2"/>
    <w:rsid w:val="00524EEA"/>
    <w:rsid w:val="00524FAE"/>
    <w:rsid w:val="00525030"/>
    <w:rsid w:val="005250E1"/>
    <w:rsid w:val="00525105"/>
    <w:rsid w:val="005255CB"/>
    <w:rsid w:val="00525675"/>
    <w:rsid w:val="00525679"/>
    <w:rsid w:val="00525C7E"/>
    <w:rsid w:val="00525DBF"/>
    <w:rsid w:val="005262B2"/>
    <w:rsid w:val="00526463"/>
    <w:rsid w:val="0052694F"/>
    <w:rsid w:val="00526B29"/>
    <w:rsid w:val="00526CF0"/>
    <w:rsid w:val="00526D22"/>
    <w:rsid w:val="00526D27"/>
    <w:rsid w:val="005270EF"/>
    <w:rsid w:val="0052721F"/>
    <w:rsid w:val="005274BC"/>
    <w:rsid w:val="00527525"/>
    <w:rsid w:val="00527727"/>
    <w:rsid w:val="00527B6C"/>
    <w:rsid w:val="00527C46"/>
    <w:rsid w:val="00527CA8"/>
    <w:rsid w:val="00530099"/>
    <w:rsid w:val="00530227"/>
    <w:rsid w:val="005307E2"/>
    <w:rsid w:val="0053080B"/>
    <w:rsid w:val="00530DF4"/>
    <w:rsid w:val="005312CA"/>
    <w:rsid w:val="00531AE4"/>
    <w:rsid w:val="00531D75"/>
    <w:rsid w:val="00531DA4"/>
    <w:rsid w:val="00531E46"/>
    <w:rsid w:val="00531FD9"/>
    <w:rsid w:val="0053268B"/>
    <w:rsid w:val="00532746"/>
    <w:rsid w:val="00532BFA"/>
    <w:rsid w:val="00532D2C"/>
    <w:rsid w:val="00532E0D"/>
    <w:rsid w:val="00532E60"/>
    <w:rsid w:val="00533000"/>
    <w:rsid w:val="0053326A"/>
    <w:rsid w:val="00533405"/>
    <w:rsid w:val="00533502"/>
    <w:rsid w:val="00533564"/>
    <w:rsid w:val="0053374E"/>
    <w:rsid w:val="005337D7"/>
    <w:rsid w:val="00533AD7"/>
    <w:rsid w:val="00533B16"/>
    <w:rsid w:val="00533B1B"/>
    <w:rsid w:val="0053433D"/>
    <w:rsid w:val="00534472"/>
    <w:rsid w:val="00534D44"/>
    <w:rsid w:val="005351E0"/>
    <w:rsid w:val="00535628"/>
    <w:rsid w:val="005356C2"/>
    <w:rsid w:val="0053570C"/>
    <w:rsid w:val="005357D9"/>
    <w:rsid w:val="00535960"/>
    <w:rsid w:val="00535CC8"/>
    <w:rsid w:val="00535D12"/>
    <w:rsid w:val="00535F63"/>
    <w:rsid w:val="00535FE2"/>
    <w:rsid w:val="005361A2"/>
    <w:rsid w:val="005361FC"/>
    <w:rsid w:val="005363FF"/>
    <w:rsid w:val="0053667D"/>
    <w:rsid w:val="005366D3"/>
    <w:rsid w:val="0053679D"/>
    <w:rsid w:val="00536A3E"/>
    <w:rsid w:val="00536A50"/>
    <w:rsid w:val="00536BCA"/>
    <w:rsid w:val="00536F26"/>
    <w:rsid w:val="0053713F"/>
    <w:rsid w:val="0053745E"/>
    <w:rsid w:val="005376B8"/>
    <w:rsid w:val="0053774F"/>
    <w:rsid w:val="005377DE"/>
    <w:rsid w:val="00537A8A"/>
    <w:rsid w:val="00537B70"/>
    <w:rsid w:val="00537F04"/>
    <w:rsid w:val="0054019F"/>
    <w:rsid w:val="00540382"/>
    <w:rsid w:val="00540706"/>
    <w:rsid w:val="005407DE"/>
    <w:rsid w:val="005408D1"/>
    <w:rsid w:val="00540AC5"/>
    <w:rsid w:val="00540DB6"/>
    <w:rsid w:val="00540E47"/>
    <w:rsid w:val="00540EED"/>
    <w:rsid w:val="00541255"/>
    <w:rsid w:val="0054135E"/>
    <w:rsid w:val="0054139C"/>
    <w:rsid w:val="00541749"/>
    <w:rsid w:val="00541753"/>
    <w:rsid w:val="005417B0"/>
    <w:rsid w:val="00541F25"/>
    <w:rsid w:val="0054215D"/>
    <w:rsid w:val="005421D2"/>
    <w:rsid w:val="005421ED"/>
    <w:rsid w:val="005427C4"/>
    <w:rsid w:val="00542C87"/>
    <w:rsid w:val="00542DBB"/>
    <w:rsid w:val="00543420"/>
    <w:rsid w:val="0054366E"/>
    <w:rsid w:val="005436C3"/>
    <w:rsid w:val="00543C6D"/>
    <w:rsid w:val="00544039"/>
    <w:rsid w:val="005441FE"/>
    <w:rsid w:val="005443A2"/>
    <w:rsid w:val="005444B5"/>
    <w:rsid w:val="005444B7"/>
    <w:rsid w:val="005446E1"/>
    <w:rsid w:val="0054484B"/>
    <w:rsid w:val="00544DA9"/>
    <w:rsid w:val="00544F5F"/>
    <w:rsid w:val="005455B4"/>
    <w:rsid w:val="00545880"/>
    <w:rsid w:val="00545A05"/>
    <w:rsid w:val="00545B47"/>
    <w:rsid w:val="00545BA5"/>
    <w:rsid w:val="00545C3E"/>
    <w:rsid w:val="00545C73"/>
    <w:rsid w:val="00545DD9"/>
    <w:rsid w:val="00545FF8"/>
    <w:rsid w:val="0054600E"/>
    <w:rsid w:val="005460EC"/>
    <w:rsid w:val="00546141"/>
    <w:rsid w:val="005465D4"/>
    <w:rsid w:val="00546614"/>
    <w:rsid w:val="005467BE"/>
    <w:rsid w:val="00546C27"/>
    <w:rsid w:val="00546CC9"/>
    <w:rsid w:val="00546E87"/>
    <w:rsid w:val="00547161"/>
    <w:rsid w:val="005476AC"/>
    <w:rsid w:val="00547D30"/>
    <w:rsid w:val="00547DA4"/>
    <w:rsid w:val="00547E34"/>
    <w:rsid w:val="00547FCB"/>
    <w:rsid w:val="005501E8"/>
    <w:rsid w:val="00550381"/>
    <w:rsid w:val="005506F4"/>
    <w:rsid w:val="005507D2"/>
    <w:rsid w:val="005507DB"/>
    <w:rsid w:val="00550884"/>
    <w:rsid w:val="00550B09"/>
    <w:rsid w:val="00550CB7"/>
    <w:rsid w:val="00550D43"/>
    <w:rsid w:val="00550E79"/>
    <w:rsid w:val="00551121"/>
    <w:rsid w:val="0055152A"/>
    <w:rsid w:val="00551579"/>
    <w:rsid w:val="005516AB"/>
    <w:rsid w:val="00551889"/>
    <w:rsid w:val="00551978"/>
    <w:rsid w:val="00551AEE"/>
    <w:rsid w:val="00551B21"/>
    <w:rsid w:val="00551EC5"/>
    <w:rsid w:val="00551FDB"/>
    <w:rsid w:val="005520E7"/>
    <w:rsid w:val="005522BF"/>
    <w:rsid w:val="005523C2"/>
    <w:rsid w:val="00552702"/>
    <w:rsid w:val="00552808"/>
    <w:rsid w:val="00552BB4"/>
    <w:rsid w:val="0055316D"/>
    <w:rsid w:val="005532F6"/>
    <w:rsid w:val="005532FC"/>
    <w:rsid w:val="00553357"/>
    <w:rsid w:val="0055362B"/>
    <w:rsid w:val="00553757"/>
    <w:rsid w:val="00553C02"/>
    <w:rsid w:val="00553CA4"/>
    <w:rsid w:val="00553EA5"/>
    <w:rsid w:val="00553EDA"/>
    <w:rsid w:val="00554061"/>
    <w:rsid w:val="00554158"/>
    <w:rsid w:val="005541AC"/>
    <w:rsid w:val="0055421B"/>
    <w:rsid w:val="00554272"/>
    <w:rsid w:val="00554286"/>
    <w:rsid w:val="00554373"/>
    <w:rsid w:val="005543A7"/>
    <w:rsid w:val="00554565"/>
    <w:rsid w:val="00554570"/>
    <w:rsid w:val="00554FA9"/>
    <w:rsid w:val="00555162"/>
    <w:rsid w:val="00555172"/>
    <w:rsid w:val="00555443"/>
    <w:rsid w:val="005554E5"/>
    <w:rsid w:val="005559EC"/>
    <w:rsid w:val="00555AAF"/>
    <w:rsid w:val="00555ADD"/>
    <w:rsid w:val="00555B68"/>
    <w:rsid w:val="00555B80"/>
    <w:rsid w:val="00555EFC"/>
    <w:rsid w:val="00556001"/>
    <w:rsid w:val="005560A4"/>
    <w:rsid w:val="00556184"/>
    <w:rsid w:val="00556285"/>
    <w:rsid w:val="005566B9"/>
    <w:rsid w:val="00556A42"/>
    <w:rsid w:val="00556C74"/>
    <w:rsid w:val="00556D49"/>
    <w:rsid w:val="00556FCC"/>
    <w:rsid w:val="0055706D"/>
    <w:rsid w:val="00557157"/>
    <w:rsid w:val="0055775F"/>
    <w:rsid w:val="00557763"/>
    <w:rsid w:val="00557BF0"/>
    <w:rsid w:val="00557E1F"/>
    <w:rsid w:val="0056007A"/>
    <w:rsid w:val="00560270"/>
    <w:rsid w:val="00560364"/>
    <w:rsid w:val="0056059C"/>
    <w:rsid w:val="00560639"/>
    <w:rsid w:val="0056066D"/>
    <w:rsid w:val="0056076D"/>
    <w:rsid w:val="005608B1"/>
    <w:rsid w:val="005608FF"/>
    <w:rsid w:val="0056097C"/>
    <w:rsid w:val="00560C03"/>
    <w:rsid w:val="00560F7A"/>
    <w:rsid w:val="00561078"/>
    <w:rsid w:val="0056119D"/>
    <w:rsid w:val="0056127A"/>
    <w:rsid w:val="0056163A"/>
    <w:rsid w:val="005616ED"/>
    <w:rsid w:val="0056191E"/>
    <w:rsid w:val="005619B7"/>
    <w:rsid w:val="00561AC9"/>
    <w:rsid w:val="00561C61"/>
    <w:rsid w:val="0056212E"/>
    <w:rsid w:val="005621F7"/>
    <w:rsid w:val="00562542"/>
    <w:rsid w:val="00562800"/>
    <w:rsid w:val="00562839"/>
    <w:rsid w:val="00562B70"/>
    <w:rsid w:val="00562DF5"/>
    <w:rsid w:val="005632E6"/>
    <w:rsid w:val="005633B7"/>
    <w:rsid w:val="00563665"/>
    <w:rsid w:val="00563824"/>
    <w:rsid w:val="00563978"/>
    <w:rsid w:val="00563BA8"/>
    <w:rsid w:val="00563C4A"/>
    <w:rsid w:val="00563EBF"/>
    <w:rsid w:val="00564098"/>
    <w:rsid w:val="0056442C"/>
    <w:rsid w:val="00564434"/>
    <w:rsid w:val="005646D1"/>
    <w:rsid w:val="00564833"/>
    <w:rsid w:val="005649A2"/>
    <w:rsid w:val="00564D7F"/>
    <w:rsid w:val="00564DE0"/>
    <w:rsid w:val="00565955"/>
    <w:rsid w:val="00565BED"/>
    <w:rsid w:val="00565BF1"/>
    <w:rsid w:val="00565CE5"/>
    <w:rsid w:val="00565D4A"/>
    <w:rsid w:val="00565E77"/>
    <w:rsid w:val="0056611A"/>
    <w:rsid w:val="00566287"/>
    <w:rsid w:val="005664E3"/>
    <w:rsid w:val="00566633"/>
    <w:rsid w:val="005668DE"/>
    <w:rsid w:val="0056695B"/>
    <w:rsid w:val="00566A6F"/>
    <w:rsid w:val="00566B04"/>
    <w:rsid w:val="00566B9C"/>
    <w:rsid w:val="00566C0C"/>
    <w:rsid w:val="00566D72"/>
    <w:rsid w:val="005670BF"/>
    <w:rsid w:val="005670E4"/>
    <w:rsid w:val="0056714C"/>
    <w:rsid w:val="00567237"/>
    <w:rsid w:val="005674F3"/>
    <w:rsid w:val="005674F7"/>
    <w:rsid w:val="0056784A"/>
    <w:rsid w:val="0056795C"/>
    <w:rsid w:val="00567B9E"/>
    <w:rsid w:val="00567EBE"/>
    <w:rsid w:val="00570021"/>
    <w:rsid w:val="00570161"/>
    <w:rsid w:val="005702EF"/>
    <w:rsid w:val="00570316"/>
    <w:rsid w:val="00570443"/>
    <w:rsid w:val="00570615"/>
    <w:rsid w:val="00570663"/>
    <w:rsid w:val="00570687"/>
    <w:rsid w:val="005707D0"/>
    <w:rsid w:val="00570A45"/>
    <w:rsid w:val="00570B18"/>
    <w:rsid w:val="00570B56"/>
    <w:rsid w:val="00570CDF"/>
    <w:rsid w:val="00570FD4"/>
    <w:rsid w:val="00571089"/>
    <w:rsid w:val="005710B3"/>
    <w:rsid w:val="0057133B"/>
    <w:rsid w:val="00571B84"/>
    <w:rsid w:val="00571C7B"/>
    <w:rsid w:val="00571CE1"/>
    <w:rsid w:val="00572120"/>
    <w:rsid w:val="00572159"/>
    <w:rsid w:val="005724F6"/>
    <w:rsid w:val="00572709"/>
    <w:rsid w:val="00572A26"/>
    <w:rsid w:val="00572DE1"/>
    <w:rsid w:val="00572F7F"/>
    <w:rsid w:val="00573432"/>
    <w:rsid w:val="005736BA"/>
    <w:rsid w:val="005736F0"/>
    <w:rsid w:val="0057383D"/>
    <w:rsid w:val="00573924"/>
    <w:rsid w:val="00573EC3"/>
    <w:rsid w:val="005740C0"/>
    <w:rsid w:val="0057418C"/>
    <w:rsid w:val="00574204"/>
    <w:rsid w:val="00574363"/>
    <w:rsid w:val="005744C6"/>
    <w:rsid w:val="005745A1"/>
    <w:rsid w:val="00574969"/>
    <w:rsid w:val="00574B5A"/>
    <w:rsid w:val="00574B63"/>
    <w:rsid w:val="00574BEC"/>
    <w:rsid w:val="00574FD2"/>
    <w:rsid w:val="0057502D"/>
    <w:rsid w:val="00575297"/>
    <w:rsid w:val="00575344"/>
    <w:rsid w:val="005757BA"/>
    <w:rsid w:val="0057584F"/>
    <w:rsid w:val="005759FC"/>
    <w:rsid w:val="00575D8C"/>
    <w:rsid w:val="00575DC0"/>
    <w:rsid w:val="00575E7F"/>
    <w:rsid w:val="005760F8"/>
    <w:rsid w:val="00576140"/>
    <w:rsid w:val="00576476"/>
    <w:rsid w:val="00576718"/>
    <w:rsid w:val="00576982"/>
    <w:rsid w:val="00576F70"/>
    <w:rsid w:val="00577013"/>
    <w:rsid w:val="00577016"/>
    <w:rsid w:val="005771D9"/>
    <w:rsid w:val="0057730B"/>
    <w:rsid w:val="00577668"/>
    <w:rsid w:val="005776D1"/>
    <w:rsid w:val="00577876"/>
    <w:rsid w:val="005779C5"/>
    <w:rsid w:val="005800C4"/>
    <w:rsid w:val="00580124"/>
    <w:rsid w:val="00580144"/>
    <w:rsid w:val="005801E8"/>
    <w:rsid w:val="0058038A"/>
    <w:rsid w:val="005803C4"/>
    <w:rsid w:val="00580559"/>
    <w:rsid w:val="005805AB"/>
    <w:rsid w:val="005805F2"/>
    <w:rsid w:val="00580778"/>
    <w:rsid w:val="00580A48"/>
    <w:rsid w:val="00580C8F"/>
    <w:rsid w:val="00580CEE"/>
    <w:rsid w:val="00580D45"/>
    <w:rsid w:val="00580E18"/>
    <w:rsid w:val="00580E25"/>
    <w:rsid w:val="00580F73"/>
    <w:rsid w:val="00581177"/>
    <w:rsid w:val="005813FD"/>
    <w:rsid w:val="00581724"/>
    <w:rsid w:val="005819B4"/>
    <w:rsid w:val="00581A87"/>
    <w:rsid w:val="00581AB3"/>
    <w:rsid w:val="00582050"/>
    <w:rsid w:val="00582077"/>
    <w:rsid w:val="00582094"/>
    <w:rsid w:val="005820B5"/>
    <w:rsid w:val="005824BD"/>
    <w:rsid w:val="0058251E"/>
    <w:rsid w:val="0058254D"/>
    <w:rsid w:val="0058266B"/>
    <w:rsid w:val="0058270F"/>
    <w:rsid w:val="00582930"/>
    <w:rsid w:val="00582CD5"/>
    <w:rsid w:val="00582F3F"/>
    <w:rsid w:val="005832E8"/>
    <w:rsid w:val="005837A2"/>
    <w:rsid w:val="005837B3"/>
    <w:rsid w:val="005838A3"/>
    <w:rsid w:val="005839B3"/>
    <w:rsid w:val="00583A83"/>
    <w:rsid w:val="00583C62"/>
    <w:rsid w:val="00583EA1"/>
    <w:rsid w:val="00584128"/>
    <w:rsid w:val="00584409"/>
    <w:rsid w:val="005845C4"/>
    <w:rsid w:val="005846CC"/>
    <w:rsid w:val="0058486D"/>
    <w:rsid w:val="0058489C"/>
    <w:rsid w:val="00584B19"/>
    <w:rsid w:val="00584E1E"/>
    <w:rsid w:val="0058502E"/>
    <w:rsid w:val="00585546"/>
    <w:rsid w:val="00585836"/>
    <w:rsid w:val="005858FC"/>
    <w:rsid w:val="00585997"/>
    <w:rsid w:val="005859EE"/>
    <w:rsid w:val="00585A9C"/>
    <w:rsid w:val="00585B2D"/>
    <w:rsid w:val="00585CE3"/>
    <w:rsid w:val="00585D06"/>
    <w:rsid w:val="00585F44"/>
    <w:rsid w:val="00585F8A"/>
    <w:rsid w:val="00586EB2"/>
    <w:rsid w:val="00586EEF"/>
    <w:rsid w:val="005870CC"/>
    <w:rsid w:val="005873BC"/>
    <w:rsid w:val="00587580"/>
    <w:rsid w:val="005877DB"/>
    <w:rsid w:val="00587805"/>
    <w:rsid w:val="00587A8B"/>
    <w:rsid w:val="00587BDE"/>
    <w:rsid w:val="00587E2A"/>
    <w:rsid w:val="00590112"/>
    <w:rsid w:val="0059027F"/>
    <w:rsid w:val="005903D5"/>
    <w:rsid w:val="005903F5"/>
    <w:rsid w:val="00590420"/>
    <w:rsid w:val="00590460"/>
    <w:rsid w:val="00590550"/>
    <w:rsid w:val="00590931"/>
    <w:rsid w:val="00590DDC"/>
    <w:rsid w:val="0059111B"/>
    <w:rsid w:val="0059117F"/>
    <w:rsid w:val="005911B7"/>
    <w:rsid w:val="005911F3"/>
    <w:rsid w:val="0059127B"/>
    <w:rsid w:val="0059131B"/>
    <w:rsid w:val="0059144D"/>
    <w:rsid w:val="005916E6"/>
    <w:rsid w:val="00591790"/>
    <w:rsid w:val="00591996"/>
    <w:rsid w:val="00591AB6"/>
    <w:rsid w:val="00591AD5"/>
    <w:rsid w:val="00591E40"/>
    <w:rsid w:val="00591EC4"/>
    <w:rsid w:val="00591F9D"/>
    <w:rsid w:val="005921C2"/>
    <w:rsid w:val="005923B2"/>
    <w:rsid w:val="0059290A"/>
    <w:rsid w:val="00592B24"/>
    <w:rsid w:val="00592C39"/>
    <w:rsid w:val="00592CEF"/>
    <w:rsid w:val="005930E2"/>
    <w:rsid w:val="0059312C"/>
    <w:rsid w:val="005932FE"/>
    <w:rsid w:val="0059374A"/>
    <w:rsid w:val="00593B1A"/>
    <w:rsid w:val="00593FBA"/>
    <w:rsid w:val="00594473"/>
    <w:rsid w:val="00594587"/>
    <w:rsid w:val="00594C7D"/>
    <w:rsid w:val="00594C9A"/>
    <w:rsid w:val="00594F2D"/>
    <w:rsid w:val="00594FF2"/>
    <w:rsid w:val="00594FF7"/>
    <w:rsid w:val="005950BC"/>
    <w:rsid w:val="00595418"/>
    <w:rsid w:val="005956B3"/>
    <w:rsid w:val="00595B7C"/>
    <w:rsid w:val="00595C3A"/>
    <w:rsid w:val="005960A8"/>
    <w:rsid w:val="005963E9"/>
    <w:rsid w:val="0059642C"/>
    <w:rsid w:val="00596484"/>
    <w:rsid w:val="005966C5"/>
    <w:rsid w:val="0059679C"/>
    <w:rsid w:val="005967F6"/>
    <w:rsid w:val="0059691C"/>
    <w:rsid w:val="00596B8B"/>
    <w:rsid w:val="00596C4B"/>
    <w:rsid w:val="00596E83"/>
    <w:rsid w:val="00596F22"/>
    <w:rsid w:val="005970F7"/>
    <w:rsid w:val="005971FB"/>
    <w:rsid w:val="0059728C"/>
    <w:rsid w:val="005972C3"/>
    <w:rsid w:val="0059751D"/>
    <w:rsid w:val="00597846"/>
    <w:rsid w:val="00597A98"/>
    <w:rsid w:val="00597D20"/>
    <w:rsid w:val="00597E28"/>
    <w:rsid w:val="00597EAD"/>
    <w:rsid w:val="005A006B"/>
    <w:rsid w:val="005A0276"/>
    <w:rsid w:val="005A0310"/>
    <w:rsid w:val="005A037D"/>
    <w:rsid w:val="005A03B5"/>
    <w:rsid w:val="005A04EF"/>
    <w:rsid w:val="005A05BC"/>
    <w:rsid w:val="005A07CD"/>
    <w:rsid w:val="005A086C"/>
    <w:rsid w:val="005A089F"/>
    <w:rsid w:val="005A0C46"/>
    <w:rsid w:val="005A0C83"/>
    <w:rsid w:val="005A0DC2"/>
    <w:rsid w:val="005A0FC9"/>
    <w:rsid w:val="005A1277"/>
    <w:rsid w:val="005A151D"/>
    <w:rsid w:val="005A1601"/>
    <w:rsid w:val="005A1B33"/>
    <w:rsid w:val="005A1E50"/>
    <w:rsid w:val="005A2095"/>
    <w:rsid w:val="005A2251"/>
    <w:rsid w:val="005A2429"/>
    <w:rsid w:val="005A2455"/>
    <w:rsid w:val="005A2595"/>
    <w:rsid w:val="005A260E"/>
    <w:rsid w:val="005A2766"/>
    <w:rsid w:val="005A2D3E"/>
    <w:rsid w:val="005A30FB"/>
    <w:rsid w:val="005A3181"/>
    <w:rsid w:val="005A34A5"/>
    <w:rsid w:val="005A35D9"/>
    <w:rsid w:val="005A3660"/>
    <w:rsid w:val="005A3A92"/>
    <w:rsid w:val="005A3B8A"/>
    <w:rsid w:val="005A3C45"/>
    <w:rsid w:val="005A3CE5"/>
    <w:rsid w:val="005A3F81"/>
    <w:rsid w:val="005A42D5"/>
    <w:rsid w:val="005A4373"/>
    <w:rsid w:val="005A461A"/>
    <w:rsid w:val="005A48CE"/>
    <w:rsid w:val="005A4AC0"/>
    <w:rsid w:val="005A4DD5"/>
    <w:rsid w:val="005A4FAD"/>
    <w:rsid w:val="005A5018"/>
    <w:rsid w:val="005A509E"/>
    <w:rsid w:val="005A51A7"/>
    <w:rsid w:val="005A51D5"/>
    <w:rsid w:val="005A5476"/>
    <w:rsid w:val="005A5538"/>
    <w:rsid w:val="005A5841"/>
    <w:rsid w:val="005A58ED"/>
    <w:rsid w:val="005A59C1"/>
    <w:rsid w:val="005A5A91"/>
    <w:rsid w:val="005A5AF6"/>
    <w:rsid w:val="005A5C64"/>
    <w:rsid w:val="005A5CCD"/>
    <w:rsid w:val="005A5F6C"/>
    <w:rsid w:val="005A6119"/>
    <w:rsid w:val="005A6225"/>
    <w:rsid w:val="005A669D"/>
    <w:rsid w:val="005A66D2"/>
    <w:rsid w:val="005A6B6F"/>
    <w:rsid w:val="005A6EF7"/>
    <w:rsid w:val="005A7047"/>
    <w:rsid w:val="005A75F1"/>
    <w:rsid w:val="005A7627"/>
    <w:rsid w:val="005A7A8F"/>
    <w:rsid w:val="005A7D47"/>
    <w:rsid w:val="005B01E4"/>
    <w:rsid w:val="005B01F8"/>
    <w:rsid w:val="005B0216"/>
    <w:rsid w:val="005B02BD"/>
    <w:rsid w:val="005B04AE"/>
    <w:rsid w:val="005B07BF"/>
    <w:rsid w:val="005B07F1"/>
    <w:rsid w:val="005B0BCF"/>
    <w:rsid w:val="005B0C26"/>
    <w:rsid w:val="005B0D07"/>
    <w:rsid w:val="005B0D28"/>
    <w:rsid w:val="005B0E9E"/>
    <w:rsid w:val="005B10D2"/>
    <w:rsid w:val="005B1229"/>
    <w:rsid w:val="005B1341"/>
    <w:rsid w:val="005B1387"/>
    <w:rsid w:val="005B145B"/>
    <w:rsid w:val="005B14E4"/>
    <w:rsid w:val="005B1563"/>
    <w:rsid w:val="005B165B"/>
    <w:rsid w:val="005B1AA3"/>
    <w:rsid w:val="005B2284"/>
    <w:rsid w:val="005B2417"/>
    <w:rsid w:val="005B24C6"/>
    <w:rsid w:val="005B26C9"/>
    <w:rsid w:val="005B2BFC"/>
    <w:rsid w:val="005B2D10"/>
    <w:rsid w:val="005B323C"/>
    <w:rsid w:val="005B32B5"/>
    <w:rsid w:val="005B335A"/>
    <w:rsid w:val="005B3AC4"/>
    <w:rsid w:val="005B3E03"/>
    <w:rsid w:val="005B3E37"/>
    <w:rsid w:val="005B3F14"/>
    <w:rsid w:val="005B3FE7"/>
    <w:rsid w:val="005B413C"/>
    <w:rsid w:val="005B4369"/>
    <w:rsid w:val="005B44B7"/>
    <w:rsid w:val="005B44F1"/>
    <w:rsid w:val="005B4554"/>
    <w:rsid w:val="005B4A01"/>
    <w:rsid w:val="005B4A63"/>
    <w:rsid w:val="005B5025"/>
    <w:rsid w:val="005B542A"/>
    <w:rsid w:val="005B5625"/>
    <w:rsid w:val="005B5780"/>
    <w:rsid w:val="005B5952"/>
    <w:rsid w:val="005B5B3A"/>
    <w:rsid w:val="005B5B50"/>
    <w:rsid w:val="005B5E42"/>
    <w:rsid w:val="005B5EF9"/>
    <w:rsid w:val="005B5EFA"/>
    <w:rsid w:val="005B6044"/>
    <w:rsid w:val="005B6264"/>
    <w:rsid w:val="005B62E3"/>
    <w:rsid w:val="005B69A6"/>
    <w:rsid w:val="005B6AC8"/>
    <w:rsid w:val="005B6C51"/>
    <w:rsid w:val="005B6E72"/>
    <w:rsid w:val="005B6FAB"/>
    <w:rsid w:val="005B71DD"/>
    <w:rsid w:val="005B73D6"/>
    <w:rsid w:val="005B74A5"/>
    <w:rsid w:val="005B75D8"/>
    <w:rsid w:val="005B76EB"/>
    <w:rsid w:val="005B7783"/>
    <w:rsid w:val="005B779B"/>
    <w:rsid w:val="005B79C2"/>
    <w:rsid w:val="005B7ACC"/>
    <w:rsid w:val="005B7FA9"/>
    <w:rsid w:val="005C025A"/>
    <w:rsid w:val="005C02C2"/>
    <w:rsid w:val="005C0837"/>
    <w:rsid w:val="005C0922"/>
    <w:rsid w:val="005C0AE3"/>
    <w:rsid w:val="005C0B23"/>
    <w:rsid w:val="005C0BFC"/>
    <w:rsid w:val="005C0C59"/>
    <w:rsid w:val="005C0C74"/>
    <w:rsid w:val="005C0DB9"/>
    <w:rsid w:val="005C1475"/>
    <w:rsid w:val="005C1977"/>
    <w:rsid w:val="005C1B2D"/>
    <w:rsid w:val="005C1D0C"/>
    <w:rsid w:val="005C1F78"/>
    <w:rsid w:val="005C22B3"/>
    <w:rsid w:val="005C2451"/>
    <w:rsid w:val="005C2489"/>
    <w:rsid w:val="005C2C0D"/>
    <w:rsid w:val="005C31C3"/>
    <w:rsid w:val="005C3447"/>
    <w:rsid w:val="005C36CD"/>
    <w:rsid w:val="005C3702"/>
    <w:rsid w:val="005C3764"/>
    <w:rsid w:val="005C433B"/>
    <w:rsid w:val="005C433F"/>
    <w:rsid w:val="005C46F7"/>
    <w:rsid w:val="005C4760"/>
    <w:rsid w:val="005C4D19"/>
    <w:rsid w:val="005C513A"/>
    <w:rsid w:val="005C5500"/>
    <w:rsid w:val="005C57E3"/>
    <w:rsid w:val="005C5854"/>
    <w:rsid w:val="005C5918"/>
    <w:rsid w:val="005C593C"/>
    <w:rsid w:val="005C5B2D"/>
    <w:rsid w:val="005C5B62"/>
    <w:rsid w:val="005C5BBF"/>
    <w:rsid w:val="005C5D02"/>
    <w:rsid w:val="005C5F3D"/>
    <w:rsid w:val="005C60FC"/>
    <w:rsid w:val="005C62E1"/>
    <w:rsid w:val="005C6331"/>
    <w:rsid w:val="005C6343"/>
    <w:rsid w:val="005C6402"/>
    <w:rsid w:val="005C6436"/>
    <w:rsid w:val="005C6590"/>
    <w:rsid w:val="005C6833"/>
    <w:rsid w:val="005C695A"/>
    <w:rsid w:val="005C6B2D"/>
    <w:rsid w:val="005C6C4E"/>
    <w:rsid w:val="005C6DC9"/>
    <w:rsid w:val="005C708D"/>
    <w:rsid w:val="005C740D"/>
    <w:rsid w:val="005C7414"/>
    <w:rsid w:val="005C76B8"/>
    <w:rsid w:val="005C78FA"/>
    <w:rsid w:val="005C79D5"/>
    <w:rsid w:val="005C7A42"/>
    <w:rsid w:val="005C7A8E"/>
    <w:rsid w:val="005D06BC"/>
    <w:rsid w:val="005D0712"/>
    <w:rsid w:val="005D0769"/>
    <w:rsid w:val="005D07BD"/>
    <w:rsid w:val="005D0D8C"/>
    <w:rsid w:val="005D0F24"/>
    <w:rsid w:val="005D11A0"/>
    <w:rsid w:val="005D142C"/>
    <w:rsid w:val="005D14EA"/>
    <w:rsid w:val="005D15D1"/>
    <w:rsid w:val="005D179A"/>
    <w:rsid w:val="005D1817"/>
    <w:rsid w:val="005D19B9"/>
    <w:rsid w:val="005D1ADA"/>
    <w:rsid w:val="005D1B2E"/>
    <w:rsid w:val="005D1C69"/>
    <w:rsid w:val="005D1C86"/>
    <w:rsid w:val="005D1F3F"/>
    <w:rsid w:val="005D2033"/>
    <w:rsid w:val="005D263A"/>
    <w:rsid w:val="005D2C09"/>
    <w:rsid w:val="005D2D7D"/>
    <w:rsid w:val="005D31E6"/>
    <w:rsid w:val="005D3290"/>
    <w:rsid w:val="005D33E4"/>
    <w:rsid w:val="005D3D17"/>
    <w:rsid w:val="005D3EC8"/>
    <w:rsid w:val="005D4236"/>
    <w:rsid w:val="005D458D"/>
    <w:rsid w:val="005D45E9"/>
    <w:rsid w:val="005D4938"/>
    <w:rsid w:val="005D4AEA"/>
    <w:rsid w:val="005D4C3B"/>
    <w:rsid w:val="005D51DE"/>
    <w:rsid w:val="005D524B"/>
    <w:rsid w:val="005D5753"/>
    <w:rsid w:val="005D57D7"/>
    <w:rsid w:val="005D58A5"/>
    <w:rsid w:val="005D5ECC"/>
    <w:rsid w:val="005D6527"/>
    <w:rsid w:val="005D66B5"/>
    <w:rsid w:val="005D6A62"/>
    <w:rsid w:val="005D6E63"/>
    <w:rsid w:val="005D6EF9"/>
    <w:rsid w:val="005D6FFF"/>
    <w:rsid w:val="005D7050"/>
    <w:rsid w:val="005D7323"/>
    <w:rsid w:val="005D734E"/>
    <w:rsid w:val="005D753F"/>
    <w:rsid w:val="005D7548"/>
    <w:rsid w:val="005D760D"/>
    <w:rsid w:val="005D7813"/>
    <w:rsid w:val="005D7964"/>
    <w:rsid w:val="005D7F2E"/>
    <w:rsid w:val="005E0179"/>
    <w:rsid w:val="005E030E"/>
    <w:rsid w:val="005E0C28"/>
    <w:rsid w:val="005E0E0A"/>
    <w:rsid w:val="005E0E0D"/>
    <w:rsid w:val="005E0FC3"/>
    <w:rsid w:val="005E12D0"/>
    <w:rsid w:val="005E147D"/>
    <w:rsid w:val="005E1787"/>
    <w:rsid w:val="005E1961"/>
    <w:rsid w:val="005E1980"/>
    <w:rsid w:val="005E1AF0"/>
    <w:rsid w:val="005E1B03"/>
    <w:rsid w:val="005E1F9A"/>
    <w:rsid w:val="005E2083"/>
    <w:rsid w:val="005E22CA"/>
    <w:rsid w:val="005E231B"/>
    <w:rsid w:val="005E268B"/>
    <w:rsid w:val="005E2815"/>
    <w:rsid w:val="005E2890"/>
    <w:rsid w:val="005E2CCE"/>
    <w:rsid w:val="005E2D2D"/>
    <w:rsid w:val="005E304D"/>
    <w:rsid w:val="005E30A8"/>
    <w:rsid w:val="005E3381"/>
    <w:rsid w:val="005E3757"/>
    <w:rsid w:val="005E38F1"/>
    <w:rsid w:val="005E39AF"/>
    <w:rsid w:val="005E3AA3"/>
    <w:rsid w:val="005E3E36"/>
    <w:rsid w:val="005E40CB"/>
    <w:rsid w:val="005E4227"/>
    <w:rsid w:val="005E43A5"/>
    <w:rsid w:val="005E44FD"/>
    <w:rsid w:val="005E4781"/>
    <w:rsid w:val="005E47CE"/>
    <w:rsid w:val="005E519E"/>
    <w:rsid w:val="005E59B9"/>
    <w:rsid w:val="005E5C31"/>
    <w:rsid w:val="005E6096"/>
    <w:rsid w:val="005E624A"/>
    <w:rsid w:val="005E6324"/>
    <w:rsid w:val="005E6840"/>
    <w:rsid w:val="005E6B83"/>
    <w:rsid w:val="005E6B98"/>
    <w:rsid w:val="005E6BDB"/>
    <w:rsid w:val="005E6C43"/>
    <w:rsid w:val="005E6DC9"/>
    <w:rsid w:val="005E71E7"/>
    <w:rsid w:val="005E7229"/>
    <w:rsid w:val="005E74CD"/>
    <w:rsid w:val="005E754D"/>
    <w:rsid w:val="005E75A3"/>
    <w:rsid w:val="005E75B0"/>
    <w:rsid w:val="005E7615"/>
    <w:rsid w:val="005E7A4F"/>
    <w:rsid w:val="005E7B4F"/>
    <w:rsid w:val="005E7B9F"/>
    <w:rsid w:val="005E7BCF"/>
    <w:rsid w:val="005E7C37"/>
    <w:rsid w:val="005E7DA9"/>
    <w:rsid w:val="005E7E44"/>
    <w:rsid w:val="005E7EC8"/>
    <w:rsid w:val="005F0006"/>
    <w:rsid w:val="005F0377"/>
    <w:rsid w:val="005F04AA"/>
    <w:rsid w:val="005F078F"/>
    <w:rsid w:val="005F07C1"/>
    <w:rsid w:val="005F127F"/>
    <w:rsid w:val="005F14DF"/>
    <w:rsid w:val="005F1C38"/>
    <w:rsid w:val="005F24DC"/>
    <w:rsid w:val="005F2663"/>
    <w:rsid w:val="005F26D1"/>
    <w:rsid w:val="005F2B8F"/>
    <w:rsid w:val="005F2C75"/>
    <w:rsid w:val="005F2D6B"/>
    <w:rsid w:val="005F2E7B"/>
    <w:rsid w:val="005F3295"/>
    <w:rsid w:val="005F354D"/>
    <w:rsid w:val="005F37C7"/>
    <w:rsid w:val="005F3CAE"/>
    <w:rsid w:val="005F3DC8"/>
    <w:rsid w:val="005F3F5C"/>
    <w:rsid w:val="005F3F74"/>
    <w:rsid w:val="005F4006"/>
    <w:rsid w:val="005F42F7"/>
    <w:rsid w:val="005F4510"/>
    <w:rsid w:val="005F469B"/>
    <w:rsid w:val="005F47EE"/>
    <w:rsid w:val="005F4AA2"/>
    <w:rsid w:val="005F4C35"/>
    <w:rsid w:val="005F4DE2"/>
    <w:rsid w:val="005F544E"/>
    <w:rsid w:val="005F5535"/>
    <w:rsid w:val="005F565F"/>
    <w:rsid w:val="005F5B04"/>
    <w:rsid w:val="005F5B81"/>
    <w:rsid w:val="005F5B86"/>
    <w:rsid w:val="005F5EBB"/>
    <w:rsid w:val="005F605E"/>
    <w:rsid w:val="005F61CA"/>
    <w:rsid w:val="005F640D"/>
    <w:rsid w:val="005F672C"/>
    <w:rsid w:val="005F67AD"/>
    <w:rsid w:val="005F67C1"/>
    <w:rsid w:val="005F67D3"/>
    <w:rsid w:val="005F6D60"/>
    <w:rsid w:val="005F6F55"/>
    <w:rsid w:val="005F7043"/>
    <w:rsid w:val="005F71A2"/>
    <w:rsid w:val="005F73A4"/>
    <w:rsid w:val="005F7605"/>
    <w:rsid w:val="005F7914"/>
    <w:rsid w:val="005F7EA5"/>
    <w:rsid w:val="006000D6"/>
    <w:rsid w:val="00600199"/>
    <w:rsid w:val="00600212"/>
    <w:rsid w:val="0060047C"/>
    <w:rsid w:val="0060065C"/>
    <w:rsid w:val="006008BB"/>
    <w:rsid w:val="00600D89"/>
    <w:rsid w:val="00600F99"/>
    <w:rsid w:val="00600FB6"/>
    <w:rsid w:val="00601240"/>
    <w:rsid w:val="00601258"/>
    <w:rsid w:val="00601312"/>
    <w:rsid w:val="006013B7"/>
    <w:rsid w:val="006014C2"/>
    <w:rsid w:val="00601AF2"/>
    <w:rsid w:val="00601B0F"/>
    <w:rsid w:val="00601FC3"/>
    <w:rsid w:val="0060200F"/>
    <w:rsid w:val="006020C9"/>
    <w:rsid w:val="0060213E"/>
    <w:rsid w:val="0060252E"/>
    <w:rsid w:val="0060253C"/>
    <w:rsid w:val="006026F3"/>
    <w:rsid w:val="00602DEF"/>
    <w:rsid w:val="00602E1E"/>
    <w:rsid w:val="00602E72"/>
    <w:rsid w:val="00602E76"/>
    <w:rsid w:val="00602E7F"/>
    <w:rsid w:val="006031F7"/>
    <w:rsid w:val="006033A5"/>
    <w:rsid w:val="006033CE"/>
    <w:rsid w:val="0060341F"/>
    <w:rsid w:val="006035E1"/>
    <w:rsid w:val="00603BF5"/>
    <w:rsid w:val="00603BF6"/>
    <w:rsid w:val="00603E32"/>
    <w:rsid w:val="00604244"/>
    <w:rsid w:val="006042A9"/>
    <w:rsid w:val="0060483C"/>
    <w:rsid w:val="00604ACB"/>
    <w:rsid w:val="00604FD4"/>
    <w:rsid w:val="0060503C"/>
    <w:rsid w:val="0060521B"/>
    <w:rsid w:val="00605344"/>
    <w:rsid w:val="00605B7A"/>
    <w:rsid w:val="00605FA1"/>
    <w:rsid w:val="00605FF0"/>
    <w:rsid w:val="00606050"/>
    <w:rsid w:val="0060631B"/>
    <w:rsid w:val="006064C7"/>
    <w:rsid w:val="006064F6"/>
    <w:rsid w:val="00606884"/>
    <w:rsid w:val="006069C6"/>
    <w:rsid w:val="00606AF1"/>
    <w:rsid w:val="0060711F"/>
    <w:rsid w:val="006072F3"/>
    <w:rsid w:val="0060737C"/>
    <w:rsid w:val="00607501"/>
    <w:rsid w:val="0060754B"/>
    <w:rsid w:val="006078FB"/>
    <w:rsid w:val="006079BB"/>
    <w:rsid w:val="00607A3C"/>
    <w:rsid w:val="00607F09"/>
    <w:rsid w:val="00607F28"/>
    <w:rsid w:val="00610084"/>
    <w:rsid w:val="00610088"/>
    <w:rsid w:val="00610209"/>
    <w:rsid w:val="00610921"/>
    <w:rsid w:val="00610F34"/>
    <w:rsid w:val="0061103C"/>
    <w:rsid w:val="006113F3"/>
    <w:rsid w:val="00611866"/>
    <w:rsid w:val="006118EE"/>
    <w:rsid w:val="00611B1C"/>
    <w:rsid w:val="00611B80"/>
    <w:rsid w:val="00611C70"/>
    <w:rsid w:val="00611E07"/>
    <w:rsid w:val="00611E5E"/>
    <w:rsid w:val="00611EB2"/>
    <w:rsid w:val="006121DF"/>
    <w:rsid w:val="006123D6"/>
    <w:rsid w:val="00612401"/>
    <w:rsid w:val="006125E3"/>
    <w:rsid w:val="00612719"/>
    <w:rsid w:val="006127AA"/>
    <w:rsid w:val="00612843"/>
    <w:rsid w:val="0061297D"/>
    <w:rsid w:val="00612B41"/>
    <w:rsid w:val="00612BFB"/>
    <w:rsid w:val="00612DB2"/>
    <w:rsid w:val="00612EEE"/>
    <w:rsid w:val="00612FC0"/>
    <w:rsid w:val="0061325F"/>
    <w:rsid w:val="006133BD"/>
    <w:rsid w:val="0061373B"/>
    <w:rsid w:val="00613828"/>
    <w:rsid w:val="00613BDC"/>
    <w:rsid w:val="00613C90"/>
    <w:rsid w:val="00613F25"/>
    <w:rsid w:val="006141E9"/>
    <w:rsid w:val="00614526"/>
    <w:rsid w:val="0061452F"/>
    <w:rsid w:val="00614FCF"/>
    <w:rsid w:val="006153E4"/>
    <w:rsid w:val="00615425"/>
    <w:rsid w:val="0061543D"/>
    <w:rsid w:val="00615446"/>
    <w:rsid w:val="0061560A"/>
    <w:rsid w:val="00615CB5"/>
    <w:rsid w:val="00615DCD"/>
    <w:rsid w:val="006160FA"/>
    <w:rsid w:val="0061628B"/>
    <w:rsid w:val="00616917"/>
    <w:rsid w:val="00616C52"/>
    <w:rsid w:val="00616E86"/>
    <w:rsid w:val="00616F7D"/>
    <w:rsid w:val="00616FE8"/>
    <w:rsid w:val="00616FF5"/>
    <w:rsid w:val="00617636"/>
    <w:rsid w:val="006176B7"/>
    <w:rsid w:val="006178A8"/>
    <w:rsid w:val="00617BE8"/>
    <w:rsid w:val="00620007"/>
    <w:rsid w:val="006200AD"/>
    <w:rsid w:val="006200E8"/>
    <w:rsid w:val="006202C4"/>
    <w:rsid w:val="006203AA"/>
    <w:rsid w:val="0062046C"/>
    <w:rsid w:val="00620A39"/>
    <w:rsid w:val="00620A70"/>
    <w:rsid w:val="00621492"/>
    <w:rsid w:val="006218AA"/>
    <w:rsid w:val="00621EB3"/>
    <w:rsid w:val="0062220A"/>
    <w:rsid w:val="006223CE"/>
    <w:rsid w:val="00622494"/>
    <w:rsid w:val="00622648"/>
    <w:rsid w:val="0062284B"/>
    <w:rsid w:val="00622998"/>
    <w:rsid w:val="006229AF"/>
    <w:rsid w:val="006229C2"/>
    <w:rsid w:val="006229D4"/>
    <w:rsid w:val="00623178"/>
    <w:rsid w:val="00623441"/>
    <w:rsid w:val="00623683"/>
    <w:rsid w:val="006236B9"/>
    <w:rsid w:val="00623738"/>
    <w:rsid w:val="00623763"/>
    <w:rsid w:val="006239B9"/>
    <w:rsid w:val="006239C6"/>
    <w:rsid w:val="00623A64"/>
    <w:rsid w:val="00623B25"/>
    <w:rsid w:val="00623C22"/>
    <w:rsid w:val="00623CDB"/>
    <w:rsid w:val="00624165"/>
    <w:rsid w:val="006241CB"/>
    <w:rsid w:val="006241D6"/>
    <w:rsid w:val="006243BB"/>
    <w:rsid w:val="00624486"/>
    <w:rsid w:val="00624574"/>
    <w:rsid w:val="00624C56"/>
    <w:rsid w:val="006250B6"/>
    <w:rsid w:val="00625375"/>
    <w:rsid w:val="006257E4"/>
    <w:rsid w:val="00625FEA"/>
    <w:rsid w:val="0062648D"/>
    <w:rsid w:val="006266A4"/>
    <w:rsid w:val="00626813"/>
    <w:rsid w:val="00626883"/>
    <w:rsid w:val="00626922"/>
    <w:rsid w:val="00626A01"/>
    <w:rsid w:val="00626A29"/>
    <w:rsid w:val="00626AE1"/>
    <w:rsid w:val="00626C11"/>
    <w:rsid w:val="00626EEA"/>
    <w:rsid w:val="00627545"/>
    <w:rsid w:val="006276D1"/>
    <w:rsid w:val="006277D2"/>
    <w:rsid w:val="0062798B"/>
    <w:rsid w:val="00630234"/>
    <w:rsid w:val="006303FD"/>
    <w:rsid w:val="00630877"/>
    <w:rsid w:val="00630B7C"/>
    <w:rsid w:val="00630FD9"/>
    <w:rsid w:val="0063119B"/>
    <w:rsid w:val="006313EC"/>
    <w:rsid w:val="006316B6"/>
    <w:rsid w:val="006317F3"/>
    <w:rsid w:val="006318D5"/>
    <w:rsid w:val="00631BE6"/>
    <w:rsid w:val="006321CE"/>
    <w:rsid w:val="00632225"/>
    <w:rsid w:val="006322C9"/>
    <w:rsid w:val="006323BA"/>
    <w:rsid w:val="006324D1"/>
    <w:rsid w:val="00632607"/>
    <w:rsid w:val="00632E82"/>
    <w:rsid w:val="00632F21"/>
    <w:rsid w:val="0063327E"/>
    <w:rsid w:val="00633595"/>
    <w:rsid w:val="0063365E"/>
    <w:rsid w:val="00633D33"/>
    <w:rsid w:val="00633FA8"/>
    <w:rsid w:val="0063428A"/>
    <w:rsid w:val="006345E4"/>
    <w:rsid w:val="00634674"/>
    <w:rsid w:val="00634724"/>
    <w:rsid w:val="006349B9"/>
    <w:rsid w:val="00634A04"/>
    <w:rsid w:val="00634D62"/>
    <w:rsid w:val="00634F10"/>
    <w:rsid w:val="00634F7D"/>
    <w:rsid w:val="00635107"/>
    <w:rsid w:val="00635142"/>
    <w:rsid w:val="0063529E"/>
    <w:rsid w:val="00635344"/>
    <w:rsid w:val="006355EB"/>
    <w:rsid w:val="0063579A"/>
    <w:rsid w:val="0063597B"/>
    <w:rsid w:val="00635ABE"/>
    <w:rsid w:val="00635CCE"/>
    <w:rsid w:val="00635DF3"/>
    <w:rsid w:val="006368C9"/>
    <w:rsid w:val="00636AF3"/>
    <w:rsid w:val="00636E3C"/>
    <w:rsid w:val="0063730B"/>
    <w:rsid w:val="00637315"/>
    <w:rsid w:val="006378A6"/>
    <w:rsid w:val="00637B6A"/>
    <w:rsid w:val="00637C94"/>
    <w:rsid w:val="00637D1B"/>
    <w:rsid w:val="00637E08"/>
    <w:rsid w:val="00637E18"/>
    <w:rsid w:val="00637E2B"/>
    <w:rsid w:val="00637EC1"/>
    <w:rsid w:val="00640780"/>
    <w:rsid w:val="0064094C"/>
    <w:rsid w:val="006409A3"/>
    <w:rsid w:val="00640C4F"/>
    <w:rsid w:val="00641146"/>
    <w:rsid w:val="0064117A"/>
    <w:rsid w:val="0064151D"/>
    <w:rsid w:val="006416A1"/>
    <w:rsid w:val="0064171A"/>
    <w:rsid w:val="006417B8"/>
    <w:rsid w:val="006417CA"/>
    <w:rsid w:val="00641D47"/>
    <w:rsid w:val="00642532"/>
    <w:rsid w:val="0064257D"/>
    <w:rsid w:val="006425E6"/>
    <w:rsid w:val="0064291B"/>
    <w:rsid w:val="006429C3"/>
    <w:rsid w:val="00642A1F"/>
    <w:rsid w:val="00642FF9"/>
    <w:rsid w:val="0064302A"/>
    <w:rsid w:val="006431C5"/>
    <w:rsid w:val="006432A6"/>
    <w:rsid w:val="00643377"/>
    <w:rsid w:val="006435EE"/>
    <w:rsid w:val="0064396F"/>
    <w:rsid w:val="00643B65"/>
    <w:rsid w:val="00643E5E"/>
    <w:rsid w:val="0064440A"/>
    <w:rsid w:val="0064453B"/>
    <w:rsid w:val="00644726"/>
    <w:rsid w:val="006448CA"/>
    <w:rsid w:val="00644C4F"/>
    <w:rsid w:val="00644D7D"/>
    <w:rsid w:val="00644F9C"/>
    <w:rsid w:val="00645594"/>
    <w:rsid w:val="006455F5"/>
    <w:rsid w:val="006456E1"/>
    <w:rsid w:val="00645A0F"/>
    <w:rsid w:val="00645C12"/>
    <w:rsid w:val="00645EFA"/>
    <w:rsid w:val="006461B1"/>
    <w:rsid w:val="006461D7"/>
    <w:rsid w:val="00646218"/>
    <w:rsid w:val="006464BC"/>
    <w:rsid w:val="006464E8"/>
    <w:rsid w:val="006466DE"/>
    <w:rsid w:val="0064692D"/>
    <w:rsid w:val="00646C77"/>
    <w:rsid w:val="00646CFB"/>
    <w:rsid w:val="00646DF0"/>
    <w:rsid w:val="00646E69"/>
    <w:rsid w:val="00647255"/>
    <w:rsid w:val="00647663"/>
    <w:rsid w:val="00647789"/>
    <w:rsid w:val="00647940"/>
    <w:rsid w:val="00647A0D"/>
    <w:rsid w:val="00647C51"/>
    <w:rsid w:val="00647FCB"/>
    <w:rsid w:val="00647FD8"/>
    <w:rsid w:val="00650062"/>
    <w:rsid w:val="0065060A"/>
    <w:rsid w:val="006508CE"/>
    <w:rsid w:val="00650A43"/>
    <w:rsid w:val="00650E61"/>
    <w:rsid w:val="00650EA3"/>
    <w:rsid w:val="006510EA"/>
    <w:rsid w:val="006511BC"/>
    <w:rsid w:val="00651244"/>
    <w:rsid w:val="00651297"/>
    <w:rsid w:val="0065164D"/>
    <w:rsid w:val="00651763"/>
    <w:rsid w:val="00651A28"/>
    <w:rsid w:val="00651B1D"/>
    <w:rsid w:val="00651C7A"/>
    <w:rsid w:val="00651C7B"/>
    <w:rsid w:val="00651D0A"/>
    <w:rsid w:val="00651F01"/>
    <w:rsid w:val="00652147"/>
    <w:rsid w:val="00652324"/>
    <w:rsid w:val="0065267F"/>
    <w:rsid w:val="0065289A"/>
    <w:rsid w:val="00652B17"/>
    <w:rsid w:val="00652B9A"/>
    <w:rsid w:val="00652C35"/>
    <w:rsid w:val="00652F74"/>
    <w:rsid w:val="0065313E"/>
    <w:rsid w:val="006533A3"/>
    <w:rsid w:val="0065374D"/>
    <w:rsid w:val="00653B64"/>
    <w:rsid w:val="00653DD3"/>
    <w:rsid w:val="00653E03"/>
    <w:rsid w:val="00653F79"/>
    <w:rsid w:val="00654155"/>
    <w:rsid w:val="006542A0"/>
    <w:rsid w:val="00654328"/>
    <w:rsid w:val="00654603"/>
    <w:rsid w:val="006546F1"/>
    <w:rsid w:val="00654899"/>
    <w:rsid w:val="00654932"/>
    <w:rsid w:val="00654A53"/>
    <w:rsid w:val="00654B11"/>
    <w:rsid w:val="00654E52"/>
    <w:rsid w:val="00654E6F"/>
    <w:rsid w:val="00654E7D"/>
    <w:rsid w:val="00654E9A"/>
    <w:rsid w:val="00655389"/>
    <w:rsid w:val="006554E6"/>
    <w:rsid w:val="006555BA"/>
    <w:rsid w:val="0065569D"/>
    <w:rsid w:val="006556FB"/>
    <w:rsid w:val="00655889"/>
    <w:rsid w:val="00655DEE"/>
    <w:rsid w:val="00655DFE"/>
    <w:rsid w:val="00656594"/>
    <w:rsid w:val="00656A98"/>
    <w:rsid w:val="00656C41"/>
    <w:rsid w:val="00656FC5"/>
    <w:rsid w:val="006570E9"/>
    <w:rsid w:val="006571B4"/>
    <w:rsid w:val="006572B3"/>
    <w:rsid w:val="00657356"/>
    <w:rsid w:val="00657820"/>
    <w:rsid w:val="006578CA"/>
    <w:rsid w:val="00657937"/>
    <w:rsid w:val="00657D2C"/>
    <w:rsid w:val="00657EB1"/>
    <w:rsid w:val="00657EF4"/>
    <w:rsid w:val="006601F2"/>
    <w:rsid w:val="00660205"/>
    <w:rsid w:val="00660210"/>
    <w:rsid w:val="00660308"/>
    <w:rsid w:val="00660400"/>
    <w:rsid w:val="006605A4"/>
    <w:rsid w:val="006606AE"/>
    <w:rsid w:val="0066070E"/>
    <w:rsid w:val="00660764"/>
    <w:rsid w:val="00660DCA"/>
    <w:rsid w:val="00660F95"/>
    <w:rsid w:val="006610B9"/>
    <w:rsid w:val="0066117B"/>
    <w:rsid w:val="00661890"/>
    <w:rsid w:val="006618D9"/>
    <w:rsid w:val="00661A1C"/>
    <w:rsid w:val="00661A3E"/>
    <w:rsid w:val="00661CE2"/>
    <w:rsid w:val="00662012"/>
    <w:rsid w:val="00662234"/>
    <w:rsid w:val="00662299"/>
    <w:rsid w:val="006624E8"/>
    <w:rsid w:val="006625DC"/>
    <w:rsid w:val="00662971"/>
    <w:rsid w:val="00662991"/>
    <w:rsid w:val="00662A20"/>
    <w:rsid w:val="00662F22"/>
    <w:rsid w:val="006631C6"/>
    <w:rsid w:val="006631D8"/>
    <w:rsid w:val="006632C3"/>
    <w:rsid w:val="00663327"/>
    <w:rsid w:val="00663365"/>
    <w:rsid w:val="00663892"/>
    <w:rsid w:val="00663912"/>
    <w:rsid w:val="00663B4D"/>
    <w:rsid w:val="00663B9F"/>
    <w:rsid w:val="00663DA3"/>
    <w:rsid w:val="006642D3"/>
    <w:rsid w:val="0066430C"/>
    <w:rsid w:val="006643C6"/>
    <w:rsid w:val="006643F4"/>
    <w:rsid w:val="00664764"/>
    <w:rsid w:val="0066497A"/>
    <w:rsid w:val="00664992"/>
    <w:rsid w:val="00664C64"/>
    <w:rsid w:val="00664C7A"/>
    <w:rsid w:val="00664E3C"/>
    <w:rsid w:val="00664F9E"/>
    <w:rsid w:val="006650D9"/>
    <w:rsid w:val="006652E2"/>
    <w:rsid w:val="00665813"/>
    <w:rsid w:val="00665A76"/>
    <w:rsid w:val="00665C85"/>
    <w:rsid w:val="00665E7A"/>
    <w:rsid w:val="00665E9B"/>
    <w:rsid w:val="0066605A"/>
    <w:rsid w:val="0066612D"/>
    <w:rsid w:val="00666503"/>
    <w:rsid w:val="006667E0"/>
    <w:rsid w:val="006669BA"/>
    <w:rsid w:val="006669C8"/>
    <w:rsid w:val="00666BBE"/>
    <w:rsid w:val="00666E93"/>
    <w:rsid w:val="00666EA1"/>
    <w:rsid w:val="006670BB"/>
    <w:rsid w:val="00667773"/>
    <w:rsid w:val="006677BC"/>
    <w:rsid w:val="006679E3"/>
    <w:rsid w:val="00667CE0"/>
    <w:rsid w:val="00667D97"/>
    <w:rsid w:val="00667E85"/>
    <w:rsid w:val="00667EDA"/>
    <w:rsid w:val="00667FA5"/>
    <w:rsid w:val="0067014E"/>
    <w:rsid w:val="00670179"/>
    <w:rsid w:val="00670500"/>
    <w:rsid w:val="00670597"/>
    <w:rsid w:val="0067063A"/>
    <w:rsid w:val="006706A3"/>
    <w:rsid w:val="0067080D"/>
    <w:rsid w:val="00670834"/>
    <w:rsid w:val="00670C10"/>
    <w:rsid w:val="00670FE0"/>
    <w:rsid w:val="0067115E"/>
    <w:rsid w:val="00671266"/>
    <w:rsid w:val="00671267"/>
    <w:rsid w:val="00671435"/>
    <w:rsid w:val="006714D8"/>
    <w:rsid w:val="00671513"/>
    <w:rsid w:val="00671816"/>
    <w:rsid w:val="00671852"/>
    <w:rsid w:val="006719FF"/>
    <w:rsid w:val="00671F7C"/>
    <w:rsid w:val="00672272"/>
    <w:rsid w:val="00672521"/>
    <w:rsid w:val="00672741"/>
    <w:rsid w:val="006727BA"/>
    <w:rsid w:val="006729C3"/>
    <w:rsid w:val="00672AB3"/>
    <w:rsid w:val="00672B6D"/>
    <w:rsid w:val="00672BFE"/>
    <w:rsid w:val="00673281"/>
    <w:rsid w:val="0067375C"/>
    <w:rsid w:val="0067378B"/>
    <w:rsid w:val="00673902"/>
    <w:rsid w:val="0067391D"/>
    <w:rsid w:val="00673B33"/>
    <w:rsid w:val="00673D11"/>
    <w:rsid w:val="00673F0D"/>
    <w:rsid w:val="00673FBA"/>
    <w:rsid w:val="00673FF9"/>
    <w:rsid w:val="00674232"/>
    <w:rsid w:val="00674236"/>
    <w:rsid w:val="0067450C"/>
    <w:rsid w:val="0067454A"/>
    <w:rsid w:val="00674833"/>
    <w:rsid w:val="00675072"/>
    <w:rsid w:val="0067510A"/>
    <w:rsid w:val="00675388"/>
    <w:rsid w:val="006753E9"/>
    <w:rsid w:val="00675EAB"/>
    <w:rsid w:val="00675FBC"/>
    <w:rsid w:val="00675FC6"/>
    <w:rsid w:val="0067619D"/>
    <w:rsid w:val="00676213"/>
    <w:rsid w:val="00676241"/>
    <w:rsid w:val="006762DC"/>
    <w:rsid w:val="006764A3"/>
    <w:rsid w:val="00676520"/>
    <w:rsid w:val="00676862"/>
    <w:rsid w:val="006768A0"/>
    <w:rsid w:val="006768C2"/>
    <w:rsid w:val="00676A8E"/>
    <w:rsid w:val="00676D1E"/>
    <w:rsid w:val="00676D43"/>
    <w:rsid w:val="00676F6E"/>
    <w:rsid w:val="006770F4"/>
    <w:rsid w:val="006772D6"/>
    <w:rsid w:val="0067750E"/>
    <w:rsid w:val="0067774E"/>
    <w:rsid w:val="006777D1"/>
    <w:rsid w:val="0067789B"/>
    <w:rsid w:val="006779FD"/>
    <w:rsid w:val="00677D39"/>
    <w:rsid w:val="00677D6D"/>
    <w:rsid w:val="00677FA1"/>
    <w:rsid w:val="006800D6"/>
    <w:rsid w:val="0068015A"/>
    <w:rsid w:val="0068027E"/>
    <w:rsid w:val="006803F4"/>
    <w:rsid w:val="00680737"/>
    <w:rsid w:val="006809B6"/>
    <w:rsid w:val="00680AC6"/>
    <w:rsid w:val="00680FCD"/>
    <w:rsid w:val="0068100F"/>
    <w:rsid w:val="00681130"/>
    <w:rsid w:val="006811E8"/>
    <w:rsid w:val="006812C2"/>
    <w:rsid w:val="0068136E"/>
    <w:rsid w:val="00681396"/>
    <w:rsid w:val="006813FA"/>
    <w:rsid w:val="00681999"/>
    <w:rsid w:val="00681A61"/>
    <w:rsid w:val="00682116"/>
    <w:rsid w:val="00682290"/>
    <w:rsid w:val="0068253E"/>
    <w:rsid w:val="006827AB"/>
    <w:rsid w:val="006829FF"/>
    <w:rsid w:val="00682C4C"/>
    <w:rsid w:val="00682F97"/>
    <w:rsid w:val="00682FF1"/>
    <w:rsid w:val="00683588"/>
    <w:rsid w:val="006835F0"/>
    <w:rsid w:val="00683620"/>
    <w:rsid w:val="00683665"/>
    <w:rsid w:val="00683673"/>
    <w:rsid w:val="00683AB7"/>
    <w:rsid w:val="00683AD1"/>
    <w:rsid w:val="00683D5C"/>
    <w:rsid w:val="00684602"/>
    <w:rsid w:val="006849D5"/>
    <w:rsid w:val="00684A2E"/>
    <w:rsid w:val="00684B96"/>
    <w:rsid w:val="00684D2F"/>
    <w:rsid w:val="0068524C"/>
    <w:rsid w:val="006853BA"/>
    <w:rsid w:val="006853DC"/>
    <w:rsid w:val="00685472"/>
    <w:rsid w:val="006858CB"/>
    <w:rsid w:val="006858F9"/>
    <w:rsid w:val="0068635E"/>
    <w:rsid w:val="00686447"/>
    <w:rsid w:val="00686B8D"/>
    <w:rsid w:val="00686FC6"/>
    <w:rsid w:val="0068723E"/>
    <w:rsid w:val="006875F8"/>
    <w:rsid w:val="00687842"/>
    <w:rsid w:val="0068795A"/>
    <w:rsid w:val="00687A3A"/>
    <w:rsid w:val="00687E9F"/>
    <w:rsid w:val="00687FA9"/>
    <w:rsid w:val="00690462"/>
    <w:rsid w:val="00690812"/>
    <w:rsid w:val="00690899"/>
    <w:rsid w:val="00690911"/>
    <w:rsid w:val="00690B1C"/>
    <w:rsid w:val="00690CA2"/>
    <w:rsid w:val="006910AA"/>
    <w:rsid w:val="0069113B"/>
    <w:rsid w:val="00691257"/>
    <w:rsid w:val="00691889"/>
    <w:rsid w:val="00691C4D"/>
    <w:rsid w:val="00691C8D"/>
    <w:rsid w:val="00691D89"/>
    <w:rsid w:val="00691F1C"/>
    <w:rsid w:val="00691F58"/>
    <w:rsid w:val="006922A2"/>
    <w:rsid w:val="006923E3"/>
    <w:rsid w:val="00692ACB"/>
    <w:rsid w:val="00692E68"/>
    <w:rsid w:val="00692FAB"/>
    <w:rsid w:val="006931E2"/>
    <w:rsid w:val="0069339B"/>
    <w:rsid w:val="006935A9"/>
    <w:rsid w:val="0069378B"/>
    <w:rsid w:val="006937D9"/>
    <w:rsid w:val="006937EE"/>
    <w:rsid w:val="00693BDD"/>
    <w:rsid w:val="00693C66"/>
    <w:rsid w:val="00693F12"/>
    <w:rsid w:val="0069435B"/>
    <w:rsid w:val="006945DC"/>
    <w:rsid w:val="00694954"/>
    <w:rsid w:val="00694B99"/>
    <w:rsid w:val="00694F52"/>
    <w:rsid w:val="0069519C"/>
    <w:rsid w:val="0069533B"/>
    <w:rsid w:val="006953D7"/>
    <w:rsid w:val="006954A9"/>
    <w:rsid w:val="0069562B"/>
    <w:rsid w:val="006956E7"/>
    <w:rsid w:val="00695946"/>
    <w:rsid w:val="00695955"/>
    <w:rsid w:val="006959E8"/>
    <w:rsid w:val="006959E9"/>
    <w:rsid w:val="00695BDB"/>
    <w:rsid w:val="00695EDE"/>
    <w:rsid w:val="00696988"/>
    <w:rsid w:val="00696A75"/>
    <w:rsid w:val="00696D07"/>
    <w:rsid w:val="00696E61"/>
    <w:rsid w:val="00696EB0"/>
    <w:rsid w:val="0069717D"/>
    <w:rsid w:val="00697190"/>
    <w:rsid w:val="006973BE"/>
    <w:rsid w:val="006975F1"/>
    <w:rsid w:val="00697634"/>
    <w:rsid w:val="00697733"/>
    <w:rsid w:val="006978E4"/>
    <w:rsid w:val="00697907"/>
    <w:rsid w:val="00697B8A"/>
    <w:rsid w:val="00697FA0"/>
    <w:rsid w:val="006A0174"/>
    <w:rsid w:val="006A0202"/>
    <w:rsid w:val="006A0209"/>
    <w:rsid w:val="006A0215"/>
    <w:rsid w:val="006A0675"/>
    <w:rsid w:val="006A09D9"/>
    <w:rsid w:val="006A0A06"/>
    <w:rsid w:val="006A0BE6"/>
    <w:rsid w:val="006A0CFA"/>
    <w:rsid w:val="006A0E34"/>
    <w:rsid w:val="006A10FC"/>
    <w:rsid w:val="006A12D7"/>
    <w:rsid w:val="006A1481"/>
    <w:rsid w:val="006A152A"/>
    <w:rsid w:val="006A1540"/>
    <w:rsid w:val="006A15A3"/>
    <w:rsid w:val="006A1604"/>
    <w:rsid w:val="006A17AF"/>
    <w:rsid w:val="006A17BA"/>
    <w:rsid w:val="006A192B"/>
    <w:rsid w:val="006A1A17"/>
    <w:rsid w:val="006A1D6C"/>
    <w:rsid w:val="006A1DB7"/>
    <w:rsid w:val="006A1E33"/>
    <w:rsid w:val="006A1EF8"/>
    <w:rsid w:val="006A1FA7"/>
    <w:rsid w:val="006A21FC"/>
    <w:rsid w:val="006A2287"/>
    <w:rsid w:val="006A22B1"/>
    <w:rsid w:val="006A2369"/>
    <w:rsid w:val="006A2506"/>
    <w:rsid w:val="006A2786"/>
    <w:rsid w:val="006A2A05"/>
    <w:rsid w:val="006A2A39"/>
    <w:rsid w:val="006A2A8D"/>
    <w:rsid w:val="006A2C3B"/>
    <w:rsid w:val="006A2E40"/>
    <w:rsid w:val="006A31AE"/>
    <w:rsid w:val="006A3309"/>
    <w:rsid w:val="006A33BC"/>
    <w:rsid w:val="006A3965"/>
    <w:rsid w:val="006A3BC3"/>
    <w:rsid w:val="006A3D11"/>
    <w:rsid w:val="006A41BD"/>
    <w:rsid w:val="006A466C"/>
    <w:rsid w:val="006A46B4"/>
    <w:rsid w:val="006A46E8"/>
    <w:rsid w:val="006A46E9"/>
    <w:rsid w:val="006A47C7"/>
    <w:rsid w:val="006A4859"/>
    <w:rsid w:val="006A486A"/>
    <w:rsid w:val="006A4B18"/>
    <w:rsid w:val="006A5111"/>
    <w:rsid w:val="006A5249"/>
    <w:rsid w:val="006A5479"/>
    <w:rsid w:val="006A55AA"/>
    <w:rsid w:val="006A569A"/>
    <w:rsid w:val="006A5C35"/>
    <w:rsid w:val="006A5D05"/>
    <w:rsid w:val="006A5F29"/>
    <w:rsid w:val="006A600D"/>
    <w:rsid w:val="006A63CD"/>
    <w:rsid w:val="006A6409"/>
    <w:rsid w:val="006A6566"/>
    <w:rsid w:val="006A6B60"/>
    <w:rsid w:val="006A6DF6"/>
    <w:rsid w:val="006A6F88"/>
    <w:rsid w:val="006A75EA"/>
    <w:rsid w:val="006A76D3"/>
    <w:rsid w:val="006A774F"/>
    <w:rsid w:val="006A7AF1"/>
    <w:rsid w:val="006A7C8D"/>
    <w:rsid w:val="006A7D2B"/>
    <w:rsid w:val="006B03D1"/>
    <w:rsid w:val="006B03FC"/>
    <w:rsid w:val="006B0426"/>
    <w:rsid w:val="006B0622"/>
    <w:rsid w:val="006B07C1"/>
    <w:rsid w:val="006B0960"/>
    <w:rsid w:val="006B0DD1"/>
    <w:rsid w:val="006B1163"/>
    <w:rsid w:val="006B1176"/>
    <w:rsid w:val="006B1366"/>
    <w:rsid w:val="006B166C"/>
    <w:rsid w:val="006B17B3"/>
    <w:rsid w:val="006B1A55"/>
    <w:rsid w:val="006B1AD9"/>
    <w:rsid w:val="006B1C57"/>
    <w:rsid w:val="006B1DD4"/>
    <w:rsid w:val="006B206B"/>
    <w:rsid w:val="006B232C"/>
    <w:rsid w:val="006B249E"/>
    <w:rsid w:val="006B265B"/>
    <w:rsid w:val="006B27EE"/>
    <w:rsid w:val="006B2A56"/>
    <w:rsid w:val="006B2AC1"/>
    <w:rsid w:val="006B2E9B"/>
    <w:rsid w:val="006B3116"/>
    <w:rsid w:val="006B32EE"/>
    <w:rsid w:val="006B3378"/>
    <w:rsid w:val="006B3479"/>
    <w:rsid w:val="006B3622"/>
    <w:rsid w:val="006B3B27"/>
    <w:rsid w:val="006B3DE0"/>
    <w:rsid w:val="006B3E0A"/>
    <w:rsid w:val="006B3E49"/>
    <w:rsid w:val="006B40B3"/>
    <w:rsid w:val="006B446C"/>
    <w:rsid w:val="006B4586"/>
    <w:rsid w:val="006B4691"/>
    <w:rsid w:val="006B46AB"/>
    <w:rsid w:val="006B4731"/>
    <w:rsid w:val="006B4748"/>
    <w:rsid w:val="006B493A"/>
    <w:rsid w:val="006B49F7"/>
    <w:rsid w:val="006B4AA5"/>
    <w:rsid w:val="006B4B42"/>
    <w:rsid w:val="006B4B59"/>
    <w:rsid w:val="006B5111"/>
    <w:rsid w:val="006B52A8"/>
    <w:rsid w:val="006B53A2"/>
    <w:rsid w:val="006B54D2"/>
    <w:rsid w:val="006B556F"/>
    <w:rsid w:val="006B5861"/>
    <w:rsid w:val="006B5880"/>
    <w:rsid w:val="006B5AAD"/>
    <w:rsid w:val="006B5AC5"/>
    <w:rsid w:val="006B5B67"/>
    <w:rsid w:val="006B5CED"/>
    <w:rsid w:val="006B5FA6"/>
    <w:rsid w:val="006B60C0"/>
    <w:rsid w:val="006B66D8"/>
    <w:rsid w:val="006B6CAE"/>
    <w:rsid w:val="006B6D82"/>
    <w:rsid w:val="006B6F3B"/>
    <w:rsid w:val="006B6F8A"/>
    <w:rsid w:val="006B6FA5"/>
    <w:rsid w:val="006B7379"/>
    <w:rsid w:val="006B750D"/>
    <w:rsid w:val="006B75A0"/>
    <w:rsid w:val="006B75C2"/>
    <w:rsid w:val="006B77F4"/>
    <w:rsid w:val="006B783B"/>
    <w:rsid w:val="006B78E1"/>
    <w:rsid w:val="006B7C41"/>
    <w:rsid w:val="006B7DFD"/>
    <w:rsid w:val="006B7E55"/>
    <w:rsid w:val="006C0242"/>
    <w:rsid w:val="006C048A"/>
    <w:rsid w:val="006C04EF"/>
    <w:rsid w:val="006C0708"/>
    <w:rsid w:val="006C07D1"/>
    <w:rsid w:val="006C07E9"/>
    <w:rsid w:val="006C09DF"/>
    <w:rsid w:val="006C0B87"/>
    <w:rsid w:val="006C0BCC"/>
    <w:rsid w:val="006C0CA8"/>
    <w:rsid w:val="006C0FDE"/>
    <w:rsid w:val="006C1081"/>
    <w:rsid w:val="006C125C"/>
    <w:rsid w:val="006C14B3"/>
    <w:rsid w:val="006C150B"/>
    <w:rsid w:val="006C1844"/>
    <w:rsid w:val="006C1852"/>
    <w:rsid w:val="006C1D5B"/>
    <w:rsid w:val="006C1E0A"/>
    <w:rsid w:val="006C218B"/>
    <w:rsid w:val="006C24F7"/>
    <w:rsid w:val="006C252F"/>
    <w:rsid w:val="006C2818"/>
    <w:rsid w:val="006C2DC6"/>
    <w:rsid w:val="006C2EE6"/>
    <w:rsid w:val="006C2F24"/>
    <w:rsid w:val="006C3445"/>
    <w:rsid w:val="006C3723"/>
    <w:rsid w:val="006C389B"/>
    <w:rsid w:val="006C3D38"/>
    <w:rsid w:val="006C3E5D"/>
    <w:rsid w:val="006C3EF5"/>
    <w:rsid w:val="006C422F"/>
    <w:rsid w:val="006C475B"/>
    <w:rsid w:val="006C4991"/>
    <w:rsid w:val="006C4A17"/>
    <w:rsid w:val="006C4B13"/>
    <w:rsid w:val="006C4D4D"/>
    <w:rsid w:val="006C4DD4"/>
    <w:rsid w:val="006C4F77"/>
    <w:rsid w:val="006C53FA"/>
    <w:rsid w:val="006C5585"/>
    <w:rsid w:val="006C5ADE"/>
    <w:rsid w:val="006C5C23"/>
    <w:rsid w:val="006C6157"/>
    <w:rsid w:val="006C634B"/>
    <w:rsid w:val="006C6455"/>
    <w:rsid w:val="006C653A"/>
    <w:rsid w:val="006C6590"/>
    <w:rsid w:val="006C697D"/>
    <w:rsid w:val="006C6AA7"/>
    <w:rsid w:val="006C6BE7"/>
    <w:rsid w:val="006C6E60"/>
    <w:rsid w:val="006C6F1C"/>
    <w:rsid w:val="006C6F93"/>
    <w:rsid w:val="006C74CD"/>
    <w:rsid w:val="006C7588"/>
    <w:rsid w:val="006C7746"/>
    <w:rsid w:val="006C7B79"/>
    <w:rsid w:val="006C7CBB"/>
    <w:rsid w:val="006C7FF4"/>
    <w:rsid w:val="006D03E6"/>
    <w:rsid w:val="006D04C1"/>
    <w:rsid w:val="006D0543"/>
    <w:rsid w:val="006D05CF"/>
    <w:rsid w:val="006D08D6"/>
    <w:rsid w:val="006D0F9F"/>
    <w:rsid w:val="006D0FC9"/>
    <w:rsid w:val="006D12BD"/>
    <w:rsid w:val="006D13B0"/>
    <w:rsid w:val="006D17CA"/>
    <w:rsid w:val="006D1AB5"/>
    <w:rsid w:val="006D1C75"/>
    <w:rsid w:val="006D1F8B"/>
    <w:rsid w:val="006D201B"/>
    <w:rsid w:val="006D2364"/>
    <w:rsid w:val="006D242B"/>
    <w:rsid w:val="006D2635"/>
    <w:rsid w:val="006D2723"/>
    <w:rsid w:val="006D2B44"/>
    <w:rsid w:val="006D2D20"/>
    <w:rsid w:val="006D2D78"/>
    <w:rsid w:val="006D2E1F"/>
    <w:rsid w:val="006D3066"/>
    <w:rsid w:val="006D31C5"/>
    <w:rsid w:val="006D3223"/>
    <w:rsid w:val="006D324C"/>
    <w:rsid w:val="006D3365"/>
    <w:rsid w:val="006D356E"/>
    <w:rsid w:val="006D363A"/>
    <w:rsid w:val="006D3865"/>
    <w:rsid w:val="006D3968"/>
    <w:rsid w:val="006D39F4"/>
    <w:rsid w:val="006D41AF"/>
    <w:rsid w:val="006D41E3"/>
    <w:rsid w:val="006D44AB"/>
    <w:rsid w:val="006D45FD"/>
    <w:rsid w:val="006D499C"/>
    <w:rsid w:val="006D4ABE"/>
    <w:rsid w:val="006D4BEF"/>
    <w:rsid w:val="006D4BF6"/>
    <w:rsid w:val="006D4C0E"/>
    <w:rsid w:val="006D4E48"/>
    <w:rsid w:val="006D4FEB"/>
    <w:rsid w:val="006D5027"/>
    <w:rsid w:val="006D5118"/>
    <w:rsid w:val="006D51B4"/>
    <w:rsid w:val="006D530F"/>
    <w:rsid w:val="006D54B1"/>
    <w:rsid w:val="006D5718"/>
    <w:rsid w:val="006D57C5"/>
    <w:rsid w:val="006D597D"/>
    <w:rsid w:val="006D5A26"/>
    <w:rsid w:val="006D5AD8"/>
    <w:rsid w:val="006D5E44"/>
    <w:rsid w:val="006D5E58"/>
    <w:rsid w:val="006D5F32"/>
    <w:rsid w:val="006D607F"/>
    <w:rsid w:val="006D628E"/>
    <w:rsid w:val="006D64AB"/>
    <w:rsid w:val="006D64B6"/>
    <w:rsid w:val="006D64E6"/>
    <w:rsid w:val="006D64E9"/>
    <w:rsid w:val="006D69C0"/>
    <w:rsid w:val="006D6AF9"/>
    <w:rsid w:val="006D6D56"/>
    <w:rsid w:val="006D6EC5"/>
    <w:rsid w:val="006D6FB8"/>
    <w:rsid w:val="006D717A"/>
    <w:rsid w:val="006D71AF"/>
    <w:rsid w:val="006D7270"/>
    <w:rsid w:val="006D7667"/>
    <w:rsid w:val="006D78EC"/>
    <w:rsid w:val="006D7922"/>
    <w:rsid w:val="006D794C"/>
    <w:rsid w:val="006D7CC1"/>
    <w:rsid w:val="006D7FC9"/>
    <w:rsid w:val="006E0654"/>
    <w:rsid w:val="006E06BE"/>
    <w:rsid w:val="006E073B"/>
    <w:rsid w:val="006E0DD2"/>
    <w:rsid w:val="006E0DF4"/>
    <w:rsid w:val="006E0E03"/>
    <w:rsid w:val="006E112C"/>
    <w:rsid w:val="006E1463"/>
    <w:rsid w:val="006E1649"/>
    <w:rsid w:val="006E1B06"/>
    <w:rsid w:val="006E1B1B"/>
    <w:rsid w:val="006E1C90"/>
    <w:rsid w:val="006E1CA1"/>
    <w:rsid w:val="006E22C1"/>
    <w:rsid w:val="006E25E0"/>
    <w:rsid w:val="006E272E"/>
    <w:rsid w:val="006E2D03"/>
    <w:rsid w:val="006E2D91"/>
    <w:rsid w:val="006E30B6"/>
    <w:rsid w:val="006E32F8"/>
    <w:rsid w:val="006E3301"/>
    <w:rsid w:val="006E3643"/>
    <w:rsid w:val="006E3742"/>
    <w:rsid w:val="006E3747"/>
    <w:rsid w:val="006E37FD"/>
    <w:rsid w:val="006E3984"/>
    <w:rsid w:val="006E41EF"/>
    <w:rsid w:val="006E42B4"/>
    <w:rsid w:val="006E4344"/>
    <w:rsid w:val="006E43E2"/>
    <w:rsid w:val="006E43F8"/>
    <w:rsid w:val="006E45FB"/>
    <w:rsid w:val="006E4654"/>
    <w:rsid w:val="006E471B"/>
    <w:rsid w:val="006E47B6"/>
    <w:rsid w:val="006E4B4E"/>
    <w:rsid w:val="006E4D99"/>
    <w:rsid w:val="006E4FF0"/>
    <w:rsid w:val="006E53ED"/>
    <w:rsid w:val="006E5414"/>
    <w:rsid w:val="006E57F5"/>
    <w:rsid w:val="006E5BE8"/>
    <w:rsid w:val="006E5D09"/>
    <w:rsid w:val="006E5E2F"/>
    <w:rsid w:val="006E6116"/>
    <w:rsid w:val="006E6307"/>
    <w:rsid w:val="006E635B"/>
    <w:rsid w:val="006E65E7"/>
    <w:rsid w:val="006E66DD"/>
    <w:rsid w:val="006E6953"/>
    <w:rsid w:val="006E6999"/>
    <w:rsid w:val="006E6BAD"/>
    <w:rsid w:val="006E6D34"/>
    <w:rsid w:val="006E6E7D"/>
    <w:rsid w:val="006E6F18"/>
    <w:rsid w:val="006E6F75"/>
    <w:rsid w:val="006E6FB7"/>
    <w:rsid w:val="006E708E"/>
    <w:rsid w:val="006E7247"/>
    <w:rsid w:val="006E7664"/>
    <w:rsid w:val="006E781E"/>
    <w:rsid w:val="006E79D4"/>
    <w:rsid w:val="006E7BA0"/>
    <w:rsid w:val="006E7CD9"/>
    <w:rsid w:val="006E7E35"/>
    <w:rsid w:val="006E7F87"/>
    <w:rsid w:val="006F0239"/>
    <w:rsid w:val="006F0422"/>
    <w:rsid w:val="006F046B"/>
    <w:rsid w:val="006F0FBB"/>
    <w:rsid w:val="006F101B"/>
    <w:rsid w:val="006F11F4"/>
    <w:rsid w:val="006F1283"/>
    <w:rsid w:val="006F13C5"/>
    <w:rsid w:val="006F14B6"/>
    <w:rsid w:val="006F1592"/>
    <w:rsid w:val="006F17E7"/>
    <w:rsid w:val="006F1981"/>
    <w:rsid w:val="006F1B32"/>
    <w:rsid w:val="006F1C81"/>
    <w:rsid w:val="006F1DF9"/>
    <w:rsid w:val="006F22D6"/>
    <w:rsid w:val="006F2336"/>
    <w:rsid w:val="006F23DB"/>
    <w:rsid w:val="006F259D"/>
    <w:rsid w:val="006F27ED"/>
    <w:rsid w:val="006F2AAA"/>
    <w:rsid w:val="006F2B88"/>
    <w:rsid w:val="006F30BB"/>
    <w:rsid w:val="006F3347"/>
    <w:rsid w:val="006F3DD1"/>
    <w:rsid w:val="006F3E36"/>
    <w:rsid w:val="006F414E"/>
    <w:rsid w:val="006F42C8"/>
    <w:rsid w:val="006F4300"/>
    <w:rsid w:val="006F44DF"/>
    <w:rsid w:val="006F453A"/>
    <w:rsid w:val="006F485E"/>
    <w:rsid w:val="006F4AA1"/>
    <w:rsid w:val="006F4E51"/>
    <w:rsid w:val="006F4EFC"/>
    <w:rsid w:val="006F4F49"/>
    <w:rsid w:val="006F4FB4"/>
    <w:rsid w:val="006F5002"/>
    <w:rsid w:val="006F51D0"/>
    <w:rsid w:val="006F51DB"/>
    <w:rsid w:val="006F53A6"/>
    <w:rsid w:val="006F5885"/>
    <w:rsid w:val="006F58AE"/>
    <w:rsid w:val="006F59D3"/>
    <w:rsid w:val="006F5EB6"/>
    <w:rsid w:val="006F5F43"/>
    <w:rsid w:val="006F602C"/>
    <w:rsid w:val="006F609B"/>
    <w:rsid w:val="006F610E"/>
    <w:rsid w:val="006F61D9"/>
    <w:rsid w:val="006F6298"/>
    <w:rsid w:val="006F6681"/>
    <w:rsid w:val="006F6C04"/>
    <w:rsid w:val="006F6CF0"/>
    <w:rsid w:val="006F6CF4"/>
    <w:rsid w:val="006F7116"/>
    <w:rsid w:val="006F71E3"/>
    <w:rsid w:val="006F747A"/>
    <w:rsid w:val="006F75CF"/>
    <w:rsid w:val="006F77B0"/>
    <w:rsid w:val="006F78A7"/>
    <w:rsid w:val="006F7C30"/>
    <w:rsid w:val="006F7C4C"/>
    <w:rsid w:val="006F7F3A"/>
    <w:rsid w:val="007000E7"/>
    <w:rsid w:val="00700396"/>
    <w:rsid w:val="00700624"/>
    <w:rsid w:val="007006AA"/>
    <w:rsid w:val="007006D9"/>
    <w:rsid w:val="00700738"/>
    <w:rsid w:val="00700869"/>
    <w:rsid w:val="007009A1"/>
    <w:rsid w:val="00700AD3"/>
    <w:rsid w:val="00700DEC"/>
    <w:rsid w:val="00700F7B"/>
    <w:rsid w:val="00701004"/>
    <w:rsid w:val="007011FC"/>
    <w:rsid w:val="00701346"/>
    <w:rsid w:val="0070135B"/>
    <w:rsid w:val="007013A9"/>
    <w:rsid w:val="007016E0"/>
    <w:rsid w:val="00701864"/>
    <w:rsid w:val="0070215C"/>
    <w:rsid w:val="00702364"/>
    <w:rsid w:val="00702688"/>
    <w:rsid w:val="00702781"/>
    <w:rsid w:val="007028EE"/>
    <w:rsid w:val="00702930"/>
    <w:rsid w:val="00702B2E"/>
    <w:rsid w:val="00702CCF"/>
    <w:rsid w:val="00702F38"/>
    <w:rsid w:val="00703138"/>
    <w:rsid w:val="00703161"/>
    <w:rsid w:val="0070358C"/>
    <w:rsid w:val="007035F4"/>
    <w:rsid w:val="007036C0"/>
    <w:rsid w:val="007036E1"/>
    <w:rsid w:val="0070376E"/>
    <w:rsid w:val="00703E87"/>
    <w:rsid w:val="0070430E"/>
    <w:rsid w:val="0070434D"/>
    <w:rsid w:val="00704393"/>
    <w:rsid w:val="007043D2"/>
    <w:rsid w:val="007045C9"/>
    <w:rsid w:val="007045F6"/>
    <w:rsid w:val="00704722"/>
    <w:rsid w:val="00705278"/>
    <w:rsid w:val="007056C4"/>
    <w:rsid w:val="00705935"/>
    <w:rsid w:val="007059DB"/>
    <w:rsid w:val="00705B57"/>
    <w:rsid w:val="00705E08"/>
    <w:rsid w:val="00705FD7"/>
    <w:rsid w:val="007061E6"/>
    <w:rsid w:val="0070656C"/>
    <w:rsid w:val="007066FA"/>
    <w:rsid w:val="0070686E"/>
    <w:rsid w:val="007068F4"/>
    <w:rsid w:val="00706BB5"/>
    <w:rsid w:val="00706C04"/>
    <w:rsid w:val="00706E2E"/>
    <w:rsid w:val="00706FF4"/>
    <w:rsid w:val="00707027"/>
    <w:rsid w:val="007070D8"/>
    <w:rsid w:val="0070737C"/>
    <w:rsid w:val="007073C1"/>
    <w:rsid w:val="007075B6"/>
    <w:rsid w:val="00707602"/>
    <w:rsid w:val="0070768F"/>
    <w:rsid w:val="00710714"/>
    <w:rsid w:val="007108CB"/>
    <w:rsid w:val="00710999"/>
    <w:rsid w:val="00710CCF"/>
    <w:rsid w:val="00710E37"/>
    <w:rsid w:val="007113AD"/>
    <w:rsid w:val="00711AAA"/>
    <w:rsid w:val="00711B88"/>
    <w:rsid w:val="00711D5F"/>
    <w:rsid w:val="00711F4D"/>
    <w:rsid w:val="0071200E"/>
    <w:rsid w:val="0071215F"/>
    <w:rsid w:val="007121D2"/>
    <w:rsid w:val="0071247F"/>
    <w:rsid w:val="007124F8"/>
    <w:rsid w:val="0071250C"/>
    <w:rsid w:val="00712863"/>
    <w:rsid w:val="007128A3"/>
    <w:rsid w:val="00712B72"/>
    <w:rsid w:val="00712E46"/>
    <w:rsid w:val="00712FFC"/>
    <w:rsid w:val="00713015"/>
    <w:rsid w:val="0071319C"/>
    <w:rsid w:val="0071320D"/>
    <w:rsid w:val="0071333D"/>
    <w:rsid w:val="0071344F"/>
    <w:rsid w:val="00713998"/>
    <w:rsid w:val="00713C35"/>
    <w:rsid w:val="0071409F"/>
    <w:rsid w:val="007140B1"/>
    <w:rsid w:val="00714314"/>
    <w:rsid w:val="00714523"/>
    <w:rsid w:val="007149F2"/>
    <w:rsid w:val="00714C71"/>
    <w:rsid w:val="00715313"/>
    <w:rsid w:val="00715C12"/>
    <w:rsid w:val="00715E8C"/>
    <w:rsid w:val="00716069"/>
    <w:rsid w:val="007160EF"/>
    <w:rsid w:val="00716368"/>
    <w:rsid w:val="007163AA"/>
    <w:rsid w:val="00716AA8"/>
    <w:rsid w:val="00716C02"/>
    <w:rsid w:val="0071715A"/>
    <w:rsid w:val="00717389"/>
    <w:rsid w:val="007173DA"/>
    <w:rsid w:val="0071779C"/>
    <w:rsid w:val="00717AC2"/>
    <w:rsid w:val="00717D47"/>
    <w:rsid w:val="00717D97"/>
    <w:rsid w:val="00717F2C"/>
    <w:rsid w:val="00717F4A"/>
    <w:rsid w:val="00717F52"/>
    <w:rsid w:val="0072019E"/>
    <w:rsid w:val="007202B3"/>
    <w:rsid w:val="00720378"/>
    <w:rsid w:val="00720760"/>
    <w:rsid w:val="0072079A"/>
    <w:rsid w:val="00720897"/>
    <w:rsid w:val="00720AFD"/>
    <w:rsid w:val="00720BB7"/>
    <w:rsid w:val="00720D47"/>
    <w:rsid w:val="00720F25"/>
    <w:rsid w:val="00721020"/>
    <w:rsid w:val="00721263"/>
    <w:rsid w:val="007214B2"/>
    <w:rsid w:val="0072154D"/>
    <w:rsid w:val="00721C05"/>
    <w:rsid w:val="00721C9D"/>
    <w:rsid w:val="00721D0A"/>
    <w:rsid w:val="00721D6A"/>
    <w:rsid w:val="00721EE0"/>
    <w:rsid w:val="00722434"/>
    <w:rsid w:val="00722562"/>
    <w:rsid w:val="0072258E"/>
    <w:rsid w:val="00722590"/>
    <w:rsid w:val="007226F9"/>
    <w:rsid w:val="00722887"/>
    <w:rsid w:val="00722D79"/>
    <w:rsid w:val="007231EC"/>
    <w:rsid w:val="00723598"/>
    <w:rsid w:val="00723871"/>
    <w:rsid w:val="007239DA"/>
    <w:rsid w:val="00723A55"/>
    <w:rsid w:val="00723A9C"/>
    <w:rsid w:val="00723C69"/>
    <w:rsid w:val="00724078"/>
    <w:rsid w:val="0072418C"/>
    <w:rsid w:val="007243A7"/>
    <w:rsid w:val="00724644"/>
    <w:rsid w:val="00724759"/>
    <w:rsid w:val="00724980"/>
    <w:rsid w:val="00724B9E"/>
    <w:rsid w:val="00724DE8"/>
    <w:rsid w:val="00725009"/>
    <w:rsid w:val="00725252"/>
    <w:rsid w:val="007252A6"/>
    <w:rsid w:val="00725331"/>
    <w:rsid w:val="00725788"/>
    <w:rsid w:val="0072588A"/>
    <w:rsid w:val="00725968"/>
    <w:rsid w:val="00725BC7"/>
    <w:rsid w:val="00725C0D"/>
    <w:rsid w:val="00725C3B"/>
    <w:rsid w:val="00725C3D"/>
    <w:rsid w:val="00725CF2"/>
    <w:rsid w:val="00726108"/>
    <w:rsid w:val="00726288"/>
    <w:rsid w:val="00726347"/>
    <w:rsid w:val="00726432"/>
    <w:rsid w:val="007265C1"/>
    <w:rsid w:val="0072687B"/>
    <w:rsid w:val="007268C8"/>
    <w:rsid w:val="00726993"/>
    <w:rsid w:val="007269E8"/>
    <w:rsid w:val="00726BA3"/>
    <w:rsid w:val="00726C73"/>
    <w:rsid w:val="00726ECD"/>
    <w:rsid w:val="007275AA"/>
    <w:rsid w:val="00727805"/>
    <w:rsid w:val="00727A18"/>
    <w:rsid w:val="00727B5E"/>
    <w:rsid w:val="00727E05"/>
    <w:rsid w:val="00727F76"/>
    <w:rsid w:val="0073039B"/>
    <w:rsid w:val="00730927"/>
    <w:rsid w:val="00730AF3"/>
    <w:rsid w:val="00730C47"/>
    <w:rsid w:val="00730CDF"/>
    <w:rsid w:val="00731478"/>
    <w:rsid w:val="007316D9"/>
    <w:rsid w:val="00731C2B"/>
    <w:rsid w:val="007327EA"/>
    <w:rsid w:val="00732830"/>
    <w:rsid w:val="007328FA"/>
    <w:rsid w:val="00732A0D"/>
    <w:rsid w:val="00732B27"/>
    <w:rsid w:val="00732BF4"/>
    <w:rsid w:val="00732C77"/>
    <w:rsid w:val="00732FB2"/>
    <w:rsid w:val="00733341"/>
    <w:rsid w:val="00733458"/>
    <w:rsid w:val="007334AA"/>
    <w:rsid w:val="007334DB"/>
    <w:rsid w:val="007334F1"/>
    <w:rsid w:val="00733819"/>
    <w:rsid w:val="007338F0"/>
    <w:rsid w:val="0073391F"/>
    <w:rsid w:val="00733985"/>
    <w:rsid w:val="00733ADC"/>
    <w:rsid w:val="00733C2F"/>
    <w:rsid w:val="00733D82"/>
    <w:rsid w:val="00733EA4"/>
    <w:rsid w:val="007341CF"/>
    <w:rsid w:val="00734255"/>
    <w:rsid w:val="00734726"/>
    <w:rsid w:val="00734846"/>
    <w:rsid w:val="00734C10"/>
    <w:rsid w:val="00735070"/>
    <w:rsid w:val="00735377"/>
    <w:rsid w:val="0073576C"/>
    <w:rsid w:val="00735C79"/>
    <w:rsid w:val="00735E6B"/>
    <w:rsid w:val="00735F63"/>
    <w:rsid w:val="00735F83"/>
    <w:rsid w:val="0073624A"/>
    <w:rsid w:val="00736594"/>
    <w:rsid w:val="007365E3"/>
    <w:rsid w:val="007368CE"/>
    <w:rsid w:val="0073697B"/>
    <w:rsid w:val="00736D65"/>
    <w:rsid w:val="00736F1E"/>
    <w:rsid w:val="00737320"/>
    <w:rsid w:val="007374BD"/>
    <w:rsid w:val="00737675"/>
    <w:rsid w:val="00737716"/>
    <w:rsid w:val="007378F8"/>
    <w:rsid w:val="00737E9A"/>
    <w:rsid w:val="00740014"/>
    <w:rsid w:val="00740064"/>
    <w:rsid w:val="00740200"/>
    <w:rsid w:val="00740490"/>
    <w:rsid w:val="00740509"/>
    <w:rsid w:val="00740645"/>
    <w:rsid w:val="0074096C"/>
    <w:rsid w:val="007409A9"/>
    <w:rsid w:val="00740A35"/>
    <w:rsid w:val="00740B22"/>
    <w:rsid w:val="00740E2C"/>
    <w:rsid w:val="00740FB5"/>
    <w:rsid w:val="0074100F"/>
    <w:rsid w:val="0074112C"/>
    <w:rsid w:val="007411FA"/>
    <w:rsid w:val="0074153A"/>
    <w:rsid w:val="007415B9"/>
    <w:rsid w:val="007415BD"/>
    <w:rsid w:val="00741706"/>
    <w:rsid w:val="0074180F"/>
    <w:rsid w:val="00741B41"/>
    <w:rsid w:val="00741D24"/>
    <w:rsid w:val="00741D3D"/>
    <w:rsid w:val="00741EA7"/>
    <w:rsid w:val="00741F43"/>
    <w:rsid w:val="007421A1"/>
    <w:rsid w:val="0074226C"/>
    <w:rsid w:val="00742386"/>
    <w:rsid w:val="00742475"/>
    <w:rsid w:val="0074249A"/>
    <w:rsid w:val="007424BD"/>
    <w:rsid w:val="00742760"/>
    <w:rsid w:val="007429FA"/>
    <w:rsid w:val="00742D47"/>
    <w:rsid w:val="00743083"/>
    <w:rsid w:val="007430D7"/>
    <w:rsid w:val="007433E0"/>
    <w:rsid w:val="007434AC"/>
    <w:rsid w:val="007434FB"/>
    <w:rsid w:val="007435CA"/>
    <w:rsid w:val="00743649"/>
    <w:rsid w:val="007437F3"/>
    <w:rsid w:val="00743A40"/>
    <w:rsid w:val="00743FA0"/>
    <w:rsid w:val="00744868"/>
    <w:rsid w:val="0074496B"/>
    <w:rsid w:val="00744B33"/>
    <w:rsid w:val="00744E6B"/>
    <w:rsid w:val="00744E8B"/>
    <w:rsid w:val="0074529A"/>
    <w:rsid w:val="007453DC"/>
    <w:rsid w:val="0074550C"/>
    <w:rsid w:val="007459CB"/>
    <w:rsid w:val="00745C3F"/>
    <w:rsid w:val="0074615A"/>
    <w:rsid w:val="007461BE"/>
    <w:rsid w:val="00746A8F"/>
    <w:rsid w:val="00746EE1"/>
    <w:rsid w:val="00747133"/>
    <w:rsid w:val="00747295"/>
    <w:rsid w:val="007474EF"/>
    <w:rsid w:val="00747620"/>
    <w:rsid w:val="007476FA"/>
    <w:rsid w:val="00747865"/>
    <w:rsid w:val="007478CA"/>
    <w:rsid w:val="007479DA"/>
    <w:rsid w:val="00747B38"/>
    <w:rsid w:val="00747CC0"/>
    <w:rsid w:val="00747D52"/>
    <w:rsid w:val="00747F5E"/>
    <w:rsid w:val="00747FCB"/>
    <w:rsid w:val="0074AADE"/>
    <w:rsid w:val="00750359"/>
    <w:rsid w:val="00750815"/>
    <w:rsid w:val="0075093C"/>
    <w:rsid w:val="00750E2B"/>
    <w:rsid w:val="00750E47"/>
    <w:rsid w:val="00750F07"/>
    <w:rsid w:val="00751270"/>
    <w:rsid w:val="007515E5"/>
    <w:rsid w:val="007517B7"/>
    <w:rsid w:val="00751956"/>
    <w:rsid w:val="00751B46"/>
    <w:rsid w:val="00751CB5"/>
    <w:rsid w:val="00751D93"/>
    <w:rsid w:val="00751EAC"/>
    <w:rsid w:val="00751F26"/>
    <w:rsid w:val="007521B8"/>
    <w:rsid w:val="0075225F"/>
    <w:rsid w:val="007526DE"/>
    <w:rsid w:val="007529C5"/>
    <w:rsid w:val="007529F0"/>
    <w:rsid w:val="00752A93"/>
    <w:rsid w:val="00752ACC"/>
    <w:rsid w:val="00752B57"/>
    <w:rsid w:val="00752B7A"/>
    <w:rsid w:val="00752B8C"/>
    <w:rsid w:val="00752C64"/>
    <w:rsid w:val="00752F46"/>
    <w:rsid w:val="00753486"/>
    <w:rsid w:val="00753A84"/>
    <w:rsid w:val="00753EDC"/>
    <w:rsid w:val="00753EEB"/>
    <w:rsid w:val="00753EF6"/>
    <w:rsid w:val="00754159"/>
    <w:rsid w:val="0075419F"/>
    <w:rsid w:val="007542ED"/>
    <w:rsid w:val="007545EE"/>
    <w:rsid w:val="00754AC9"/>
    <w:rsid w:val="00754B10"/>
    <w:rsid w:val="00754B12"/>
    <w:rsid w:val="00754EA2"/>
    <w:rsid w:val="00755059"/>
    <w:rsid w:val="007550E7"/>
    <w:rsid w:val="00755120"/>
    <w:rsid w:val="007554EB"/>
    <w:rsid w:val="007557E3"/>
    <w:rsid w:val="0075588E"/>
    <w:rsid w:val="00755929"/>
    <w:rsid w:val="00755F0D"/>
    <w:rsid w:val="00755F35"/>
    <w:rsid w:val="00756330"/>
    <w:rsid w:val="00756430"/>
    <w:rsid w:val="0075644A"/>
    <w:rsid w:val="00756498"/>
    <w:rsid w:val="007564C4"/>
    <w:rsid w:val="0075663C"/>
    <w:rsid w:val="007569E9"/>
    <w:rsid w:val="00756B48"/>
    <w:rsid w:val="00756D65"/>
    <w:rsid w:val="0075704E"/>
    <w:rsid w:val="007570AE"/>
    <w:rsid w:val="0075716E"/>
    <w:rsid w:val="00757260"/>
    <w:rsid w:val="00757DD2"/>
    <w:rsid w:val="007600B6"/>
    <w:rsid w:val="007603B8"/>
    <w:rsid w:val="007604DD"/>
    <w:rsid w:val="00760511"/>
    <w:rsid w:val="00760738"/>
    <w:rsid w:val="007607B6"/>
    <w:rsid w:val="007608C5"/>
    <w:rsid w:val="00760911"/>
    <w:rsid w:val="007609DC"/>
    <w:rsid w:val="00760BD8"/>
    <w:rsid w:val="00760D52"/>
    <w:rsid w:val="00760EA6"/>
    <w:rsid w:val="0076112E"/>
    <w:rsid w:val="007612E4"/>
    <w:rsid w:val="00761569"/>
    <w:rsid w:val="007615EE"/>
    <w:rsid w:val="00761643"/>
    <w:rsid w:val="007617EA"/>
    <w:rsid w:val="00761A99"/>
    <w:rsid w:val="00761ACB"/>
    <w:rsid w:val="00761F22"/>
    <w:rsid w:val="00761FB3"/>
    <w:rsid w:val="00762136"/>
    <w:rsid w:val="007623FF"/>
    <w:rsid w:val="00762859"/>
    <w:rsid w:val="007628FC"/>
    <w:rsid w:val="007629DE"/>
    <w:rsid w:val="00762B54"/>
    <w:rsid w:val="00762DB4"/>
    <w:rsid w:val="00762E49"/>
    <w:rsid w:val="00762F8E"/>
    <w:rsid w:val="007630D6"/>
    <w:rsid w:val="0076318D"/>
    <w:rsid w:val="007631C2"/>
    <w:rsid w:val="00763285"/>
    <w:rsid w:val="00763407"/>
    <w:rsid w:val="007638F6"/>
    <w:rsid w:val="00763A7F"/>
    <w:rsid w:val="00763C5E"/>
    <w:rsid w:val="00763DAE"/>
    <w:rsid w:val="007641D0"/>
    <w:rsid w:val="0076422D"/>
    <w:rsid w:val="00764436"/>
    <w:rsid w:val="0076457A"/>
    <w:rsid w:val="00764613"/>
    <w:rsid w:val="007648E7"/>
    <w:rsid w:val="00764A3E"/>
    <w:rsid w:val="00764AB5"/>
    <w:rsid w:val="00764BE5"/>
    <w:rsid w:val="00764BF3"/>
    <w:rsid w:val="00764C83"/>
    <w:rsid w:val="00764F30"/>
    <w:rsid w:val="00765317"/>
    <w:rsid w:val="00765443"/>
    <w:rsid w:val="007656CD"/>
    <w:rsid w:val="007657B8"/>
    <w:rsid w:val="00765AA3"/>
    <w:rsid w:val="00765AD6"/>
    <w:rsid w:val="00765C23"/>
    <w:rsid w:val="00765C2E"/>
    <w:rsid w:val="00765C62"/>
    <w:rsid w:val="00765CE5"/>
    <w:rsid w:val="00765F0E"/>
    <w:rsid w:val="0076601B"/>
    <w:rsid w:val="0076608A"/>
    <w:rsid w:val="007660CE"/>
    <w:rsid w:val="007662ED"/>
    <w:rsid w:val="007667A8"/>
    <w:rsid w:val="007668F9"/>
    <w:rsid w:val="00766BED"/>
    <w:rsid w:val="00766D7C"/>
    <w:rsid w:val="00766EA4"/>
    <w:rsid w:val="0076703B"/>
    <w:rsid w:val="007672F6"/>
    <w:rsid w:val="007674B5"/>
    <w:rsid w:val="0076762F"/>
    <w:rsid w:val="00767659"/>
    <w:rsid w:val="007676AA"/>
    <w:rsid w:val="0076784A"/>
    <w:rsid w:val="00767B00"/>
    <w:rsid w:val="00767D4E"/>
    <w:rsid w:val="00770220"/>
    <w:rsid w:val="00770272"/>
    <w:rsid w:val="0077038A"/>
    <w:rsid w:val="007705F8"/>
    <w:rsid w:val="00770660"/>
    <w:rsid w:val="0077079C"/>
    <w:rsid w:val="00770A96"/>
    <w:rsid w:val="007710B7"/>
    <w:rsid w:val="00771259"/>
    <w:rsid w:val="007714A2"/>
    <w:rsid w:val="00771655"/>
    <w:rsid w:val="007716C9"/>
    <w:rsid w:val="007718C0"/>
    <w:rsid w:val="00771910"/>
    <w:rsid w:val="00771A0E"/>
    <w:rsid w:val="00771B76"/>
    <w:rsid w:val="00771D9C"/>
    <w:rsid w:val="00772083"/>
    <w:rsid w:val="007720B6"/>
    <w:rsid w:val="00772358"/>
    <w:rsid w:val="007723AF"/>
    <w:rsid w:val="00772624"/>
    <w:rsid w:val="007729CA"/>
    <w:rsid w:val="00772A17"/>
    <w:rsid w:val="00772C73"/>
    <w:rsid w:val="007735CB"/>
    <w:rsid w:val="0077376C"/>
    <w:rsid w:val="00773A11"/>
    <w:rsid w:val="00773D1E"/>
    <w:rsid w:val="00773F71"/>
    <w:rsid w:val="007741DB"/>
    <w:rsid w:val="007742CE"/>
    <w:rsid w:val="00774349"/>
    <w:rsid w:val="0077496D"/>
    <w:rsid w:val="007749F2"/>
    <w:rsid w:val="00774C91"/>
    <w:rsid w:val="00774DE0"/>
    <w:rsid w:val="00775014"/>
    <w:rsid w:val="0077536C"/>
    <w:rsid w:val="0077540A"/>
    <w:rsid w:val="007755ED"/>
    <w:rsid w:val="0077569D"/>
    <w:rsid w:val="0077575C"/>
    <w:rsid w:val="007757E0"/>
    <w:rsid w:val="00775BBC"/>
    <w:rsid w:val="00775D9C"/>
    <w:rsid w:val="0077603A"/>
    <w:rsid w:val="00776082"/>
    <w:rsid w:val="00776141"/>
    <w:rsid w:val="00776420"/>
    <w:rsid w:val="00776835"/>
    <w:rsid w:val="00776844"/>
    <w:rsid w:val="00776AC3"/>
    <w:rsid w:val="00777103"/>
    <w:rsid w:val="0077752D"/>
    <w:rsid w:val="00777855"/>
    <w:rsid w:val="007778B4"/>
    <w:rsid w:val="007779CF"/>
    <w:rsid w:val="00777B41"/>
    <w:rsid w:val="007800D6"/>
    <w:rsid w:val="007802ED"/>
    <w:rsid w:val="00780380"/>
    <w:rsid w:val="00780384"/>
    <w:rsid w:val="007803DB"/>
    <w:rsid w:val="00780521"/>
    <w:rsid w:val="00780A37"/>
    <w:rsid w:val="007812B1"/>
    <w:rsid w:val="0078153D"/>
    <w:rsid w:val="007815F6"/>
    <w:rsid w:val="00781A7C"/>
    <w:rsid w:val="00782306"/>
    <w:rsid w:val="0078236C"/>
    <w:rsid w:val="00782457"/>
    <w:rsid w:val="0078256D"/>
    <w:rsid w:val="00782665"/>
    <w:rsid w:val="0078267A"/>
    <w:rsid w:val="007826B1"/>
    <w:rsid w:val="0078279E"/>
    <w:rsid w:val="007828E0"/>
    <w:rsid w:val="00782C6A"/>
    <w:rsid w:val="00782C91"/>
    <w:rsid w:val="00782CD3"/>
    <w:rsid w:val="007833C3"/>
    <w:rsid w:val="00783468"/>
    <w:rsid w:val="0078358A"/>
    <w:rsid w:val="007838A8"/>
    <w:rsid w:val="00783CD3"/>
    <w:rsid w:val="00783CD4"/>
    <w:rsid w:val="00783E8E"/>
    <w:rsid w:val="00783F59"/>
    <w:rsid w:val="00784099"/>
    <w:rsid w:val="00784155"/>
    <w:rsid w:val="007846AD"/>
    <w:rsid w:val="00784ADF"/>
    <w:rsid w:val="00784B1D"/>
    <w:rsid w:val="007851D6"/>
    <w:rsid w:val="0078553D"/>
    <w:rsid w:val="0078562F"/>
    <w:rsid w:val="007857C5"/>
    <w:rsid w:val="00785A5D"/>
    <w:rsid w:val="00785A67"/>
    <w:rsid w:val="00785BAF"/>
    <w:rsid w:val="00785F7F"/>
    <w:rsid w:val="00786880"/>
    <w:rsid w:val="0078698B"/>
    <w:rsid w:val="00786993"/>
    <w:rsid w:val="00786A39"/>
    <w:rsid w:val="00786B2A"/>
    <w:rsid w:val="00786B33"/>
    <w:rsid w:val="00786E33"/>
    <w:rsid w:val="00786FA5"/>
    <w:rsid w:val="007870B4"/>
    <w:rsid w:val="007876AF"/>
    <w:rsid w:val="00787850"/>
    <w:rsid w:val="007878D9"/>
    <w:rsid w:val="00787B8E"/>
    <w:rsid w:val="00787BC6"/>
    <w:rsid w:val="00787C16"/>
    <w:rsid w:val="00790367"/>
    <w:rsid w:val="00790371"/>
    <w:rsid w:val="007903D7"/>
    <w:rsid w:val="00790658"/>
    <w:rsid w:val="007909FB"/>
    <w:rsid w:val="00790ADA"/>
    <w:rsid w:val="00790D82"/>
    <w:rsid w:val="00790E7F"/>
    <w:rsid w:val="00790FDD"/>
    <w:rsid w:val="0079105E"/>
    <w:rsid w:val="00791A0F"/>
    <w:rsid w:val="00791D1C"/>
    <w:rsid w:val="007923B6"/>
    <w:rsid w:val="007923F3"/>
    <w:rsid w:val="007924D6"/>
    <w:rsid w:val="007924F8"/>
    <w:rsid w:val="0079252A"/>
    <w:rsid w:val="00792610"/>
    <w:rsid w:val="00792626"/>
    <w:rsid w:val="007927B1"/>
    <w:rsid w:val="0079291C"/>
    <w:rsid w:val="00792ABC"/>
    <w:rsid w:val="00792CB0"/>
    <w:rsid w:val="00792DF3"/>
    <w:rsid w:val="00792F34"/>
    <w:rsid w:val="00793245"/>
    <w:rsid w:val="00793462"/>
    <w:rsid w:val="00793601"/>
    <w:rsid w:val="00793685"/>
    <w:rsid w:val="007937C8"/>
    <w:rsid w:val="00793BAB"/>
    <w:rsid w:val="00793CB5"/>
    <w:rsid w:val="00794033"/>
    <w:rsid w:val="00794439"/>
    <w:rsid w:val="00794557"/>
    <w:rsid w:val="00794B2A"/>
    <w:rsid w:val="00794CBB"/>
    <w:rsid w:val="00794FB0"/>
    <w:rsid w:val="00794FE4"/>
    <w:rsid w:val="00795293"/>
    <w:rsid w:val="0079536E"/>
    <w:rsid w:val="00795429"/>
    <w:rsid w:val="00795670"/>
    <w:rsid w:val="00795829"/>
    <w:rsid w:val="00795991"/>
    <w:rsid w:val="00795AB0"/>
    <w:rsid w:val="00795BEA"/>
    <w:rsid w:val="00795F6C"/>
    <w:rsid w:val="00796054"/>
    <w:rsid w:val="0079607E"/>
    <w:rsid w:val="007960BD"/>
    <w:rsid w:val="0079616A"/>
    <w:rsid w:val="007961A5"/>
    <w:rsid w:val="007962C4"/>
    <w:rsid w:val="00796814"/>
    <w:rsid w:val="007968CB"/>
    <w:rsid w:val="00796BAA"/>
    <w:rsid w:val="00796C2B"/>
    <w:rsid w:val="0079708E"/>
    <w:rsid w:val="007972A0"/>
    <w:rsid w:val="0079741B"/>
    <w:rsid w:val="00797441"/>
    <w:rsid w:val="007976FB"/>
    <w:rsid w:val="00797736"/>
    <w:rsid w:val="007977BD"/>
    <w:rsid w:val="00797A3B"/>
    <w:rsid w:val="00797A4E"/>
    <w:rsid w:val="00797B6D"/>
    <w:rsid w:val="00797C2E"/>
    <w:rsid w:val="00797ED1"/>
    <w:rsid w:val="00797F57"/>
    <w:rsid w:val="007A01E4"/>
    <w:rsid w:val="007A021E"/>
    <w:rsid w:val="007A0242"/>
    <w:rsid w:val="007A0345"/>
    <w:rsid w:val="007A0387"/>
    <w:rsid w:val="007A06BA"/>
    <w:rsid w:val="007A0723"/>
    <w:rsid w:val="007A0E5D"/>
    <w:rsid w:val="007A12D9"/>
    <w:rsid w:val="007A135C"/>
    <w:rsid w:val="007A1466"/>
    <w:rsid w:val="007A14F1"/>
    <w:rsid w:val="007A178A"/>
    <w:rsid w:val="007A186E"/>
    <w:rsid w:val="007A191D"/>
    <w:rsid w:val="007A1974"/>
    <w:rsid w:val="007A1C86"/>
    <w:rsid w:val="007A1E08"/>
    <w:rsid w:val="007A1E27"/>
    <w:rsid w:val="007A1EEB"/>
    <w:rsid w:val="007A2251"/>
    <w:rsid w:val="007A2571"/>
    <w:rsid w:val="007A283F"/>
    <w:rsid w:val="007A291E"/>
    <w:rsid w:val="007A29CF"/>
    <w:rsid w:val="007A2CE5"/>
    <w:rsid w:val="007A2D6D"/>
    <w:rsid w:val="007A2DA8"/>
    <w:rsid w:val="007A2F61"/>
    <w:rsid w:val="007A2FF8"/>
    <w:rsid w:val="007A305B"/>
    <w:rsid w:val="007A30A3"/>
    <w:rsid w:val="007A30D3"/>
    <w:rsid w:val="007A31B8"/>
    <w:rsid w:val="007A31C8"/>
    <w:rsid w:val="007A3552"/>
    <w:rsid w:val="007A3741"/>
    <w:rsid w:val="007A38D8"/>
    <w:rsid w:val="007A3C63"/>
    <w:rsid w:val="007A3E46"/>
    <w:rsid w:val="007A3FB2"/>
    <w:rsid w:val="007A419E"/>
    <w:rsid w:val="007A431A"/>
    <w:rsid w:val="007A43E2"/>
    <w:rsid w:val="007A4522"/>
    <w:rsid w:val="007A481A"/>
    <w:rsid w:val="007A4AF8"/>
    <w:rsid w:val="007A52E6"/>
    <w:rsid w:val="007A5496"/>
    <w:rsid w:val="007A5718"/>
    <w:rsid w:val="007A5B0D"/>
    <w:rsid w:val="007A5B58"/>
    <w:rsid w:val="007A5C99"/>
    <w:rsid w:val="007A5DD4"/>
    <w:rsid w:val="007A5F73"/>
    <w:rsid w:val="007A60BE"/>
    <w:rsid w:val="007A6160"/>
    <w:rsid w:val="007A62A7"/>
    <w:rsid w:val="007A67CC"/>
    <w:rsid w:val="007A6835"/>
    <w:rsid w:val="007A6C48"/>
    <w:rsid w:val="007A7001"/>
    <w:rsid w:val="007A7117"/>
    <w:rsid w:val="007A7265"/>
    <w:rsid w:val="007A745C"/>
    <w:rsid w:val="007A747C"/>
    <w:rsid w:val="007A7698"/>
    <w:rsid w:val="007A77F1"/>
    <w:rsid w:val="007A7B69"/>
    <w:rsid w:val="007A7DB9"/>
    <w:rsid w:val="007B052D"/>
    <w:rsid w:val="007B065A"/>
    <w:rsid w:val="007B092D"/>
    <w:rsid w:val="007B095A"/>
    <w:rsid w:val="007B0A15"/>
    <w:rsid w:val="007B0A63"/>
    <w:rsid w:val="007B0BC9"/>
    <w:rsid w:val="007B0C00"/>
    <w:rsid w:val="007B0C1A"/>
    <w:rsid w:val="007B0C1B"/>
    <w:rsid w:val="007B0DD0"/>
    <w:rsid w:val="007B12B7"/>
    <w:rsid w:val="007B130B"/>
    <w:rsid w:val="007B1432"/>
    <w:rsid w:val="007B1528"/>
    <w:rsid w:val="007B16D2"/>
    <w:rsid w:val="007B16F7"/>
    <w:rsid w:val="007B179E"/>
    <w:rsid w:val="007B1939"/>
    <w:rsid w:val="007B1A96"/>
    <w:rsid w:val="007B1BC1"/>
    <w:rsid w:val="007B1CA1"/>
    <w:rsid w:val="007B1D99"/>
    <w:rsid w:val="007B241B"/>
    <w:rsid w:val="007B246F"/>
    <w:rsid w:val="007B248B"/>
    <w:rsid w:val="007B257F"/>
    <w:rsid w:val="007B2713"/>
    <w:rsid w:val="007B2DCE"/>
    <w:rsid w:val="007B2E13"/>
    <w:rsid w:val="007B2EF8"/>
    <w:rsid w:val="007B2F4E"/>
    <w:rsid w:val="007B3318"/>
    <w:rsid w:val="007B3688"/>
    <w:rsid w:val="007B39B8"/>
    <w:rsid w:val="007B39CF"/>
    <w:rsid w:val="007B3CD4"/>
    <w:rsid w:val="007B4172"/>
    <w:rsid w:val="007B417B"/>
    <w:rsid w:val="007B41C1"/>
    <w:rsid w:val="007B42CA"/>
    <w:rsid w:val="007B4320"/>
    <w:rsid w:val="007B4373"/>
    <w:rsid w:val="007B4430"/>
    <w:rsid w:val="007B44B6"/>
    <w:rsid w:val="007B4660"/>
    <w:rsid w:val="007B4A33"/>
    <w:rsid w:val="007B4D85"/>
    <w:rsid w:val="007B5160"/>
    <w:rsid w:val="007B578E"/>
    <w:rsid w:val="007B58DE"/>
    <w:rsid w:val="007B5B43"/>
    <w:rsid w:val="007B5B8E"/>
    <w:rsid w:val="007B5D53"/>
    <w:rsid w:val="007B6121"/>
    <w:rsid w:val="007B6490"/>
    <w:rsid w:val="007B67BB"/>
    <w:rsid w:val="007B67E9"/>
    <w:rsid w:val="007B6A52"/>
    <w:rsid w:val="007B6DAC"/>
    <w:rsid w:val="007B7412"/>
    <w:rsid w:val="007B744B"/>
    <w:rsid w:val="007B7759"/>
    <w:rsid w:val="007C0020"/>
    <w:rsid w:val="007C071C"/>
    <w:rsid w:val="007C0F81"/>
    <w:rsid w:val="007C114C"/>
    <w:rsid w:val="007C1388"/>
    <w:rsid w:val="007C170C"/>
    <w:rsid w:val="007C1737"/>
    <w:rsid w:val="007C19CD"/>
    <w:rsid w:val="007C1B99"/>
    <w:rsid w:val="007C24BD"/>
    <w:rsid w:val="007C2547"/>
    <w:rsid w:val="007C2952"/>
    <w:rsid w:val="007C2A36"/>
    <w:rsid w:val="007C2AAF"/>
    <w:rsid w:val="007C3387"/>
    <w:rsid w:val="007C33E6"/>
    <w:rsid w:val="007C33F1"/>
    <w:rsid w:val="007C34FF"/>
    <w:rsid w:val="007C37C0"/>
    <w:rsid w:val="007C3F9D"/>
    <w:rsid w:val="007C3FCD"/>
    <w:rsid w:val="007C40FD"/>
    <w:rsid w:val="007C4112"/>
    <w:rsid w:val="007C4986"/>
    <w:rsid w:val="007C4AE2"/>
    <w:rsid w:val="007C4DEB"/>
    <w:rsid w:val="007C4ECB"/>
    <w:rsid w:val="007C4ECC"/>
    <w:rsid w:val="007C4F79"/>
    <w:rsid w:val="007C5095"/>
    <w:rsid w:val="007C54F2"/>
    <w:rsid w:val="007C558A"/>
    <w:rsid w:val="007C5B69"/>
    <w:rsid w:val="007C5BA8"/>
    <w:rsid w:val="007C5C08"/>
    <w:rsid w:val="007C5DBD"/>
    <w:rsid w:val="007C60EC"/>
    <w:rsid w:val="007C617B"/>
    <w:rsid w:val="007C61F6"/>
    <w:rsid w:val="007C6484"/>
    <w:rsid w:val="007C64AE"/>
    <w:rsid w:val="007C66B1"/>
    <w:rsid w:val="007C681F"/>
    <w:rsid w:val="007C68F4"/>
    <w:rsid w:val="007C6A90"/>
    <w:rsid w:val="007C6BBF"/>
    <w:rsid w:val="007C6BC6"/>
    <w:rsid w:val="007C6C74"/>
    <w:rsid w:val="007C6EC7"/>
    <w:rsid w:val="007C6F02"/>
    <w:rsid w:val="007C75E7"/>
    <w:rsid w:val="007C7815"/>
    <w:rsid w:val="007C78E3"/>
    <w:rsid w:val="007C7AA7"/>
    <w:rsid w:val="007C7B87"/>
    <w:rsid w:val="007D03F3"/>
    <w:rsid w:val="007D0C09"/>
    <w:rsid w:val="007D0CD4"/>
    <w:rsid w:val="007D11EC"/>
    <w:rsid w:val="007D1387"/>
    <w:rsid w:val="007D13EB"/>
    <w:rsid w:val="007D1694"/>
    <w:rsid w:val="007D1788"/>
    <w:rsid w:val="007D1865"/>
    <w:rsid w:val="007D1E80"/>
    <w:rsid w:val="007D1F06"/>
    <w:rsid w:val="007D220B"/>
    <w:rsid w:val="007D2837"/>
    <w:rsid w:val="007D2838"/>
    <w:rsid w:val="007D2F4F"/>
    <w:rsid w:val="007D2FC6"/>
    <w:rsid w:val="007D30BE"/>
    <w:rsid w:val="007D30EE"/>
    <w:rsid w:val="007D3403"/>
    <w:rsid w:val="007D3495"/>
    <w:rsid w:val="007D367E"/>
    <w:rsid w:val="007D3A83"/>
    <w:rsid w:val="007D3D31"/>
    <w:rsid w:val="007D4243"/>
    <w:rsid w:val="007D4650"/>
    <w:rsid w:val="007D493A"/>
    <w:rsid w:val="007D4E05"/>
    <w:rsid w:val="007D521A"/>
    <w:rsid w:val="007D5242"/>
    <w:rsid w:val="007D55E5"/>
    <w:rsid w:val="007D5620"/>
    <w:rsid w:val="007D56CC"/>
    <w:rsid w:val="007D5854"/>
    <w:rsid w:val="007D592D"/>
    <w:rsid w:val="007D5AA3"/>
    <w:rsid w:val="007D5B0D"/>
    <w:rsid w:val="007D5E28"/>
    <w:rsid w:val="007D5E8E"/>
    <w:rsid w:val="007D5FF6"/>
    <w:rsid w:val="007D6126"/>
    <w:rsid w:val="007D6236"/>
    <w:rsid w:val="007D6399"/>
    <w:rsid w:val="007D63FC"/>
    <w:rsid w:val="007D64EA"/>
    <w:rsid w:val="007D660C"/>
    <w:rsid w:val="007D665E"/>
    <w:rsid w:val="007D670F"/>
    <w:rsid w:val="007D6825"/>
    <w:rsid w:val="007D6913"/>
    <w:rsid w:val="007D6B00"/>
    <w:rsid w:val="007D739B"/>
    <w:rsid w:val="007D747D"/>
    <w:rsid w:val="007D74B4"/>
    <w:rsid w:val="007D74FB"/>
    <w:rsid w:val="007D7630"/>
    <w:rsid w:val="007D766D"/>
    <w:rsid w:val="007D768F"/>
    <w:rsid w:val="007D7A07"/>
    <w:rsid w:val="007D7C18"/>
    <w:rsid w:val="007D7FE9"/>
    <w:rsid w:val="007E0229"/>
    <w:rsid w:val="007E0C1A"/>
    <w:rsid w:val="007E0D56"/>
    <w:rsid w:val="007E0D8A"/>
    <w:rsid w:val="007E1093"/>
    <w:rsid w:val="007E10BA"/>
    <w:rsid w:val="007E10F8"/>
    <w:rsid w:val="007E116D"/>
    <w:rsid w:val="007E1224"/>
    <w:rsid w:val="007E128A"/>
    <w:rsid w:val="007E1294"/>
    <w:rsid w:val="007E134F"/>
    <w:rsid w:val="007E171F"/>
    <w:rsid w:val="007E172C"/>
    <w:rsid w:val="007E1795"/>
    <w:rsid w:val="007E1ADF"/>
    <w:rsid w:val="007E2189"/>
    <w:rsid w:val="007E2479"/>
    <w:rsid w:val="007E24C2"/>
    <w:rsid w:val="007E2CEF"/>
    <w:rsid w:val="007E2DA0"/>
    <w:rsid w:val="007E2EEA"/>
    <w:rsid w:val="007E346E"/>
    <w:rsid w:val="007E372B"/>
    <w:rsid w:val="007E37C0"/>
    <w:rsid w:val="007E3CDA"/>
    <w:rsid w:val="007E3DA1"/>
    <w:rsid w:val="007E3EEC"/>
    <w:rsid w:val="007E3F1E"/>
    <w:rsid w:val="007E41B4"/>
    <w:rsid w:val="007E43C6"/>
    <w:rsid w:val="007E4508"/>
    <w:rsid w:val="007E4574"/>
    <w:rsid w:val="007E4831"/>
    <w:rsid w:val="007E4D3D"/>
    <w:rsid w:val="007E4EC8"/>
    <w:rsid w:val="007E50A7"/>
    <w:rsid w:val="007E5237"/>
    <w:rsid w:val="007E5484"/>
    <w:rsid w:val="007E5656"/>
    <w:rsid w:val="007E569B"/>
    <w:rsid w:val="007E5707"/>
    <w:rsid w:val="007E576E"/>
    <w:rsid w:val="007E58F5"/>
    <w:rsid w:val="007E5B00"/>
    <w:rsid w:val="007E5BB9"/>
    <w:rsid w:val="007E5C6A"/>
    <w:rsid w:val="007E5DF7"/>
    <w:rsid w:val="007E5FDF"/>
    <w:rsid w:val="007E637F"/>
    <w:rsid w:val="007E64A0"/>
    <w:rsid w:val="007E64BA"/>
    <w:rsid w:val="007E6AF8"/>
    <w:rsid w:val="007E6B52"/>
    <w:rsid w:val="007E6F18"/>
    <w:rsid w:val="007E6FC2"/>
    <w:rsid w:val="007E70B7"/>
    <w:rsid w:val="007E711B"/>
    <w:rsid w:val="007E7139"/>
    <w:rsid w:val="007E74B0"/>
    <w:rsid w:val="007E7B64"/>
    <w:rsid w:val="007E7E1C"/>
    <w:rsid w:val="007E7E66"/>
    <w:rsid w:val="007E7EA9"/>
    <w:rsid w:val="007F007D"/>
    <w:rsid w:val="007F00D1"/>
    <w:rsid w:val="007F0223"/>
    <w:rsid w:val="007F0314"/>
    <w:rsid w:val="007F0329"/>
    <w:rsid w:val="007F0344"/>
    <w:rsid w:val="007F0392"/>
    <w:rsid w:val="007F0465"/>
    <w:rsid w:val="007F0610"/>
    <w:rsid w:val="007F0750"/>
    <w:rsid w:val="007F0752"/>
    <w:rsid w:val="007F0AEC"/>
    <w:rsid w:val="007F0BC8"/>
    <w:rsid w:val="007F0D27"/>
    <w:rsid w:val="007F0D6B"/>
    <w:rsid w:val="007F0E3E"/>
    <w:rsid w:val="007F0EC8"/>
    <w:rsid w:val="007F1177"/>
    <w:rsid w:val="007F1276"/>
    <w:rsid w:val="007F1301"/>
    <w:rsid w:val="007F14BD"/>
    <w:rsid w:val="007F14D0"/>
    <w:rsid w:val="007F15E4"/>
    <w:rsid w:val="007F1724"/>
    <w:rsid w:val="007F1ADE"/>
    <w:rsid w:val="007F1B04"/>
    <w:rsid w:val="007F1BB8"/>
    <w:rsid w:val="007F1C72"/>
    <w:rsid w:val="007F1DBF"/>
    <w:rsid w:val="007F1F3F"/>
    <w:rsid w:val="007F1FAD"/>
    <w:rsid w:val="007F2285"/>
    <w:rsid w:val="007F2311"/>
    <w:rsid w:val="007F276E"/>
    <w:rsid w:val="007F27E1"/>
    <w:rsid w:val="007F2F34"/>
    <w:rsid w:val="007F2F5D"/>
    <w:rsid w:val="007F3111"/>
    <w:rsid w:val="007F32DD"/>
    <w:rsid w:val="007F3371"/>
    <w:rsid w:val="007F353E"/>
    <w:rsid w:val="007F35B4"/>
    <w:rsid w:val="007F37D0"/>
    <w:rsid w:val="007F386D"/>
    <w:rsid w:val="007F3973"/>
    <w:rsid w:val="007F39F9"/>
    <w:rsid w:val="007F3B55"/>
    <w:rsid w:val="007F3F30"/>
    <w:rsid w:val="007F3F4A"/>
    <w:rsid w:val="007F4072"/>
    <w:rsid w:val="007F40E7"/>
    <w:rsid w:val="007F430D"/>
    <w:rsid w:val="007F45A6"/>
    <w:rsid w:val="007F4A51"/>
    <w:rsid w:val="007F4C17"/>
    <w:rsid w:val="007F4E9C"/>
    <w:rsid w:val="007F520A"/>
    <w:rsid w:val="007F5499"/>
    <w:rsid w:val="007F568D"/>
    <w:rsid w:val="007F5837"/>
    <w:rsid w:val="007F586C"/>
    <w:rsid w:val="007F59C1"/>
    <w:rsid w:val="007F5A11"/>
    <w:rsid w:val="007F6438"/>
    <w:rsid w:val="007F6720"/>
    <w:rsid w:val="007F6774"/>
    <w:rsid w:val="007F6E93"/>
    <w:rsid w:val="007F7000"/>
    <w:rsid w:val="007F71AC"/>
    <w:rsid w:val="007F720B"/>
    <w:rsid w:val="007F73A2"/>
    <w:rsid w:val="007F7429"/>
    <w:rsid w:val="007F75A3"/>
    <w:rsid w:val="007F77BB"/>
    <w:rsid w:val="007F7881"/>
    <w:rsid w:val="007F79F9"/>
    <w:rsid w:val="007F7AC9"/>
    <w:rsid w:val="007F7D15"/>
    <w:rsid w:val="007F7EB3"/>
    <w:rsid w:val="007F7ECF"/>
    <w:rsid w:val="00800033"/>
    <w:rsid w:val="0080019F"/>
    <w:rsid w:val="00800291"/>
    <w:rsid w:val="0080079B"/>
    <w:rsid w:val="00800847"/>
    <w:rsid w:val="008009F9"/>
    <w:rsid w:val="00800B16"/>
    <w:rsid w:val="00800BC7"/>
    <w:rsid w:val="00800C0B"/>
    <w:rsid w:val="00800EAF"/>
    <w:rsid w:val="00801091"/>
    <w:rsid w:val="008011E3"/>
    <w:rsid w:val="00801400"/>
    <w:rsid w:val="008014DD"/>
    <w:rsid w:val="00801689"/>
    <w:rsid w:val="00801705"/>
    <w:rsid w:val="008017B4"/>
    <w:rsid w:val="0080199E"/>
    <w:rsid w:val="00801AC9"/>
    <w:rsid w:val="00801B54"/>
    <w:rsid w:val="00801BD3"/>
    <w:rsid w:val="00801BEE"/>
    <w:rsid w:val="00801CC2"/>
    <w:rsid w:val="00801D3A"/>
    <w:rsid w:val="00802438"/>
    <w:rsid w:val="00802785"/>
    <w:rsid w:val="00802864"/>
    <w:rsid w:val="008028F5"/>
    <w:rsid w:val="0080290B"/>
    <w:rsid w:val="00802CFF"/>
    <w:rsid w:val="00803301"/>
    <w:rsid w:val="00803309"/>
    <w:rsid w:val="00803387"/>
    <w:rsid w:val="00803443"/>
    <w:rsid w:val="008034BD"/>
    <w:rsid w:val="00803890"/>
    <w:rsid w:val="00803930"/>
    <w:rsid w:val="00803A2C"/>
    <w:rsid w:val="00803A48"/>
    <w:rsid w:val="00803B43"/>
    <w:rsid w:val="00803C3A"/>
    <w:rsid w:val="00803EBA"/>
    <w:rsid w:val="00803F52"/>
    <w:rsid w:val="00804042"/>
    <w:rsid w:val="008040A4"/>
    <w:rsid w:val="00804430"/>
    <w:rsid w:val="00804485"/>
    <w:rsid w:val="0080462F"/>
    <w:rsid w:val="00804908"/>
    <w:rsid w:val="008049D1"/>
    <w:rsid w:val="0080505A"/>
    <w:rsid w:val="0080518A"/>
    <w:rsid w:val="00805236"/>
    <w:rsid w:val="008052AD"/>
    <w:rsid w:val="00805AA4"/>
    <w:rsid w:val="00805D94"/>
    <w:rsid w:val="00805F3D"/>
    <w:rsid w:val="0080621F"/>
    <w:rsid w:val="0080657D"/>
    <w:rsid w:val="00806FA6"/>
    <w:rsid w:val="00807592"/>
    <w:rsid w:val="008076D3"/>
    <w:rsid w:val="00807954"/>
    <w:rsid w:val="00807A3A"/>
    <w:rsid w:val="00807D3E"/>
    <w:rsid w:val="008102B5"/>
    <w:rsid w:val="008103AD"/>
    <w:rsid w:val="00810632"/>
    <w:rsid w:val="00810856"/>
    <w:rsid w:val="00810A38"/>
    <w:rsid w:val="00810A72"/>
    <w:rsid w:val="00810D60"/>
    <w:rsid w:val="00810E88"/>
    <w:rsid w:val="00810F5E"/>
    <w:rsid w:val="00811161"/>
    <w:rsid w:val="00811444"/>
    <w:rsid w:val="00811649"/>
    <w:rsid w:val="00811784"/>
    <w:rsid w:val="00811DAC"/>
    <w:rsid w:val="00812309"/>
    <w:rsid w:val="008126F8"/>
    <w:rsid w:val="008128C2"/>
    <w:rsid w:val="008128F6"/>
    <w:rsid w:val="00812D69"/>
    <w:rsid w:val="00812F62"/>
    <w:rsid w:val="00812F84"/>
    <w:rsid w:val="008135AF"/>
    <w:rsid w:val="00813642"/>
    <w:rsid w:val="008136A7"/>
    <w:rsid w:val="00813895"/>
    <w:rsid w:val="00813AA0"/>
    <w:rsid w:val="00813AC5"/>
    <w:rsid w:val="00813AD8"/>
    <w:rsid w:val="00813C7A"/>
    <w:rsid w:val="00813CEA"/>
    <w:rsid w:val="00813E04"/>
    <w:rsid w:val="00813E1D"/>
    <w:rsid w:val="00813EA9"/>
    <w:rsid w:val="00813FA9"/>
    <w:rsid w:val="00813FF9"/>
    <w:rsid w:val="0081412F"/>
    <w:rsid w:val="00814175"/>
    <w:rsid w:val="0081438D"/>
    <w:rsid w:val="008148D8"/>
    <w:rsid w:val="008149C9"/>
    <w:rsid w:val="00814C07"/>
    <w:rsid w:val="00814C7C"/>
    <w:rsid w:val="00814DCC"/>
    <w:rsid w:val="00814DCF"/>
    <w:rsid w:val="00815111"/>
    <w:rsid w:val="008153F8"/>
    <w:rsid w:val="00815737"/>
    <w:rsid w:val="008158AA"/>
    <w:rsid w:val="00815A50"/>
    <w:rsid w:val="00815AE5"/>
    <w:rsid w:val="00815B41"/>
    <w:rsid w:val="00815B45"/>
    <w:rsid w:val="00815B98"/>
    <w:rsid w:val="00815D88"/>
    <w:rsid w:val="00815FFE"/>
    <w:rsid w:val="008160C4"/>
    <w:rsid w:val="00816343"/>
    <w:rsid w:val="008164C4"/>
    <w:rsid w:val="008167B2"/>
    <w:rsid w:val="00816D2D"/>
    <w:rsid w:val="00816D83"/>
    <w:rsid w:val="00816F52"/>
    <w:rsid w:val="0081702F"/>
    <w:rsid w:val="008173E9"/>
    <w:rsid w:val="0081773B"/>
    <w:rsid w:val="00817758"/>
    <w:rsid w:val="008177F4"/>
    <w:rsid w:val="008179A2"/>
    <w:rsid w:val="00817C0D"/>
    <w:rsid w:val="00817E9C"/>
    <w:rsid w:val="00817F9D"/>
    <w:rsid w:val="0082038C"/>
    <w:rsid w:val="008209B9"/>
    <w:rsid w:val="00820A6B"/>
    <w:rsid w:val="00820CB7"/>
    <w:rsid w:val="00820E4D"/>
    <w:rsid w:val="00820F72"/>
    <w:rsid w:val="00821051"/>
    <w:rsid w:val="00821839"/>
    <w:rsid w:val="00821AA4"/>
    <w:rsid w:val="00821ACF"/>
    <w:rsid w:val="00821C63"/>
    <w:rsid w:val="00821D6B"/>
    <w:rsid w:val="00821E8A"/>
    <w:rsid w:val="00821FCB"/>
    <w:rsid w:val="008225A6"/>
    <w:rsid w:val="008228C6"/>
    <w:rsid w:val="0082298B"/>
    <w:rsid w:val="00822BF5"/>
    <w:rsid w:val="00823108"/>
    <w:rsid w:val="00823255"/>
    <w:rsid w:val="00823554"/>
    <w:rsid w:val="00823566"/>
    <w:rsid w:val="00823936"/>
    <w:rsid w:val="00823C44"/>
    <w:rsid w:val="00823D93"/>
    <w:rsid w:val="00824139"/>
    <w:rsid w:val="0082434B"/>
    <w:rsid w:val="0082440D"/>
    <w:rsid w:val="0082492B"/>
    <w:rsid w:val="00824BCD"/>
    <w:rsid w:val="00824C99"/>
    <w:rsid w:val="00824E12"/>
    <w:rsid w:val="00824E68"/>
    <w:rsid w:val="008251A8"/>
    <w:rsid w:val="00825317"/>
    <w:rsid w:val="0082560D"/>
    <w:rsid w:val="00825841"/>
    <w:rsid w:val="00825D4C"/>
    <w:rsid w:val="008260E7"/>
    <w:rsid w:val="008262F2"/>
    <w:rsid w:val="0082655A"/>
    <w:rsid w:val="008265B9"/>
    <w:rsid w:val="0082674A"/>
    <w:rsid w:val="008267BA"/>
    <w:rsid w:val="008268C5"/>
    <w:rsid w:val="008269C1"/>
    <w:rsid w:val="00826BC7"/>
    <w:rsid w:val="00826D38"/>
    <w:rsid w:val="008270C7"/>
    <w:rsid w:val="00827176"/>
    <w:rsid w:val="008273A6"/>
    <w:rsid w:val="00827541"/>
    <w:rsid w:val="00827561"/>
    <w:rsid w:val="00827C69"/>
    <w:rsid w:val="00827D8C"/>
    <w:rsid w:val="00830303"/>
    <w:rsid w:val="0083039F"/>
    <w:rsid w:val="0083043E"/>
    <w:rsid w:val="0083069E"/>
    <w:rsid w:val="00830708"/>
    <w:rsid w:val="00830826"/>
    <w:rsid w:val="008308D6"/>
    <w:rsid w:val="00830C15"/>
    <w:rsid w:val="00830F89"/>
    <w:rsid w:val="00830FB4"/>
    <w:rsid w:val="00831042"/>
    <w:rsid w:val="008310C7"/>
    <w:rsid w:val="00831197"/>
    <w:rsid w:val="008311C3"/>
    <w:rsid w:val="0083136B"/>
    <w:rsid w:val="0083145A"/>
    <w:rsid w:val="008315A8"/>
    <w:rsid w:val="00831A16"/>
    <w:rsid w:val="00831A77"/>
    <w:rsid w:val="00832098"/>
    <w:rsid w:val="008322A0"/>
    <w:rsid w:val="00832944"/>
    <w:rsid w:val="00833130"/>
    <w:rsid w:val="00833367"/>
    <w:rsid w:val="0083361F"/>
    <w:rsid w:val="00833B98"/>
    <w:rsid w:val="008340D9"/>
    <w:rsid w:val="00834154"/>
    <w:rsid w:val="008341EA"/>
    <w:rsid w:val="0083422A"/>
    <w:rsid w:val="00834703"/>
    <w:rsid w:val="00834979"/>
    <w:rsid w:val="008349B9"/>
    <w:rsid w:val="00834A81"/>
    <w:rsid w:val="00834B18"/>
    <w:rsid w:val="00834DB7"/>
    <w:rsid w:val="00835133"/>
    <w:rsid w:val="00835341"/>
    <w:rsid w:val="0083554A"/>
    <w:rsid w:val="00835565"/>
    <w:rsid w:val="008359C2"/>
    <w:rsid w:val="00835D50"/>
    <w:rsid w:val="00835E5F"/>
    <w:rsid w:val="008363C5"/>
    <w:rsid w:val="0083650A"/>
    <w:rsid w:val="008366D3"/>
    <w:rsid w:val="008366FA"/>
    <w:rsid w:val="0083698A"/>
    <w:rsid w:val="008369C2"/>
    <w:rsid w:val="008369DE"/>
    <w:rsid w:val="00836A07"/>
    <w:rsid w:val="00836BD9"/>
    <w:rsid w:val="00836F17"/>
    <w:rsid w:val="0083757F"/>
    <w:rsid w:val="008375A4"/>
    <w:rsid w:val="00837B2F"/>
    <w:rsid w:val="00837D3A"/>
    <w:rsid w:val="00837E3B"/>
    <w:rsid w:val="008401A6"/>
    <w:rsid w:val="0084029A"/>
    <w:rsid w:val="0084030F"/>
    <w:rsid w:val="008404DE"/>
    <w:rsid w:val="00840842"/>
    <w:rsid w:val="00840B27"/>
    <w:rsid w:val="00840BC7"/>
    <w:rsid w:val="00840D30"/>
    <w:rsid w:val="008411FD"/>
    <w:rsid w:val="008413AF"/>
    <w:rsid w:val="008413B5"/>
    <w:rsid w:val="00841447"/>
    <w:rsid w:val="00841459"/>
    <w:rsid w:val="00841562"/>
    <w:rsid w:val="0084189F"/>
    <w:rsid w:val="008418B1"/>
    <w:rsid w:val="008418DF"/>
    <w:rsid w:val="00841D71"/>
    <w:rsid w:val="0084287D"/>
    <w:rsid w:val="00842959"/>
    <w:rsid w:val="00842D59"/>
    <w:rsid w:val="00842DBF"/>
    <w:rsid w:val="00843051"/>
    <w:rsid w:val="008430F9"/>
    <w:rsid w:val="008434B5"/>
    <w:rsid w:val="00843597"/>
    <w:rsid w:val="00843609"/>
    <w:rsid w:val="00843687"/>
    <w:rsid w:val="0084372F"/>
    <w:rsid w:val="008438F6"/>
    <w:rsid w:val="0084392C"/>
    <w:rsid w:val="00844110"/>
    <w:rsid w:val="00844418"/>
    <w:rsid w:val="00844773"/>
    <w:rsid w:val="008447F9"/>
    <w:rsid w:val="00844869"/>
    <w:rsid w:val="00844958"/>
    <w:rsid w:val="00844C68"/>
    <w:rsid w:val="00844F9A"/>
    <w:rsid w:val="008452E0"/>
    <w:rsid w:val="00845343"/>
    <w:rsid w:val="00845518"/>
    <w:rsid w:val="008455E9"/>
    <w:rsid w:val="00845638"/>
    <w:rsid w:val="00845751"/>
    <w:rsid w:val="00845C77"/>
    <w:rsid w:val="00845DCB"/>
    <w:rsid w:val="00845F17"/>
    <w:rsid w:val="00845FA1"/>
    <w:rsid w:val="00846527"/>
    <w:rsid w:val="0084664C"/>
    <w:rsid w:val="00846AED"/>
    <w:rsid w:val="00846EA0"/>
    <w:rsid w:val="00846F53"/>
    <w:rsid w:val="00846F68"/>
    <w:rsid w:val="00847185"/>
    <w:rsid w:val="008471D2"/>
    <w:rsid w:val="008476DB"/>
    <w:rsid w:val="00847835"/>
    <w:rsid w:val="0084784F"/>
    <w:rsid w:val="008479F3"/>
    <w:rsid w:val="00847C4D"/>
    <w:rsid w:val="00847C4E"/>
    <w:rsid w:val="00847E09"/>
    <w:rsid w:val="00850643"/>
    <w:rsid w:val="00850806"/>
    <w:rsid w:val="008508FA"/>
    <w:rsid w:val="0085093E"/>
    <w:rsid w:val="00850955"/>
    <w:rsid w:val="00850A89"/>
    <w:rsid w:val="00850D1F"/>
    <w:rsid w:val="00850D3A"/>
    <w:rsid w:val="00850DFB"/>
    <w:rsid w:val="00850FC9"/>
    <w:rsid w:val="00850FF0"/>
    <w:rsid w:val="00851113"/>
    <w:rsid w:val="0085115D"/>
    <w:rsid w:val="00851310"/>
    <w:rsid w:val="00851366"/>
    <w:rsid w:val="0085145E"/>
    <w:rsid w:val="00851516"/>
    <w:rsid w:val="008515A4"/>
    <w:rsid w:val="00851F00"/>
    <w:rsid w:val="00851F2B"/>
    <w:rsid w:val="008520C6"/>
    <w:rsid w:val="008523C5"/>
    <w:rsid w:val="00852537"/>
    <w:rsid w:val="00852656"/>
    <w:rsid w:val="00852710"/>
    <w:rsid w:val="008527BF"/>
    <w:rsid w:val="008527FF"/>
    <w:rsid w:val="0085292B"/>
    <w:rsid w:val="00852999"/>
    <w:rsid w:val="00852BAE"/>
    <w:rsid w:val="00852C3C"/>
    <w:rsid w:val="00853080"/>
    <w:rsid w:val="0085308C"/>
    <w:rsid w:val="008531A9"/>
    <w:rsid w:val="00853470"/>
    <w:rsid w:val="008534F1"/>
    <w:rsid w:val="00853852"/>
    <w:rsid w:val="00853A08"/>
    <w:rsid w:val="00853C36"/>
    <w:rsid w:val="00853CAA"/>
    <w:rsid w:val="00853EB3"/>
    <w:rsid w:val="00853EE8"/>
    <w:rsid w:val="00854C90"/>
    <w:rsid w:val="00854EF8"/>
    <w:rsid w:val="008552B3"/>
    <w:rsid w:val="008553CA"/>
    <w:rsid w:val="0085548E"/>
    <w:rsid w:val="0085561A"/>
    <w:rsid w:val="00855698"/>
    <w:rsid w:val="008557B7"/>
    <w:rsid w:val="00855AC5"/>
    <w:rsid w:val="00855C29"/>
    <w:rsid w:val="00855C7A"/>
    <w:rsid w:val="00855EDF"/>
    <w:rsid w:val="0085628F"/>
    <w:rsid w:val="0085629C"/>
    <w:rsid w:val="008562B3"/>
    <w:rsid w:val="0085674B"/>
    <w:rsid w:val="00856A04"/>
    <w:rsid w:val="00856A6B"/>
    <w:rsid w:val="00856BE2"/>
    <w:rsid w:val="00856CF4"/>
    <w:rsid w:val="00857059"/>
    <w:rsid w:val="00857217"/>
    <w:rsid w:val="00857297"/>
    <w:rsid w:val="0085729A"/>
    <w:rsid w:val="00857502"/>
    <w:rsid w:val="008575BB"/>
    <w:rsid w:val="008576AB"/>
    <w:rsid w:val="008579E0"/>
    <w:rsid w:val="00857A1C"/>
    <w:rsid w:val="00857C50"/>
    <w:rsid w:val="00857ECC"/>
    <w:rsid w:val="00857F72"/>
    <w:rsid w:val="00860040"/>
    <w:rsid w:val="00860063"/>
    <w:rsid w:val="0086028E"/>
    <w:rsid w:val="00860345"/>
    <w:rsid w:val="008603E8"/>
    <w:rsid w:val="00860409"/>
    <w:rsid w:val="008606E0"/>
    <w:rsid w:val="0086085E"/>
    <w:rsid w:val="00860971"/>
    <w:rsid w:val="00860C05"/>
    <w:rsid w:val="00860E5B"/>
    <w:rsid w:val="00860F78"/>
    <w:rsid w:val="00861042"/>
    <w:rsid w:val="008611AE"/>
    <w:rsid w:val="008611E4"/>
    <w:rsid w:val="008611FF"/>
    <w:rsid w:val="0086120F"/>
    <w:rsid w:val="00861254"/>
    <w:rsid w:val="008612A3"/>
    <w:rsid w:val="008612E7"/>
    <w:rsid w:val="00861B6B"/>
    <w:rsid w:val="00861E8F"/>
    <w:rsid w:val="00861F71"/>
    <w:rsid w:val="00862676"/>
    <w:rsid w:val="00862718"/>
    <w:rsid w:val="00862750"/>
    <w:rsid w:val="00862847"/>
    <w:rsid w:val="0086292A"/>
    <w:rsid w:val="00862AB8"/>
    <w:rsid w:val="00862DB6"/>
    <w:rsid w:val="00862FAE"/>
    <w:rsid w:val="008633D2"/>
    <w:rsid w:val="008634E7"/>
    <w:rsid w:val="008638DF"/>
    <w:rsid w:val="008639DB"/>
    <w:rsid w:val="00863AF3"/>
    <w:rsid w:val="00863E52"/>
    <w:rsid w:val="00863EA4"/>
    <w:rsid w:val="0086402D"/>
    <w:rsid w:val="0086442B"/>
    <w:rsid w:val="00864A17"/>
    <w:rsid w:val="00864A91"/>
    <w:rsid w:val="00864D0F"/>
    <w:rsid w:val="00864FB5"/>
    <w:rsid w:val="008655B2"/>
    <w:rsid w:val="008655B9"/>
    <w:rsid w:val="008656D9"/>
    <w:rsid w:val="00865818"/>
    <w:rsid w:val="00865C35"/>
    <w:rsid w:val="00865CB9"/>
    <w:rsid w:val="008660CE"/>
    <w:rsid w:val="00866649"/>
    <w:rsid w:val="008667A4"/>
    <w:rsid w:val="008667E7"/>
    <w:rsid w:val="008667EF"/>
    <w:rsid w:val="00866C51"/>
    <w:rsid w:val="00867066"/>
    <w:rsid w:val="00867494"/>
    <w:rsid w:val="008674C1"/>
    <w:rsid w:val="008676EA"/>
    <w:rsid w:val="00867A88"/>
    <w:rsid w:val="00867D55"/>
    <w:rsid w:val="00867E39"/>
    <w:rsid w:val="008702D8"/>
    <w:rsid w:val="0087035D"/>
    <w:rsid w:val="00870384"/>
    <w:rsid w:val="0087056B"/>
    <w:rsid w:val="0087056E"/>
    <w:rsid w:val="00870843"/>
    <w:rsid w:val="0087096F"/>
    <w:rsid w:val="00870A49"/>
    <w:rsid w:val="00870BF7"/>
    <w:rsid w:val="00870DAE"/>
    <w:rsid w:val="00870F28"/>
    <w:rsid w:val="00871312"/>
    <w:rsid w:val="0087161B"/>
    <w:rsid w:val="0087166B"/>
    <w:rsid w:val="0087184E"/>
    <w:rsid w:val="00872078"/>
    <w:rsid w:val="008721FC"/>
    <w:rsid w:val="0087292D"/>
    <w:rsid w:val="00872B99"/>
    <w:rsid w:val="00873381"/>
    <w:rsid w:val="00873569"/>
    <w:rsid w:val="00873720"/>
    <w:rsid w:val="00873744"/>
    <w:rsid w:val="008739AF"/>
    <w:rsid w:val="00873B69"/>
    <w:rsid w:val="00873BA3"/>
    <w:rsid w:val="00873C5E"/>
    <w:rsid w:val="00873C6E"/>
    <w:rsid w:val="00873E8A"/>
    <w:rsid w:val="00874198"/>
    <w:rsid w:val="008741E1"/>
    <w:rsid w:val="00874A17"/>
    <w:rsid w:val="00874A7D"/>
    <w:rsid w:val="00874C43"/>
    <w:rsid w:val="00874E9C"/>
    <w:rsid w:val="00874F63"/>
    <w:rsid w:val="0087506F"/>
    <w:rsid w:val="008750A5"/>
    <w:rsid w:val="0087527C"/>
    <w:rsid w:val="008754B6"/>
    <w:rsid w:val="0087551D"/>
    <w:rsid w:val="008755EA"/>
    <w:rsid w:val="00875AB1"/>
    <w:rsid w:val="00875CF6"/>
    <w:rsid w:val="00875D87"/>
    <w:rsid w:val="00875F69"/>
    <w:rsid w:val="00875FE7"/>
    <w:rsid w:val="00876054"/>
    <w:rsid w:val="008760BE"/>
    <w:rsid w:val="00876330"/>
    <w:rsid w:val="00876723"/>
    <w:rsid w:val="008777A1"/>
    <w:rsid w:val="00877D2F"/>
    <w:rsid w:val="00877D68"/>
    <w:rsid w:val="008801C5"/>
    <w:rsid w:val="008803E0"/>
    <w:rsid w:val="00880438"/>
    <w:rsid w:val="00880796"/>
    <w:rsid w:val="0088098A"/>
    <w:rsid w:val="008809B7"/>
    <w:rsid w:val="00880B56"/>
    <w:rsid w:val="00880D56"/>
    <w:rsid w:val="0088102B"/>
    <w:rsid w:val="00881071"/>
    <w:rsid w:val="008811D9"/>
    <w:rsid w:val="008811DD"/>
    <w:rsid w:val="008813F3"/>
    <w:rsid w:val="008813FD"/>
    <w:rsid w:val="00881726"/>
    <w:rsid w:val="00881AD1"/>
    <w:rsid w:val="0088209F"/>
    <w:rsid w:val="008823C9"/>
    <w:rsid w:val="008825D0"/>
    <w:rsid w:val="00882B0B"/>
    <w:rsid w:val="00882B15"/>
    <w:rsid w:val="00882DFA"/>
    <w:rsid w:val="00882EC5"/>
    <w:rsid w:val="00882F59"/>
    <w:rsid w:val="008834FE"/>
    <w:rsid w:val="008837CA"/>
    <w:rsid w:val="008837D3"/>
    <w:rsid w:val="008839C8"/>
    <w:rsid w:val="00883B68"/>
    <w:rsid w:val="00883BD6"/>
    <w:rsid w:val="00883C46"/>
    <w:rsid w:val="00883C92"/>
    <w:rsid w:val="00883DE1"/>
    <w:rsid w:val="00883EE5"/>
    <w:rsid w:val="00884186"/>
    <w:rsid w:val="00884E4F"/>
    <w:rsid w:val="00885090"/>
    <w:rsid w:val="0088511F"/>
    <w:rsid w:val="00885691"/>
    <w:rsid w:val="00885772"/>
    <w:rsid w:val="0088594C"/>
    <w:rsid w:val="00885AC8"/>
    <w:rsid w:val="00885D6A"/>
    <w:rsid w:val="008862D0"/>
    <w:rsid w:val="00886508"/>
    <w:rsid w:val="00886532"/>
    <w:rsid w:val="0088685B"/>
    <w:rsid w:val="00886F51"/>
    <w:rsid w:val="008870F6"/>
    <w:rsid w:val="008872A2"/>
    <w:rsid w:val="0088736F"/>
    <w:rsid w:val="00887424"/>
    <w:rsid w:val="0088745D"/>
    <w:rsid w:val="0088759A"/>
    <w:rsid w:val="008876D3"/>
    <w:rsid w:val="00887B42"/>
    <w:rsid w:val="00887B5E"/>
    <w:rsid w:val="00887CD8"/>
    <w:rsid w:val="00887FDC"/>
    <w:rsid w:val="008900DC"/>
    <w:rsid w:val="00890570"/>
    <w:rsid w:val="008906C3"/>
    <w:rsid w:val="00890E59"/>
    <w:rsid w:val="00890EBA"/>
    <w:rsid w:val="00890F4E"/>
    <w:rsid w:val="00891204"/>
    <w:rsid w:val="008913EC"/>
    <w:rsid w:val="0089144B"/>
    <w:rsid w:val="00891811"/>
    <w:rsid w:val="008918EF"/>
    <w:rsid w:val="00891A38"/>
    <w:rsid w:val="00891CF7"/>
    <w:rsid w:val="008922B8"/>
    <w:rsid w:val="008923C0"/>
    <w:rsid w:val="008924D6"/>
    <w:rsid w:val="00892671"/>
    <w:rsid w:val="008926EB"/>
    <w:rsid w:val="00892A04"/>
    <w:rsid w:val="00892F5F"/>
    <w:rsid w:val="008930B3"/>
    <w:rsid w:val="00893539"/>
    <w:rsid w:val="00893831"/>
    <w:rsid w:val="008939ED"/>
    <w:rsid w:val="00893AAD"/>
    <w:rsid w:val="00893AC8"/>
    <w:rsid w:val="00893C33"/>
    <w:rsid w:val="00893CB4"/>
    <w:rsid w:val="00893CB7"/>
    <w:rsid w:val="00893CDE"/>
    <w:rsid w:val="00894134"/>
    <w:rsid w:val="008941A8"/>
    <w:rsid w:val="00894B0A"/>
    <w:rsid w:val="00894BF1"/>
    <w:rsid w:val="00894C3C"/>
    <w:rsid w:val="00894D10"/>
    <w:rsid w:val="00894E96"/>
    <w:rsid w:val="00894F19"/>
    <w:rsid w:val="0089500D"/>
    <w:rsid w:val="00895231"/>
    <w:rsid w:val="00895337"/>
    <w:rsid w:val="0089559D"/>
    <w:rsid w:val="00895661"/>
    <w:rsid w:val="008957D5"/>
    <w:rsid w:val="00895820"/>
    <w:rsid w:val="00895944"/>
    <w:rsid w:val="00895AE0"/>
    <w:rsid w:val="00895DB4"/>
    <w:rsid w:val="00896310"/>
    <w:rsid w:val="0089635A"/>
    <w:rsid w:val="008963CF"/>
    <w:rsid w:val="00896589"/>
    <w:rsid w:val="008969C6"/>
    <w:rsid w:val="00896F71"/>
    <w:rsid w:val="008973F3"/>
    <w:rsid w:val="00897555"/>
    <w:rsid w:val="0089758B"/>
    <w:rsid w:val="008976CD"/>
    <w:rsid w:val="008979F3"/>
    <w:rsid w:val="00897B4E"/>
    <w:rsid w:val="00897CF3"/>
    <w:rsid w:val="00897F08"/>
    <w:rsid w:val="008A05D1"/>
    <w:rsid w:val="008A08C7"/>
    <w:rsid w:val="008A08EF"/>
    <w:rsid w:val="008A09E8"/>
    <w:rsid w:val="008A0B6D"/>
    <w:rsid w:val="008A0E75"/>
    <w:rsid w:val="008A0F14"/>
    <w:rsid w:val="008A0F8F"/>
    <w:rsid w:val="008A10E8"/>
    <w:rsid w:val="008A135F"/>
    <w:rsid w:val="008A14C9"/>
    <w:rsid w:val="008A16EB"/>
    <w:rsid w:val="008A1919"/>
    <w:rsid w:val="008A19D6"/>
    <w:rsid w:val="008A1B93"/>
    <w:rsid w:val="008A1D4D"/>
    <w:rsid w:val="008A232E"/>
    <w:rsid w:val="008A2445"/>
    <w:rsid w:val="008A2635"/>
    <w:rsid w:val="008A2B15"/>
    <w:rsid w:val="008A2E32"/>
    <w:rsid w:val="008A2E99"/>
    <w:rsid w:val="008A2F4D"/>
    <w:rsid w:val="008A3439"/>
    <w:rsid w:val="008A3587"/>
    <w:rsid w:val="008A3ABE"/>
    <w:rsid w:val="008A3FB1"/>
    <w:rsid w:val="008A3FCF"/>
    <w:rsid w:val="008A4417"/>
    <w:rsid w:val="008A4631"/>
    <w:rsid w:val="008A4FC1"/>
    <w:rsid w:val="008A50F4"/>
    <w:rsid w:val="008A5517"/>
    <w:rsid w:val="008A5589"/>
    <w:rsid w:val="008A58E7"/>
    <w:rsid w:val="008A5B26"/>
    <w:rsid w:val="008A5C6B"/>
    <w:rsid w:val="008A5EBD"/>
    <w:rsid w:val="008A5F25"/>
    <w:rsid w:val="008A5FDD"/>
    <w:rsid w:val="008A60CC"/>
    <w:rsid w:val="008A6173"/>
    <w:rsid w:val="008A6301"/>
    <w:rsid w:val="008A6571"/>
    <w:rsid w:val="008A66E7"/>
    <w:rsid w:val="008A686D"/>
    <w:rsid w:val="008A6ABF"/>
    <w:rsid w:val="008A6B82"/>
    <w:rsid w:val="008A6BA1"/>
    <w:rsid w:val="008A6C06"/>
    <w:rsid w:val="008A6DC9"/>
    <w:rsid w:val="008A6E11"/>
    <w:rsid w:val="008A6F01"/>
    <w:rsid w:val="008A7143"/>
    <w:rsid w:val="008A72F6"/>
    <w:rsid w:val="008A7427"/>
    <w:rsid w:val="008A79DB"/>
    <w:rsid w:val="008A7D85"/>
    <w:rsid w:val="008A7DCF"/>
    <w:rsid w:val="008A7E91"/>
    <w:rsid w:val="008B01BD"/>
    <w:rsid w:val="008B02F6"/>
    <w:rsid w:val="008B07C5"/>
    <w:rsid w:val="008B0B23"/>
    <w:rsid w:val="008B0CD5"/>
    <w:rsid w:val="008B0D5E"/>
    <w:rsid w:val="008B0FE4"/>
    <w:rsid w:val="008B10B9"/>
    <w:rsid w:val="008B11A6"/>
    <w:rsid w:val="008B15D2"/>
    <w:rsid w:val="008B175B"/>
    <w:rsid w:val="008B18E5"/>
    <w:rsid w:val="008B19AC"/>
    <w:rsid w:val="008B1BA2"/>
    <w:rsid w:val="008B1D70"/>
    <w:rsid w:val="008B1F2A"/>
    <w:rsid w:val="008B203A"/>
    <w:rsid w:val="008B2169"/>
    <w:rsid w:val="008B2310"/>
    <w:rsid w:val="008B23E4"/>
    <w:rsid w:val="008B28CC"/>
    <w:rsid w:val="008B2AAE"/>
    <w:rsid w:val="008B2B02"/>
    <w:rsid w:val="008B2D67"/>
    <w:rsid w:val="008B2E24"/>
    <w:rsid w:val="008B3177"/>
    <w:rsid w:val="008B36DA"/>
    <w:rsid w:val="008B36F1"/>
    <w:rsid w:val="008B399C"/>
    <w:rsid w:val="008B3A2C"/>
    <w:rsid w:val="008B3A43"/>
    <w:rsid w:val="008B3B99"/>
    <w:rsid w:val="008B3C2E"/>
    <w:rsid w:val="008B3D4D"/>
    <w:rsid w:val="008B3D8F"/>
    <w:rsid w:val="008B3E62"/>
    <w:rsid w:val="008B3F62"/>
    <w:rsid w:val="008B4119"/>
    <w:rsid w:val="008B4353"/>
    <w:rsid w:val="008B4529"/>
    <w:rsid w:val="008B4742"/>
    <w:rsid w:val="008B49AD"/>
    <w:rsid w:val="008B4B07"/>
    <w:rsid w:val="008B4D85"/>
    <w:rsid w:val="008B4E43"/>
    <w:rsid w:val="008B5189"/>
    <w:rsid w:val="008B5390"/>
    <w:rsid w:val="008B5505"/>
    <w:rsid w:val="008B5726"/>
    <w:rsid w:val="008B5A5A"/>
    <w:rsid w:val="008B5AD3"/>
    <w:rsid w:val="008B5B66"/>
    <w:rsid w:val="008B5CA4"/>
    <w:rsid w:val="008B5F7B"/>
    <w:rsid w:val="008B6021"/>
    <w:rsid w:val="008B63F2"/>
    <w:rsid w:val="008B66FF"/>
    <w:rsid w:val="008B6926"/>
    <w:rsid w:val="008B6AE8"/>
    <w:rsid w:val="008B6C36"/>
    <w:rsid w:val="008B738D"/>
    <w:rsid w:val="008B74A9"/>
    <w:rsid w:val="008B7962"/>
    <w:rsid w:val="008B79C7"/>
    <w:rsid w:val="008B7AA8"/>
    <w:rsid w:val="008B7C30"/>
    <w:rsid w:val="008B7EAC"/>
    <w:rsid w:val="008B7FE6"/>
    <w:rsid w:val="008C01C4"/>
    <w:rsid w:val="008C0369"/>
    <w:rsid w:val="008C0370"/>
    <w:rsid w:val="008C044F"/>
    <w:rsid w:val="008C0488"/>
    <w:rsid w:val="008C06FA"/>
    <w:rsid w:val="008C0912"/>
    <w:rsid w:val="008C0E3B"/>
    <w:rsid w:val="008C1092"/>
    <w:rsid w:val="008C11AA"/>
    <w:rsid w:val="008C12F6"/>
    <w:rsid w:val="008C1362"/>
    <w:rsid w:val="008C142A"/>
    <w:rsid w:val="008C14C8"/>
    <w:rsid w:val="008C1647"/>
    <w:rsid w:val="008C178A"/>
    <w:rsid w:val="008C178D"/>
    <w:rsid w:val="008C1B3E"/>
    <w:rsid w:val="008C1C7E"/>
    <w:rsid w:val="008C1E74"/>
    <w:rsid w:val="008C1F6B"/>
    <w:rsid w:val="008C2815"/>
    <w:rsid w:val="008C2819"/>
    <w:rsid w:val="008C2CE5"/>
    <w:rsid w:val="008C2D8A"/>
    <w:rsid w:val="008C2EB8"/>
    <w:rsid w:val="008C2F4F"/>
    <w:rsid w:val="008C2FAA"/>
    <w:rsid w:val="008C315E"/>
    <w:rsid w:val="008C3192"/>
    <w:rsid w:val="008C32CB"/>
    <w:rsid w:val="008C3333"/>
    <w:rsid w:val="008C3508"/>
    <w:rsid w:val="008C35E6"/>
    <w:rsid w:val="008C385F"/>
    <w:rsid w:val="008C3C23"/>
    <w:rsid w:val="008C40C4"/>
    <w:rsid w:val="008C4106"/>
    <w:rsid w:val="008C4245"/>
    <w:rsid w:val="008C43A8"/>
    <w:rsid w:val="008C4443"/>
    <w:rsid w:val="008C4545"/>
    <w:rsid w:val="008C46C1"/>
    <w:rsid w:val="008C4944"/>
    <w:rsid w:val="008C4C1D"/>
    <w:rsid w:val="008C55AD"/>
    <w:rsid w:val="008C5691"/>
    <w:rsid w:val="008C5833"/>
    <w:rsid w:val="008C586A"/>
    <w:rsid w:val="008C5903"/>
    <w:rsid w:val="008C5B42"/>
    <w:rsid w:val="008C5BAF"/>
    <w:rsid w:val="008C5C22"/>
    <w:rsid w:val="008C601F"/>
    <w:rsid w:val="008C62D6"/>
    <w:rsid w:val="008C65FC"/>
    <w:rsid w:val="008C6686"/>
    <w:rsid w:val="008C6755"/>
    <w:rsid w:val="008C6A27"/>
    <w:rsid w:val="008C6CE1"/>
    <w:rsid w:val="008C6D17"/>
    <w:rsid w:val="008C6EED"/>
    <w:rsid w:val="008C701A"/>
    <w:rsid w:val="008C70D9"/>
    <w:rsid w:val="008C7562"/>
    <w:rsid w:val="008C7789"/>
    <w:rsid w:val="008C77E7"/>
    <w:rsid w:val="008C7A10"/>
    <w:rsid w:val="008C7A67"/>
    <w:rsid w:val="008C7A99"/>
    <w:rsid w:val="008C7D3E"/>
    <w:rsid w:val="008C7E49"/>
    <w:rsid w:val="008D01F8"/>
    <w:rsid w:val="008D0408"/>
    <w:rsid w:val="008D0A1C"/>
    <w:rsid w:val="008D0A69"/>
    <w:rsid w:val="008D0B13"/>
    <w:rsid w:val="008D0C34"/>
    <w:rsid w:val="008D0D01"/>
    <w:rsid w:val="008D0F56"/>
    <w:rsid w:val="008D1115"/>
    <w:rsid w:val="008D114D"/>
    <w:rsid w:val="008D142A"/>
    <w:rsid w:val="008D1584"/>
    <w:rsid w:val="008D1628"/>
    <w:rsid w:val="008D197A"/>
    <w:rsid w:val="008D1CBD"/>
    <w:rsid w:val="008D25B8"/>
    <w:rsid w:val="008D25B9"/>
    <w:rsid w:val="008D2844"/>
    <w:rsid w:val="008D2B14"/>
    <w:rsid w:val="008D2CC2"/>
    <w:rsid w:val="008D2DDF"/>
    <w:rsid w:val="008D2E63"/>
    <w:rsid w:val="008D3410"/>
    <w:rsid w:val="008D3495"/>
    <w:rsid w:val="008D3660"/>
    <w:rsid w:val="008D3845"/>
    <w:rsid w:val="008D3D96"/>
    <w:rsid w:val="008D3DCF"/>
    <w:rsid w:val="008D3E1C"/>
    <w:rsid w:val="008D3E54"/>
    <w:rsid w:val="008D4036"/>
    <w:rsid w:val="008D4199"/>
    <w:rsid w:val="008D479D"/>
    <w:rsid w:val="008D47B3"/>
    <w:rsid w:val="008D4842"/>
    <w:rsid w:val="008D48DD"/>
    <w:rsid w:val="008D4AEF"/>
    <w:rsid w:val="008D4B60"/>
    <w:rsid w:val="008D4C54"/>
    <w:rsid w:val="008D4CC4"/>
    <w:rsid w:val="008D4E8A"/>
    <w:rsid w:val="008D501B"/>
    <w:rsid w:val="008D51B7"/>
    <w:rsid w:val="008D5360"/>
    <w:rsid w:val="008D5511"/>
    <w:rsid w:val="008D5554"/>
    <w:rsid w:val="008D55C2"/>
    <w:rsid w:val="008D55E9"/>
    <w:rsid w:val="008D566A"/>
    <w:rsid w:val="008D5794"/>
    <w:rsid w:val="008D5AEA"/>
    <w:rsid w:val="008D5B4F"/>
    <w:rsid w:val="008D5BE3"/>
    <w:rsid w:val="008D615E"/>
    <w:rsid w:val="008D62E8"/>
    <w:rsid w:val="008D633B"/>
    <w:rsid w:val="008D655F"/>
    <w:rsid w:val="008D6666"/>
    <w:rsid w:val="008D6900"/>
    <w:rsid w:val="008D69FA"/>
    <w:rsid w:val="008D6ACD"/>
    <w:rsid w:val="008D6B0B"/>
    <w:rsid w:val="008D6DB4"/>
    <w:rsid w:val="008D6E20"/>
    <w:rsid w:val="008D6E51"/>
    <w:rsid w:val="008D6E7A"/>
    <w:rsid w:val="008D6F75"/>
    <w:rsid w:val="008D7279"/>
    <w:rsid w:val="008D7439"/>
    <w:rsid w:val="008D7667"/>
    <w:rsid w:val="008D774F"/>
    <w:rsid w:val="008D7ECF"/>
    <w:rsid w:val="008E005B"/>
    <w:rsid w:val="008E0318"/>
    <w:rsid w:val="008E03C7"/>
    <w:rsid w:val="008E0449"/>
    <w:rsid w:val="008E0B0B"/>
    <w:rsid w:val="008E1141"/>
    <w:rsid w:val="008E152E"/>
    <w:rsid w:val="008E172D"/>
    <w:rsid w:val="008E18BD"/>
    <w:rsid w:val="008E1907"/>
    <w:rsid w:val="008E1C23"/>
    <w:rsid w:val="008E1D13"/>
    <w:rsid w:val="008E1D1A"/>
    <w:rsid w:val="008E1DA3"/>
    <w:rsid w:val="008E1EFB"/>
    <w:rsid w:val="008E1EFF"/>
    <w:rsid w:val="008E2A15"/>
    <w:rsid w:val="008E2D92"/>
    <w:rsid w:val="008E2F57"/>
    <w:rsid w:val="008E312D"/>
    <w:rsid w:val="008E32DC"/>
    <w:rsid w:val="008E359C"/>
    <w:rsid w:val="008E368E"/>
    <w:rsid w:val="008E36B7"/>
    <w:rsid w:val="008E398D"/>
    <w:rsid w:val="008E3D83"/>
    <w:rsid w:val="008E3E13"/>
    <w:rsid w:val="008E3E51"/>
    <w:rsid w:val="008E3E7D"/>
    <w:rsid w:val="008E3ED7"/>
    <w:rsid w:val="008E4095"/>
    <w:rsid w:val="008E4653"/>
    <w:rsid w:val="008E469C"/>
    <w:rsid w:val="008E4971"/>
    <w:rsid w:val="008E4A14"/>
    <w:rsid w:val="008E4CBD"/>
    <w:rsid w:val="008E4F38"/>
    <w:rsid w:val="008E505B"/>
    <w:rsid w:val="008E5561"/>
    <w:rsid w:val="008E5ACA"/>
    <w:rsid w:val="008E5AD4"/>
    <w:rsid w:val="008E5B32"/>
    <w:rsid w:val="008E5D4A"/>
    <w:rsid w:val="008E5DDD"/>
    <w:rsid w:val="008E622F"/>
    <w:rsid w:val="008E6255"/>
    <w:rsid w:val="008E625A"/>
    <w:rsid w:val="008E66C1"/>
    <w:rsid w:val="008E6723"/>
    <w:rsid w:val="008E67A6"/>
    <w:rsid w:val="008E6BC8"/>
    <w:rsid w:val="008E6C10"/>
    <w:rsid w:val="008E70DE"/>
    <w:rsid w:val="008E78AD"/>
    <w:rsid w:val="008E7D6D"/>
    <w:rsid w:val="008E7E8C"/>
    <w:rsid w:val="008F0239"/>
    <w:rsid w:val="008F0293"/>
    <w:rsid w:val="008F036B"/>
    <w:rsid w:val="008F047A"/>
    <w:rsid w:val="008F056E"/>
    <w:rsid w:val="008F071C"/>
    <w:rsid w:val="008F071E"/>
    <w:rsid w:val="008F0C15"/>
    <w:rsid w:val="008F0DEF"/>
    <w:rsid w:val="008F0ECF"/>
    <w:rsid w:val="008F114F"/>
    <w:rsid w:val="008F1527"/>
    <w:rsid w:val="008F1627"/>
    <w:rsid w:val="008F16E7"/>
    <w:rsid w:val="008F1961"/>
    <w:rsid w:val="008F19CC"/>
    <w:rsid w:val="008F1C36"/>
    <w:rsid w:val="008F1E7B"/>
    <w:rsid w:val="008F1FA2"/>
    <w:rsid w:val="008F2013"/>
    <w:rsid w:val="008F20F9"/>
    <w:rsid w:val="008F222C"/>
    <w:rsid w:val="008F277F"/>
    <w:rsid w:val="008F28AD"/>
    <w:rsid w:val="008F29D8"/>
    <w:rsid w:val="008F2B20"/>
    <w:rsid w:val="008F2DE2"/>
    <w:rsid w:val="008F2DE8"/>
    <w:rsid w:val="008F2E19"/>
    <w:rsid w:val="008F2E95"/>
    <w:rsid w:val="008F2FB1"/>
    <w:rsid w:val="008F33DB"/>
    <w:rsid w:val="008F347E"/>
    <w:rsid w:val="008F35B1"/>
    <w:rsid w:val="008F39CE"/>
    <w:rsid w:val="008F3A56"/>
    <w:rsid w:val="008F3AF5"/>
    <w:rsid w:val="008F3B6F"/>
    <w:rsid w:val="008F3D4B"/>
    <w:rsid w:val="008F3E15"/>
    <w:rsid w:val="008F42B1"/>
    <w:rsid w:val="008F44B9"/>
    <w:rsid w:val="008F46C5"/>
    <w:rsid w:val="008F4890"/>
    <w:rsid w:val="008F4BB1"/>
    <w:rsid w:val="008F4CB7"/>
    <w:rsid w:val="008F5140"/>
    <w:rsid w:val="008F521E"/>
    <w:rsid w:val="008F52C5"/>
    <w:rsid w:val="008F5312"/>
    <w:rsid w:val="008F5410"/>
    <w:rsid w:val="008F56FB"/>
    <w:rsid w:val="008F591B"/>
    <w:rsid w:val="008F59CB"/>
    <w:rsid w:val="008F5B36"/>
    <w:rsid w:val="008F5C7C"/>
    <w:rsid w:val="008F5E4C"/>
    <w:rsid w:val="008F5EC8"/>
    <w:rsid w:val="008F5FC5"/>
    <w:rsid w:val="008F6115"/>
    <w:rsid w:val="008F6129"/>
    <w:rsid w:val="008F625B"/>
    <w:rsid w:val="008F63FA"/>
    <w:rsid w:val="008F649B"/>
    <w:rsid w:val="008F6696"/>
    <w:rsid w:val="008F66F9"/>
    <w:rsid w:val="008F6A3B"/>
    <w:rsid w:val="008F700F"/>
    <w:rsid w:val="008F749C"/>
    <w:rsid w:val="008F76CD"/>
    <w:rsid w:val="008F77ED"/>
    <w:rsid w:val="008F7BB9"/>
    <w:rsid w:val="008F7DC8"/>
    <w:rsid w:val="008F7F58"/>
    <w:rsid w:val="008F7FD4"/>
    <w:rsid w:val="0090019D"/>
    <w:rsid w:val="00900375"/>
    <w:rsid w:val="009005B9"/>
    <w:rsid w:val="00900ACB"/>
    <w:rsid w:val="00900C46"/>
    <w:rsid w:val="00900F59"/>
    <w:rsid w:val="00900FA1"/>
    <w:rsid w:val="009010CE"/>
    <w:rsid w:val="00901266"/>
    <w:rsid w:val="0090134D"/>
    <w:rsid w:val="009013E6"/>
    <w:rsid w:val="009019D8"/>
    <w:rsid w:val="00901A52"/>
    <w:rsid w:val="00901B70"/>
    <w:rsid w:val="00901B76"/>
    <w:rsid w:val="00901B94"/>
    <w:rsid w:val="00901BAF"/>
    <w:rsid w:val="009023A2"/>
    <w:rsid w:val="00902576"/>
    <w:rsid w:val="00902861"/>
    <w:rsid w:val="00903096"/>
    <w:rsid w:val="0090345A"/>
    <w:rsid w:val="0090356B"/>
    <w:rsid w:val="009035CA"/>
    <w:rsid w:val="0090395E"/>
    <w:rsid w:val="0090399C"/>
    <w:rsid w:val="00903C6A"/>
    <w:rsid w:val="00903E1D"/>
    <w:rsid w:val="00903F2E"/>
    <w:rsid w:val="00903F6D"/>
    <w:rsid w:val="00903F70"/>
    <w:rsid w:val="00904250"/>
    <w:rsid w:val="00904363"/>
    <w:rsid w:val="0090438D"/>
    <w:rsid w:val="009043E7"/>
    <w:rsid w:val="0090477B"/>
    <w:rsid w:val="00904A68"/>
    <w:rsid w:val="00904F8A"/>
    <w:rsid w:val="00905080"/>
    <w:rsid w:val="009052BD"/>
    <w:rsid w:val="009053B5"/>
    <w:rsid w:val="00905444"/>
    <w:rsid w:val="009054A6"/>
    <w:rsid w:val="009055A6"/>
    <w:rsid w:val="00905798"/>
    <w:rsid w:val="00905866"/>
    <w:rsid w:val="0090598C"/>
    <w:rsid w:val="00905C13"/>
    <w:rsid w:val="00906049"/>
    <w:rsid w:val="009062E4"/>
    <w:rsid w:val="0090648F"/>
    <w:rsid w:val="00906704"/>
    <w:rsid w:val="00906914"/>
    <w:rsid w:val="0090696C"/>
    <w:rsid w:val="00906D4D"/>
    <w:rsid w:val="00906FE9"/>
    <w:rsid w:val="00906FFC"/>
    <w:rsid w:val="00907056"/>
    <w:rsid w:val="00907393"/>
    <w:rsid w:val="0090745A"/>
    <w:rsid w:val="00907502"/>
    <w:rsid w:val="00907678"/>
    <w:rsid w:val="00907FF1"/>
    <w:rsid w:val="009102A8"/>
    <w:rsid w:val="00910408"/>
    <w:rsid w:val="00910481"/>
    <w:rsid w:val="009104D2"/>
    <w:rsid w:val="009104EF"/>
    <w:rsid w:val="0091081F"/>
    <w:rsid w:val="009108D0"/>
    <w:rsid w:val="00910B3D"/>
    <w:rsid w:val="00910BBC"/>
    <w:rsid w:val="00910C40"/>
    <w:rsid w:val="00910C95"/>
    <w:rsid w:val="00910D22"/>
    <w:rsid w:val="00910D44"/>
    <w:rsid w:val="00910E11"/>
    <w:rsid w:val="00910E9D"/>
    <w:rsid w:val="0091136C"/>
    <w:rsid w:val="0091157A"/>
    <w:rsid w:val="0091158A"/>
    <w:rsid w:val="009118B2"/>
    <w:rsid w:val="009119F8"/>
    <w:rsid w:val="00911BC5"/>
    <w:rsid w:val="00912016"/>
    <w:rsid w:val="0091207E"/>
    <w:rsid w:val="0091208F"/>
    <w:rsid w:val="009121D9"/>
    <w:rsid w:val="0091222C"/>
    <w:rsid w:val="0091229F"/>
    <w:rsid w:val="00912A8D"/>
    <w:rsid w:val="00912B21"/>
    <w:rsid w:val="00912D56"/>
    <w:rsid w:val="00913354"/>
    <w:rsid w:val="00913559"/>
    <w:rsid w:val="00913759"/>
    <w:rsid w:val="0091379D"/>
    <w:rsid w:val="00913A24"/>
    <w:rsid w:val="00913C89"/>
    <w:rsid w:val="00913D89"/>
    <w:rsid w:val="00913E39"/>
    <w:rsid w:val="00913F04"/>
    <w:rsid w:val="00913FB1"/>
    <w:rsid w:val="0091413D"/>
    <w:rsid w:val="009141E0"/>
    <w:rsid w:val="009146D5"/>
    <w:rsid w:val="0091495C"/>
    <w:rsid w:val="00914BB2"/>
    <w:rsid w:val="00914EA3"/>
    <w:rsid w:val="009153FE"/>
    <w:rsid w:val="009154A9"/>
    <w:rsid w:val="0091550A"/>
    <w:rsid w:val="00915544"/>
    <w:rsid w:val="0091562F"/>
    <w:rsid w:val="00915B4D"/>
    <w:rsid w:val="00915F82"/>
    <w:rsid w:val="0091631D"/>
    <w:rsid w:val="00916428"/>
    <w:rsid w:val="009165F9"/>
    <w:rsid w:val="00916770"/>
    <w:rsid w:val="009167AD"/>
    <w:rsid w:val="00916B51"/>
    <w:rsid w:val="00916B57"/>
    <w:rsid w:val="00916C4D"/>
    <w:rsid w:val="00916DE6"/>
    <w:rsid w:val="009170CE"/>
    <w:rsid w:val="0091712C"/>
    <w:rsid w:val="0091724F"/>
    <w:rsid w:val="00917417"/>
    <w:rsid w:val="0091768F"/>
    <w:rsid w:val="009177BD"/>
    <w:rsid w:val="00917879"/>
    <w:rsid w:val="00917969"/>
    <w:rsid w:val="009179BE"/>
    <w:rsid w:val="00917A93"/>
    <w:rsid w:val="00917AFB"/>
    <w:rsid w:val="00917B8A"/>
    <w:rsid w:val="00917BB7"/>
    <w:rsid w:val="00917BE8"/>
    <w:rsid w:val="00917E47"/>
    <w:rsid w:val="00917E72"/>
    <w:rsid w:val="00917FDA"/>
    <w:rsid w:val="00920176"/>
    <w:rsid w:val="009206B5"/>
    <w:rsid w:val="009207DD"/>
    <w:rsid w:val="009208FE"/>
    <w:rsid w:val="00920B15"/>
    <w:rsid w:val="00920D07"/>
    <w:rsid w:val="00920EB4"/>
    <w:rsid w:val="00920F1F"/>
    <w:rsid w:val="00920FD9"/>
    <w:rsid w:val="0092100F"/>
    <w:rsid w:val="00921440"/>
    <w:rsid w:val="009214D2"/>
    <w:rsid w:val="00921522"/>
    <w:rsid w:val="009219B4"/>
    <w:rsid w:val="00921B8A"/>
    <w:rsid w:val="00921C7E"/>
    <w:rsid w:val="00921E4C"/>
    <w:rsid w:val="00921E9F"/>
    <w:rsid w:val="0092202C"/>
    <w:rsid w:val="00922349"/>
    <w:rsid w:val="009224AB"/>
    <w:rsid w:val="009225FE"/>
    <w:rsid w:val="00922831"/>
    <w:rsid w:val="00922A7C"/>
    <w:rsid w:val="00922D30"/>
    <w:rsid w:val="009236AD"/>
    <w:rsid w:val="00923A3A"/>
    <w:rsid w:val="00923C31"/>
    <w:rsid w:val="00923EF5"/>
    <w:rsid w:val="0092405A"/>
    <w:rsid w:val="009240D4"/>
    <w:rsid w:val="0092415C"/>
    <w:rsid w:val="00924178"/>
    <w:rsid w:val="00924533"/>
    <w:rsid w:val="009246DC"/>
    <w:rsid w:val="00924896"/>
    <w:rsid w:val="009249E0"/>
    <w:rsid w:val="00924CDD"/>
    <w:rsid w:val="00925000"/>
    <w:rsid w:val="0092547F"/>
    <w:rsid w:val="00925523"/>
    <w:rsid w:val="00925DAB"/>
    <w:rsid w:val="00925EFF"/>
    <w:rsid w:val="0092614F"/>
    <w:rsid w:val="009263BB"/>
    <w:rsid w:val="00926442"/>
    <w:rsid w:val="0092646A"/>
    <w:rsid w:val="009264A2"/>
    <w:rsid w:val="00926744"/>
    <w:rsid w:val="00926A39"/>
    <w:rsid w:val="00926B0C"/>
    <w:rsid w:val="00926DC4"/>
    <w:rsid w:val="00927212"/>
    <w:rsid w:val="0092737C"/>
    <w:rsid w:val="00927389"/>
    <w:rsid w:val="009274E5"/>
    <w:rsid w:val="00927601"/>
    <w:rsid w:val="00927702"/>
    <w:rsid w:val="00927966"/>
    <w:rsid w:val="00927BC5"/>
    <w:rsid w:val="00927D1C"/>
    <w:rsid w:val="00927D98"/>
    <w:rsid w:val="0093006C"/>
    <w:rsid w:val="009300BE"/>
    <w:rsid w:val="0093049D"/>
    <w:rsid w:val="009308F9"/>
    <w:rsid w:val="009308FF"/>
    <w:rsid w:val="00930CA1"/>
    <w:rsid w:val="00930DA7"/>
    <w:rsid w:val="0093106A"/>
    <w:rsid w:val="00931087"/>
    <w:rsid w:val="009310AA"/>
    <w:rsid w:val="00931104"/>
    <w:rsid w:val="00931194"/>
    <w:rsid w:val="009312BF"/>
    <w:rsid w:val="009314C6"/>
    <w:rsid w:val="009318A6"/>
    <w:rsid w:val="00931F3C"/>
    <w:rsid w:val="00932010"/>
    <w:rsid w:val="009322DB"/>
    <w:rsid w:val="009322F6"/>
    <w:rsid w:val="0093254B"/>
    <w:rsid w:val="00932C50"/>
    <w:rsid w:val="00932D66"/>
    <w:rsid w:val="00932E3A"/>
    <w:rsid w:val="00933089"/>
    <w:rsid w:val="00933109"/>
    <w:rsid w:val="0093313C"/>
    <w:rsid w:val="009333F5"/>
    <w:rsid w:val="009334BB"/>
    <w:rsid w:val="009335DC"/>
    <w:rsid w:val="009337B4"/>
    <w:rsid w:val="0093380B"/>
    <w:rsid w:val="00933D42"/>
    <w:rsid w:val="00934217"/>
    <w:rsid w:val="009343C3"/>
    <w:rsid w:val="009345E8"/>
    <w:rsid w:val="009345FD"/>
    <w:rsid w:val="00934704"/>
    <w:rsid w:val="00934794"/>
    <w:rsid w:val="009348FF"/>
    <w:rsid w:val="00934B90"/>
    <w:rsid w:val="00935301"/>
    <w:rsid w:val="0093581A"/>
    <w:rsid w:val="0093588D"/>
    <w:rsid w:val="00935E4B"/>
    <w:rsid w:val="009360D1"/>
    <w:rsid w:val="00936372"/>
    <w:rsid w:val="009366FB"/>
    <w:rsid w:val="0093674D"/>
    <w:rsid w:val="00936B94"/>
    <w:rsid w:val="00936F12"/>
    <w:rsid w:val="0093718C"/>
    <w:rsid w:val="009372C9"/>
    <w:rsid w:val="00937381"/>
    <w:rsid w:val="009377A9"/>
    <w:rsid w:val="00937843"/>
    <w:rsid w:val="00937894"/>
    <w:rsid w:val="00937DCC"/>
    <w:rsid w:val="00937EE2"/>
    <w:rsid w:val="0094028D"/>
    <w:rsid w:val="009405C5"/>
    <w:rsid w:val="00940636"/>
    <w:rsid w:val="00940638"/>
    <w:rsid w:val="00940663"/>
    <w:rsid w:val="00940879"/>
    <w:rsid w:val="00940894"/>
    <w:rsid w:val="0094096B"/>
    <w:rsid w:val="009409C8"/>
    <w:rsid w:val="00940A83"/>
    <w:rsid w:val="00940B2A"/>
    <w:rsid w:val="00941245"/>
    <w:rsid w:val="0094134F"/>
    <w:rsid w:val="00941360"/>
    <w:rsid w:val="00941403"/>
    <w:rsid w:val="00941447"/>
    <w:rsid w:val="009415CB"/>
    <w:rsid w:val="00941D15"/>
    <w:rsid w:val="00941DE6"/>
    <w:rsid w:val="00942025"/>
    <w:rsid w:val="009420AC"/>
    <w:rsid w:val="009420E7"/>
    <w:rsid w:val="0094218C"/>
    <w:rsid w:val="009422D2"/>
    <w:rsid w:val="00942594"/>
    <w:rsid w:val="009427CF"/>
    <w:rsid w:val="00942988"/>
    <w:rsid w:val="00942ABE"/>
    <w:rsid w:val="00942BFA"/>
    <w:rsid w:val="00942CBE"/>
    <w:rsid w:val="00943042"/>
    <w:rsid w:val="009432DD"/>
    <w:rsid w:val="009432F6"/>
    <w:rsid w:val="0094337E"/>
    <w:rsid w:val="009433BD"/>
    <w:rsid w:val="0094350F"/>
    <w:rsid w:val="0094387B"/>
    <w:rsid w:val="00943AF1"/>
    <w:rsid w:val="00943B64"/>
    <w:rsid w:val="00943BD3"/>
    <w:rsid w:val="00943F9D"/>
    <w:rsid w:val="00943FAD"/>
    <w:rsid w:val="0094407B"/>
    <w:rsid w:val="00944101"/>
    <w:rsid w:val="00944625"/>
    <w:rsid w:val="0094462F"/>
    <w:rsid w:val="009447E4"/>
    <w:rsid w:val="009449B0"/>
    <w:rsid w:val="00944ACA"/>
    <w:rsid w:val="00944E8D"/>
    <w:rsid w:val="009452B4"/>
    <w:rsid w:val="009452C2"/>
    <w:rsid w:val="009453B4"/>
    <w:rsid w:val="009453DF"/>
    <w:rsid w:val="00945589"/>
    <w:rsid w:val="009455D5"/>
    <w:rsid w:val="0094582C"/>
    <w:rsid w:val="00945852"/>
    <w:rsid w:val="00945906"/>
    <w:rsid w:val="00945BE8"/>
    <w:rsid w:val="00945EEA"/>
    <w:rsid w:val="00945F61"/>
    <w:rsid w:val="009460AB"/>
    <w:rsid w:val="0094623A"/>
    <w:rsid w:val="00946253"/>
    <w:rsid w:val="009462EA"/>
    <w:rsid w:val="00946390"/>
    <w:rsid w:val="009463BA"/>
    <w:rsid w:val="009463CA"/>
    <w:rsid w:val="00946467"/>
    <w:rsid w:val="00946720"/>
    <w:rsid w:val="00946C80"/>
    <w:rsid w:val="00946FF1"/>
    <w:rsid w:val="00947256"/>
    <w:rsid w:val="00947638"/>
    <w:rsid w:val="00947732"/>
    <w:rsid w:val="0094779C"/>
    <w:rsid w:val="0094797C"/>
    <w:rsid w:val="00947A83"/>
    <w:rsid w:val="00947B85"/>
    <w:rsid w:val="00947F1F"/>
    <w:rsid w:val="00950042"/>
    <w:rsid w:val="0095033E"/>
    <w:rsid w:val="00950421"/>
    <w:rsid w:val="0095045C"/>
    <w:rsid w:val="00950488"/>
    <w:rsid w:val="009507C5"/>
    <w:rsid w:val="00950C8C"/>
    <w:rsid w:val="00950E72"/>
    <w:rsid w:val="00950F3B"/>
    <w:rsid w:val="009518BC"/>
    <w:rsid w:val="009518F1"/>
    <w:rsid w:val="00951928"/>
    <w:rsid w:val="00951A35"/>
    <w:rsid w:val="00951B57"/>
    <w:rsid w:val="00951C1B"/>
    <w:rsid w:val="00951DEB"/>
    <w:rsid w:val="00951E4A"/>
    <w:rsid w:val="00951F0C"/>
    <w:rsid w:val="00952162"/>
    <w:rsid w:val="00952465"/>
    <w:rsid w:val="009528E2"/>
    <w:rsid w:val="00952913"/>
    <w:rsid w:val="009529A8"/>
    <w:rsid w:val="00952B4E"/>
    <w:rsid w:val="00952BE5"/>
    <w:rsid w:val="00952D09"/>
    <w:rsid w:val="00952D99"/>
    <w:rsid w:val="00952D9A"/>
    <w:rsid w:val="00953334"/>
    <w:rsid w:val="0095333B"/>
    <w:rsid w:val="00953606"/>
    <w:rsid w:val="0095362F"/>
    <w:rsid w:val="00953669"/>
    <w:rsid w:val="009538D6"/>
    <w:rsid w:val="00953932"/>
    <w:rsid w:val="00953BA1"/>
    <w:rsid w:val="00953BF0"/>
    <w:rsid w:val="00953C42"/>
    <w:rsid w:val="00953E6D"/>
    <w:rsid w:val="00954530"/>
    <w:rsid w:val="00954706"/>
    <w:rsid w:val="00954E6B"/>
    <w:rsid w:val="0095500F"/>
    <w:rsid w:val="0095536E"/>
    <w:rsid w:val="00955392"/>
    <w:rsid w:val="009554AC"/>
    <w:rsid w:val="009554FA"/>
    <w:rsid w:val="00955554"/>
    <w:rsid w:val="009555FE"/>
    <w:rsid w:val="00955739"/>
    <w:rsid w:val="0095589B"/>
    <w:rsid w:val="009559C9"/>
    <w:rsid w:val="00955AB5"/>
    <w:rsid w:val="00955ACB"/>
    <w:rsid w:val="009560AE"/>
    <w:rsid w:val="00956430"/>
    <w:rsid w:val="00956A23"/>
    <w:rsid w:val="00956DE1"/>
    <w:rsid w:val="00956F45"/>
    <w:rsid w:val="009572EB"/>
    <w:rsid w:val="009574E3"/>
    <w:rsid w:val="009575D0"/>
    <w:rsid w:val="00957C4C"/>
    <w:rsid w:val="00957E2B"/>
    <w:rsid w:val="00957EAC"/>
    <w:rsid w:val="00957EF6"/>
    <w:rsid w:val="00957FFD"/>
    <w:rsid w:val="009600D4"/>
    <w:rsid w:val="009605EA"/>
    <w:rsid w:val="00960780"/>
    <w:rsid w:val="00960D53"/>
    <w:rsid w:val="00961007"/>
    <w:rsid w:val="009612CC"/>
    <w:rsid w:val="0096170E"/>
    <w:rsid w:val="009618F0"/>
    <w:rsid w:val="00961B45"/>
    <w:rsid w:val="00961B90"/>
    <w:rsid w:val="00961BB5"/>
    <w:rsid w:val="00961CD1"/>
    <w:rsid w:val="00961F56"/>
    <w:rsid w:val="00962065"/>
    <w:rsid w:val="00963059"/>
    <w:rsid w:val="009631BC"/>
    <w:rsid w:val="00963276"/>
    <w:rsid w:val="00963368"/>
    <w:rsid w:val="00963585"/>
    <w:rsid w:val="009635C8"/>
    <w:rsid w:val="00963A33"/>
    <w:rsid w:val="00963B86"/>
    <w:rsid w:val="00963BFC"/>
    <w:rsid w:val="00963D5D"/>
    <w:rsid w:val="00963F7D"/>
    <w:rsid w:val="0096414E"/>
    <w:rsid w:val="0096428A"/>
    <w:rsid w:val="009646FE"/>
    <w:rsid w:val="00964B08"/>
    <w:rsid w:val="00964DD3"/>
    <w:rsid w:val="00964EF7"/>
    <w:rsid w:val="0096508C"/>
    <w:rsid w:val="009653C8"/>
    <w:rsid w:val="009654EF"/>
    <w:rsid w:val="0096550F"/>
    <w:rsid w:val="009655D2"/>
    <w:rsid w:val="00965666"/>
    <w:rsid w:val="009656F3"/>
    <w:rsid w:val="009658ED"/>
    <w:rsid w:val="009659C0"/>
    <w:rsid w:val="00965D60"/>
    <w:rsid w:val="00965F1B"/>
    <w:rsid w:val="00965FB1"/>
    <w:rsid w:val="009660DE"/>
    <w:rsid w:val="009665D0"/>
    <w:rsid w:val="00966665"/>
    <w:rsid w:val="009667B2"/>
    <w:rsid w:val="00966CA2"/>
    <w:rsid w:val="00966F60"/>
    <w:rsid w:val="00966F7E"/>
    <w:rsid w:val="0096707B"/>
    <w:rsid w:val="0096730E"/>
    <w:rsid w:val="009676BD"/>
    <w:rsid w:val="00967BE7"/>
    <w:rsid w:val="00967F98"/>
    <w:rsid w:val="0097002D"/>
    <w:rsid w:val="0097005C"/>
    <w:rsid w:val="00970463"/>
    <w:rsid w:val="0097057F"/>
    <w:rsid w:val="009708FE"/>
    <w:rsid w:val="009709CA"/>
    <w:rsid w:val="00970A67"/>
    <w:rsid w:val="00970F47"/>
    <w:rsid w:val="0097100A"/>
    <w:rsid w:val="00971288"/>
    <w:rsid w:val="00971447"/>
    <w:rsid w:val="009715B8"/>
    <w:rsid w:val="00971D92"/>
    <w:rsid w:val="00971EFF"/>
    <w:rsid w:val="00971FD7"/>
    <w:rsid w:val="00972384"/>
    <w:rsid w:val="00972428"/>
    <w:rsid w:val="00972491"/>
    <w:rsid w:val="0097259D"/>
    <w:rsid w:val="0097260C"/>
    <w:rsid w:val="0097277A"/>
    <w:rsid w:val="009729B1"/>
    <w:rsid w:val="00972B9C"/>
    <w:rsid w:val="00972C30"/>
    <w:rsid w:val="00972C6B"/>
    <w:rsid w:val="00972EBF"/>
    <w:rsid w:val="00972EEA"/>
    <w:rsid w:val="00972F43"/>
    <w:rsid w:val="00972F47"/>
    <w:rsid w:val="0097314B"/>
    <w:rsid w:val="0097323D"/>
    <w:rsid w:val="009733B7"/>
    <w:rsid w:val="009734AE"/>
    <w:rsid w:val="0097386D"/>
    <w:rsid w:val="00973A6C"/>
    <w:rsid w:val="00973AE2"/>
    <w:rsid w:val="00973B5D"/>
    <w:rsid w:val="009745D4"/>
    <w:rsid w:val="00974C32"/>
    <w:rsid w:val="00974D47"/>
    <w:rsid w:val="00974DBF"/>
    <w:rsid w:val="00975301"/>
    <w:rsid w:val="009753AF"/>
    <w:rsid w:val="009753C8"/>
    <w:rsid w:val="009755FF"/>
    <w:rsid w:val="00975605"/>
    <w:rsid w:val="009756B9"/>
    <w:rsid w:val="0097646A"/>
    <w:rsid w:val="00976873"/>
    <w:rsid w:val="00976AB3"/>
    <w:rsid w:val="00976AFD"/>
    <w:rsid w:val="00977370"/>
    <w:rsid w:val="0097746C"/>
    <w:rsid w:val="009778AE"/>
    <w:rsid w:val="00977AB5"/>
    <w:rsid w:val="009801EE"/>
    <w:rsid w:val="0098074D"/>
    <w:rsid w:val="00980926"/>
    <w:rsid w:val="0098098A"/>
    <w:rsid w:val="009809AB"/>
    <w:rsid w:val="00980B7E"/>
    <w:rsid w:val="00980EFC"/>
    <w:rsid w:val="00980FB5"/>
    <w:rsid w:val="009810FE"/>
    <w:rsid w:val="00981231"/>
    <w:rsid w:val="0098158D"/>
    <w:rsid w:val="00981774"/>
    <w:rsid w:val="009819F7"/>
    <w:rsid w:val="00981CB6"/>
    <w:rsid w:val="00981DC4"/>
    <w:rsid w:val="009820E3"/>
    <w:rsid w:val="0098271E"/>
    <w:rsid w:val="00982763"/>
    <w:rsid w:val="009827D3"/>
    <w:rsid w:val="00982A5F"/>
    <w:rsid w:val="00982C7F"/>
    <w:rsid w:val="0098322A"/>
    <w:rsid w:val="00983619"/>
    <w:rsid w:val="00983732"/>
    <w:rsid w:val="00983A7C"/>
    <w:rsid w:val="00983BA4"/>
    <w:rsid w:val="00983DA0"/>
    <w:rsid w:val="00984065"/>
    <w:rsid w:val="009842A0"/>
    <w:rsid w:val="0098468A"/>
    <w:rsid w:val="00984790"/>
    <w:rsid w:val="009847DA"/>
    <w:rsid w:val="009849F3"/>
    <w:rsid w:val="00984B19"/>
    <w:rsid w:val="00984E4F"/>
    <w:rsid w:val="009851E3"/>
    <w:rsid w:val="0098526B"/>
    <w:rsid w:val="00985BBB"/>
    <w:rsid w:val="00985FD8"/>
    <w:rsid w:val="009860AA"/>
    <w:rsid w:val="009860DF"/>
    <w:rsid w:val="00986606"/>
    <w:rsid w:val="00986983"/>
    <w:rsid w:val="00986A09"/>
    <w:rsid w:val="00986AF9"/>
    <w:rsid w:val="00986B54"/>
    <w:rsid w:val="00986CF1"/>
    <w:rsid w:val="00986D2B"/>
    <w:rsid w:val="00987006"/>
    <w:rsid w:val="00987426"/>
    <w:rsid w:val="009875E4"/>
    <w:rsid w:val="00987A43"/>
    <w:rsid w:val="00987A91"/>
    <w:rsid w:val="00987AD7"/>
    <w:rsid w:val="00987B99"/>
    <w:rsid w:val="00987E78"/>
    <w:rsid w:val="00990056"/>
    <w:rsid w:val="0099023E"/>
    <w:rsid w:val="009903E5"/>
    <w:rsid w:val="009904FF"/>
    <w:rsid w:val="009906AB"/>
    <w:rsid w:val="00990755"/>
    <w:rsid w:val="0099092F"/>
    <w:rsid w:val="00990BCD"/>
    <w:rsid w:val="00990DF4"/>
    <w:rsid w:val="00990E9C"/>
    <w:rsid w:val="00991559"/>
    <w:rsid w:val="00991583"/>
    <w:rsid w:val="00991987"/>
    <w:rsid w:val="00991AEF"/>
    <w:rsid w:val="00991B26"/>
    <w:rsid w:val="00991BFE"/>
    <w:rsid w:val="00991D32"/>
    <w:rsid w:val="00991F14"/>
    <w:rsid w:val="009922B4"/>
    <w:rsid w:val="00992DA2"/>
    <w:rsid w:val="00992E3A"/>
    <w:rsid w:val="00992EC1"/>
    <w:rsid w:val="00993050"/>
    <w:rsid w:val="009930F0"/>
    <w:rsid w:val="009931FE"/>
    <w:rsid w:val="00993294"/>
    <w:rsid w:val="009933E1"/>
    <w:rsid w:val="00993514"/>
    <w:rsid w:val="009935AF"/>
    <w:rsid w:val="009935D3"/>
    <w:rsid w:val="0099363E"/>
    <w:rsid w:val="00993724"/>
    <w:rsid w:val="00993A09"/>
    <w:rsid w:val="00993CBE"/>
    <w:rsid w:val="00993E0F"/>
    <w:rsid w:val="00993E3E"/>
    <w:rsid w:val="00993F8E"/>
    <w:rsid w:val="009942F2"/>
    <w:rsid w:val="00994389"/>
    <w:rsid w:val="0099441B"/>
    <w:rsid w:val="0099445C"/>
    <w:rsid w:val="00994515"/>
    <w:rsid w:val="0099462A"/>
    <w:rsid w:val="009948E0"/>
    <w:rsid w:val="0099498B"/>
    <w:rsid w:val="00994FE2"/>
    <w:rsid w:val="0099556A"/>
    <w:rsid w:val="009957B7"/>
    <w:rsid w:val="00995CA4"/>
    <w:rsid w:val="00996038"/>
    <w:rsid w:val="009961F4"/>
    <w:rsid w:val="0099632A"/>
    <w:rsid w:val="0099652A"/>
    <w:rsid w:val="009968B1"/>
    <w:rsid w:val="009968EC"/>
    <w:rsid w:val="00996C6B"/>
    <w:rsid w:val="00996E15"/>
    <w:rsid w:val="00996E23"/>
    <w:rsid w:val="00996EA9"/>
    <w:rsid w:val="00997305"/>
    <w:rsid w:val="00997376"/>
    <w:rsid w:val="009973BF"/>
    <w:rsid w:val="0099754C"/>
    <w:rsid w:val="00997649"/>
    <w:rsid w:val="0099772D"/>
    <w:rsid w:val="00997773"/>
    <w:rsid w:val="00997904"/>
    <w:rsid w:val="0099793B"/>
    <w:rsid w:val="00997AF5"/>
    <w:rsid w:val="00997BAB"/>
    <w:rsid w:val="00997EE8"/>
    <w:rsid w:val="009A0220"/>
    <w:rsid w:val="009A0282"/>
    <w:rsid w:val="009A028B"/>
    <w:rsid w:val="009A02DD"/>
    <w:rsid w:val="009A0443"/>
    <w:rsid w:val="009A0483"/>
    <w:rsid w:val="009A04D2"/>
    <w:rsid w:val="009A065A"/>
    <w:rsid w:val="009A079A"/>
    <w:rsid w:val="009A08B1"/>
    <w:rsid w:val="009A08E8"/>
    <w:rsid w:val="009A0A88"/>
    <w:rsid w:val="009A0B40"/>
    <w:rsid w:val="009A0B87"/>
    <w:rsid w:val="009A0F50"/>
    <w:rsid w:val="009A13F9"/>
    <w:rsid w:val="009A17AF"/>
    <w:rsid w:val="009A1865"/>
    <w:rsid w:val="009A189F"/>
    <w:rsid w:val="009A1AB0"/>
    <w:rsid w:val="009A1CF8"/>
    <w:rsid w:val="009A1D1A"/>
    <w:rsid w:val="009A1E27"/>
    <w:rsid w:val="009A1E5F"/>
    <w:rsid w:val="009A1F2E"/>
    <w:rsid w:val="009A1F7C"/>
    <w:rsid w:val="009A1F8D"/>
    <w:rsid w:val="009A21AE"/>
    <w:rsid w:val="009A2271"/>
    <w:rsid w:val="009A2307"/>
    <w:rsid w:val="009A2550"/>
    <w:rsid w:val="009A26B4"/>
    <w:rsid w:val="009A26F8"/>
    <w:rsid w:val="009A2894"/>
    <w:rsid w:val="009A2B5E"/>
    <w:rsid w:val="009A2B62"/>
    <w:rsid w:val="009A2C96"/>
    <w:rsid w:val="009A2FB5"/>
    <w:rsid w:val="009A3005"/>
    <w:rsid w:val="009A31C5"/>
    <w:rsid w:val="009A31E8"/>
    <w:rsid w:val="009A31F8"/>
    <w:rsid w:val="009A320B"/>
    <w:rsid w:val="009A33A2"/>
    <w:rsid w:val="009A35D5"/>
    <w:rsid w:val="009A35EA"/>
    <w:rsid w:val="009A39C6"/>
    <w:rsid w:val="009A3D45"/>
    <w:rsid w:val="009A3DED"/>
    <w:rsid w:val="009A402F"/>
    <w:rsid w:val="009A408F"/>
    <w:rsid w:val="009A4145"/>
    <w:rsid w:val="009A4258"/>
    <w:rsid w:val="009A4307"/>
    <w:rsid w:val="009A45E9"/>
    <w:rsid w:val="009A4773"/>
    <w:rsid w:val="009A4964"/>
    <w:rsid w:val="009A4AAE"/>
    <w:rsid w:val="009A4B49"/>
    <w:rsid w:val="009A4BFD"/>
    <w:rsid w:val="009A4C46"/>
    <w:rsid w:val="009A550D"/>
    <w:rsid w:val="009A55E2"/>
    <w:rsid w:val="009A57A7"/>
    <w:rsid w:val="009A57B7"/>
    <w:rsid w:val="009A588E"/>
    <w:rsid w:val="009A5983"/>
    <w:rsid w:val="009A5F4A"/>
    <w:rsid w:val="009A612A"/>
    <w:rsid w:val="009A61EE"/>
    <w:rsid w:val="009A640D"/>
    <w:rsid w:val="009A694C"/>
    <w:rsid w:val="009A6987"/>
    <w:rsid w:val="009A6A86"/>
    <w:rsid w:val="009A6D4E"/>
    <w:rsid w:val="009A6DDB"/>
    <w:rsid w:val="009A6F3A"/>
    <w:rsid w:val="009A7252"/>
    <w:rsid w:val="009A7291"/>
    <w:rsid w:val="009A7401"/>
    <w:rsid w:val="009A752B"/>
    <w:rsid w:val="009A7EB3"/>
    <w:rsid w:val="009A7F60"/>
    <w:rsid w:val="009A7F77"/>
    <w:rsid w:val="009B0151"/>
    <w:rsid w:val="009B01B0"/>
    <w:rsid w:val="009B0386"/>
    <w:rsid w:val="009B053F"/>
    <w:rsid w:val="009B09C1"/>
    <w:rsid w:val="009B09EC"/>
    <w:rsid w:val="009B1044"/>
    <w:rsid w:val="009B1A62"/>
    <w:rsid w:val="009B1A7A"/>
    <w:rsid w:val="009B1C39"/>
    <w:rsid w:val="009B1E38"/>
    <w:rsid w:val="009B1FFD"/>
    <w:rsid w:val="009B206F"/>
    <w:rsid w:val="009B225C"/>
    <w:rsid w:val="009B22E1"/>
    <w:rsid w:val="009B245F"/>
    <w:rsid w:val="009B259D"/>
    <w:rsid w:val="009B2740"/>
    <w:rsid w:val="009B2ADA"/>
    <w:rsid w:val="009B2B96"/>
    <w:rsid w:val="009B2EA5"/>
    <w:rsid w:val="009B3116"/>
    <w:rsid w:val="009B33B1"/>
    <w:rsid w:val="009B3968"/>
    <w:rsid w:val="009B3B45"/>
    <w:rsid w:val="009B3F38"/>
    <w:rsid w:val="009B4050"/>
    <w:rsid w:val="009B4084"/>
    <w:rsid w:val="009B435A"/>
    <w:rsid w:val="009B4696"/>
    <w:rsid w:val="009B47B0"/>
    <w:rsid w:val="009B495D"/>
    <w:rsid w:val="009B4A06"/>
    <w:rsid w:val="009B4C4C"/>
    <w:rsid w:val="009B4ECB"/>
    <w:rsid w:val="009B4ED1"/>
    <w:rsid w:val="009B4F3C"/>
    <w:rsid w:val="009B5590"/>
    <w:rsid w:val="009B55AE"/>
    <w:rsid w:val="009B5ABF"/>
    <w:rsid w:val="009B5B6C"/>
    <w:rsid w:val="009B633D"/>
    <w:rsid w:val="009B666F"/>
    <w:rsid w:val="009B682F"/>
    <w:rsid w:val="009B68B8"/>
    <w:rsid w:val="009B6B0C"/>
    <w:rsid w:val="009B6D4D"/>
    <w:rsid w:val="009B6D74"/>
    <w:rsid w:val="009B6DAE"/>
    <w:rsid w:val="009B6E02"/>
    <w:rsid w:val="009B6E97"/>
    <w:rsid w:val="009B6EA1"/>
    <w:rsid w:val="009B730F"/>
    <w:rsid w:val="009B7644"/>
    <w:rsid w:val="009B7B0D"/>
    <w:rsid w:val="009B7B37"/>
    <w:rsid w:val="009B7FC8"/>
    <w:rsid w:val="009C00F4"/>
    <w:rsid w:val="009C02EB"/>
    <w:rsid w:val="009C0305"/>
    <w:rsid w:val="009C03CD"/>
    <w:rsid w:val="009C0644"/>
    <w:rsid w:val="009C085C"/>
    <w:rsid w:val="009C09E5"/>
    <w:rsid w:val="009C0C9C"/>
    <w:rsid w:val="009C0D7E"/>
    <w:rsid w:val="009C0EEC"/>
    <w:rsid w:val="009C0F84"/>
    <w:rsid w:val="009C119E"/>
    <w:rsid w:val="009C11AB"/>
    <w:rsid w:val="009C15D2"/>
    <w:rsid w:val="009C16F2"/>
    <w:rsid w:val="009C1A07"/>
    <w:rsid w:val="009C2036"/>
    <w:rsid w:val="009C2047"/>
    <w:rsid w:val="009C213A"/>
    <w:rsid w:val="009C25D9"/>
    <w:rsid w:val="009C287D"/>
    <w:rsid w:val="009C2F02"/>
    <w:rsid w:val="009C30D9"/>
    <w:rsid w:val="009C31C9"/>
    <w:rsid w:val="009C3584"/>
    <w:rsid w:val="009C38A0"/>
    <w:rsid w:val="009C3F98"/>
    <w:rsid w:val="009C434D"/>
    <w:rsid w:val="009C4D24"/>
    <w:rsid w:val="009C4F2D"/>
    <w:rsid w:val="009C515D"/>
    <w:rsid w:val="009C5225"/>
    <w:rsid w:val="009C52B1"/>
    <w:rsid w:val="009C547E"/>
    <w:rsid w:val="009C5766"/>
    <w:rsid w:val="009C5AE3"/>
    <w:rsid w:val="009C5C7D"/>
    <w:rsid w:val="009C6022"/>
    <w:rsid w:val="009C6158"/>
    <w:rsid w:val="009C61D2"/>
    <w:rsid w:val="009C6252"/>
    <w:rsid w:val="009C635A"/>
    <w:rsid w:val="009C69E4"/>
    <w:rsid w:val="009C6E0D"/>
    <w:rsid w:val="009C70A9"/>
    <w:rsid w:val="009C7313"/>
    <w:rsid w:val="009C77B0"/>
    <w:rsid w:val="009C78A1"/>
    <w:rsid w:val="009C7C7F"/>
    <w:rsid w:val="009C7FFB"/>
    <w:rsid w:val="009D003C"/>
    <w:rsid w:val="009D021A"/>
    <w:rsid w:val="009D044F"/>
    <w:rsid w:val="009D08DB"/>
    <w:rsid w:val="009D092D"/>
    <w:rsid w:val="009D0935"/>
    <w:rsid w:val="009D0ABB"/>
    <w:rsid w:val="009D0F14"/>
    <w:rsid w:val="009D0F4D"/>
    <w:rsid w:val="009D1076"/>
    <w:rsid w:val="009D1167"/>
    <w:rsid w:val="009D127F"/>
    <w:rsid w:val="009D17E7"/>
    <w:rsid w:val="009D1AAC"/>
    <w:rsid w:val="009D1FA6"/>
    <w:rsid w:val="009D213A"/>
    <w:rsid w:val="009D22F6"/>
    <w:rsid w:val="009D2427"/>
    <w:rsid w:val="009D26C4"/>
    <w:rsid w:val="009D2872"/>
    <w:rsid w:val="009D2B5C"/>
    <w:rsid w:val="009D2D07"/>
    <w:rsid w:val="009D2DF8"/>
    <w:rsid w:val="009D2DFE"/>
    <w:rsid w:val="009D307C"/>
    <w:rsid w:val="009D3127"/>
    <w:rsid w:val="009D33BF"/>
    <w:rsid w:val="009D3438"/>
    <w:rsid w:val="009D35E3"/>
    <w:rsid w:val="009D4002"/>
    <w:rsid w:val="009D4243"/>
    <w:rsid w:val="009D445B"/>
    <w:rsid w:val="009D4971"/>
    <w:rsid w:val="009D5251"/>
    <w:rsid w:val="009D542C"/>
    <w:rsid w:val="009D584A"/>
    <w:rsid w:val="009D596F"/>
    <w:rsid w:val="009D5F94"/>
    <w:rsid w:val="009D6087"/>
    <w:rsid w:val="009D6254"/>
    <w:rsid w:val="009D644E"/>
    <w:rsid w:val="009D6452"/>
    <w:rsid w:val="009D64BC"/>
    <w:rsid w:val="009D65A1"/>
    <w:rsid w:val="009D6B85"/>
    <w:rsid w:val="009D7050"/>
    <w:rsid w:val="009D7114"/>
    <w:rsid w:val="009D73AE"/>
    <w:rsid w:val="009D762B"/>
    <w:rsid w:val="009D7ACF"/>
    <w:rsid w:val="009D7AD1"/>
    <w:rsid w:val="009E007E"/>
    <w:rsid w:val="009E0082"/>
    <w:rsid w:val="009E0550"/>
    <w:rsid w:val="009E0750"/>
    <w:rsid w:val="009E079A"/>
    <w:rsid w:val="009E07B8"/>
    <w:rsid w:val="009E08CF"/>
    <w:rsid w:val="009E0956"/>
    <w:rsid w:val="009E0998"/>
    <w:rsid w:val="009E09A9"/>
    <w:rsid w:val="009E0AB8"/>
    <w:rsid w:val="009E0ADF"/>
    <w:rsid w:val="009E0B79"/>
    <w:rsid w:val="009E0E0D"/>
    <w:rsid w:val="009E0F0B"/>
    <w:rsid w:val="009E1058"/>
    <w:rsid w:val="009E1081"/>
    <w:rsid w:val="009E12DE"/>
    <w:rsid w:val="009E145B"/>
    <w:rsid w:val="009E15BC"/>
    <w:rsid w:val="009E174A"/>
    <w:rsid w:val="009E1932"/>
    <w:rsid w:val="009E1B0D"/>
    <w:rsid w:val="009E1C32"/>
    <w:rsid w:val="009E1DA0"/>
    <w:rsid w:val="009E22CC"/>
    <w:rsid w:val="009E234F"/>
    <w:rsid w:val="009E24DF"/>
    <w:rsid w:val="009E2658"/>
    <w:rsid w:val="009E26D4"/>
    <w:rsid w:val="009E27CC"/>
    <w:rsid w:val="009E286F"/>
    <w:rsid w:val="009E2918"/>
    <w:rsid w:val="009E2D80"/>
    <w:rsid w:val="009E2EF0"/>
    <w:rsid w:val="009E3109"/>
    <w:rsid w:val="009E32AE"/>
    <w:rsid w:val="009E32E2"/>
    <w:rsid w:val="009E33C4"/>
    <w:rsid w:val="009E33E6"/>
    <w:rsid w:val="009E33F0"/>
    <w:rsid w:val="009E3788"/>
    <w:rsid w:val="009E3C53"/>
    <w:rsid w:val="009E3CD5"/>
    <w:rsid w:val="009E3CF9"/>
    <w:rsid w:val="009E3D7B"/>
    <w:rsid w:val="009E407E"/>
    <w:rsid w:val="009E40B9"/>
    <w:rsid w:val="009E41FC"/>
    <w:rsid w:val="009E44A1"/>
    <w:rsid w:val="009E4533"/>
    <w:rsid w:val="009E47B6"/>
    <w:rsid w:val="009E4906"/>
    <w:rsid w:val="009E4924"/>
    <w:rsid w:val="009E5025"/>
    <w:rsid w:val="009E5265"/>
    <w:rsid w:val="009E53C9"/>
    <w:rsid w:val="009E5640"/>
    <w:rsid w:val="009E5C1E"/>
    <w:rsid w:val="009E5C4D"/>
    <w:rsid w:val="009E5CBE"/>
    <w:rsid w:val="009E5DF5"/>
    <w:rsid w:val="009E616B"/>
    <w:rsid w:val="009E652F"/>
    <w:rsid w:val="009E6535"/>
    <w:rsid w:val="009E663E"/>
    <w:rsid w:val="009E6747"/>
    <w:rsid w:val="009E6A5B"/>
    <w:rsid w:val="009E6B68"/>
    <w:rsid w:val="009E72F4"/>
    <w:rsid w:val="009E734F"/>
    <w:rsid w:val="009E74E7"/>
    <w:rsid w:val="009E750A"/>
    <w:rsid w:val="009E78B8"/>
    <w:rsid w:val="009E7A37"/>
    <w:rsid w:val="009E7ACD"/>
    <w:rsid w:val="009E7B7D"/>
    <w:rsid w:val="009E7CC8"/>
    <w:rsid w:val="009E7E92"/>
    <w:rsid w:val="009E7F4F"/>
    <w:rsid w:val="009F007F"/>
    <w:rsid w:val="009F033A"/>
    <w:rsid w:val="009F0380"/>
    <w:rsid w:val="009F05C5"/>
    <w:rsid w:val="009F05FF"/>
    <w:rsid w:val="009F0837"/>
    <w:rsid w:val="009F096A"/>
    <w:rsid w:val="009F0A06"/>
    <w:rsid w:val="009F0BC4"/>
    <w:rsid w:val="009F0C51"/>
    <w:rsid w:val="009F0F17"/>
    <w:rsid w:val="009F13E4"/>
    <w:rsid w:val="009F145D"/>
    <w:rsid w:val="009F15EC"/>
    <w:rsid w:val="009F1880"/>
    <w:rsid w:val="009F19DD"/>
    <w:rsid w:val="009F1B1A"/>
    <w:rsid w:val="009F1BF2"/>
    <w:rsid w:val="009F1C81"/>
    <w:rsid w:val="009F1D84"/>
    <w:rsid w:val="009F1DCD"/>
    <w:rsid w:val="009F1EC9"/>
    <w:rsid w:val="009F20A9"/>
    <w:rsid w:val="009F2298"/>
    <w:rsid w:val="009F284C"/>
    <w:rsid w:val="009F28D8"/>
    <w:rsid w:val="009F2A78"/>
    <w:rsid w:val="009F2CAA"/>
    <w:rsid w:val="009F2DE5"/>
    <w:rsid w:val="009F2E5F"/>
    <w:rsid w:val="009F2F89"/>
    <w:rsid w:val="009F335F"/>
    <w:rsid w:val="009F36F6"/>
    <w:rsid w:val="009F375F"/>
    <w:rsid w:val="009F3AB0"/>
    <w:rsid w:val="009F3B40"/>
    <w:rsid w:val="009F3BDC"/>
    <w:rsid w:val="009F3BE9"/>
    <w:rsid w:val="009F40FC"/>
    <w:rsid w:val="009F41C5"/>
    <w:rsid w:val="009F46D8"/>
    <w:rsid w:val="009F4C40"/>
    <w:rsid w:val="009F4F39"/>
    <w:rsid w:val="009F532A"/>
    <w:rsid w:val="009F5432"/>
    <w:rsid w:val="009F5474"/>
    <w:rsid w:val="009F5562"/>
    <w:rsid w:val="009F55E1"/>
    <w:rsid w:val="009F56A5"/>
    <w:rsid w:val="009F5964"/>
    <w:rsid w:val="009F5A5D"/>
    <w:rsid w:val="009F5FC2"/>
    <w:rsid w:val="009F634B"/>
    <w:rsid w:val="009F67E5"/>
    <w:rsid w:val="009F6943"/>
    <w:rsid w:val="009F69BB"/>
    <w:rsid w:val="009F6AF9"/>
    <w:rsid w:val="009F6BD3"/>
    <w:rsid w:val="009F710D"/>
    <w:rsid w:val="009F7322"/>
    <w:rsid w:val="009F7535"/>
    <w:rsid w:val="009F7991"/>
    <w:rsid w:val="009F7A5C"/>
    <w:rsid w:val="009F7E99"/>
    <w:rsid w:val="00A00615"/>
    <w:rsid w:val="00A007F2"/>
    <w:rsid w:val="00A0093E"/>
    <w:rsid w:val="00A009DA"/>
    <w:rsid w:val="00A00A35"/>
    <w:rsid w:val="00A00CE5"/>
    <w:rsid w:val="00A012F7"/>
    <w:rsid w:val="00A01348"/>
    <w:rsid w:val="00A01628"/>
    <w:rsid w:val="00A01B11"/>
    <w:rsid w:val="00A01E4B"/>
    <w:rsid w:val="00A020DF"/>
    <w:rsid w:val="00A02283"/>
    <w:rsid w:val="00A0273E"/>
    <w:rsid w:val="00A027E7"/>
    <w:rsid w:val="00A02AA3"/>
    <w:rsid w:val="00A02B64"/>
    <w:rsid w:val="00A02CE7"/>
    <w:rsid w:val="00A02EEB"/>
    <w:rsid w:val="00A02FCC"/>
    <w:rsid w:val="00A03002"/>
    <w:rsid w:val="00A0300C"/>
    <w:rsid w:val="00A034DE"/>
    <w:rsid w:val="00A036CA"/>
    <w:rsid w:val="00A037B1"/>
    <w:rsid w:val="00A03AA7"/>
    <w:rsid w:val="00A03B23"/>
    <w:rsid w:val="00A03E18"/>
    <w:rsid w:val="00A03E5F"/>
    <w:rsid w:val="00A044D5"/>
    <w:rsid w:val="00A0460F"/>
    <w:rsid w:val="00A04DD3"/>
    <w:rsid w:val="00A04DF2"/>
    <w:rsid w:val="00A04EE0"/>
    <w:rsid w:val="00A050AB"/>
    <w:rsid w:val="00A051A0"/>
    <w:rsid w:val="00A05491"/>
    <w:rsid w:val="00A054E0"/>
    <w:rsid w:val="00A05686"/>
    <w:rsid w:val="00A0573C"/>
    <w:rsid w:val="00A063E9"/>
    <w:rsid w:val="00A06535"/>
    <w:rsid w:val="00A066A3"/>
    <w:rsid w:val="00A0670B"/>
    <w:rsid w:val="00A067E6"/>
    <w:rsid w:val="00A06928"/>
    <w:rsid w:val="00A06A68"/>
    <w:rsid w:val="00A06A96"/>
    <w:rsid w:val="00A06B8A"/>
    <w:rsid w:val="00A06BAA"/>
    <w:rsid w:val="00A06C83"/>
    <w:rsid w:val="00A07015"/>
    <w:rsid w:val="00A07A40"/>
    <w:rsid w:val="00A07A97"/>
    <w:rsid w:val="00A07BBD"/>
    <w:rsid w:val="00A07C86"/>
    <w:rsid w:val="00A07F25"/>
    <w:rsid w:val="00A07FDE"/>
    <w:rsid w:val="00A07FE8"/>
    <w:rsid w:val="00A100DF"/>
    <w:rsid w:val="00A1085F"/>
    <w:rsid w:val="00A108C4"/>
    <w:rsid w:val="00A10959"/>
    <w:rsid w:val="00A10A0B"/>
    <w:rsid w:val="00A10C17"/>
    <w:rsid w:val="00A10DE6"/>
    <w:rsid w:val="00A10EA7"/>
    <w:rsid w:val="00A10FF3"/>
    <w:rsid w:val="00A111B0"/>
    <w:rsid w:val="00A11252"/>
    <w:rsid w:val="00A117F5"/>
    <w:rsid w:val="00A11867"/>
    <w:rsid w:val="00A119FE"/>
    <w:rsid w:val="00A11A06"/>
    <w:rsid w:val="00A11C44"/>
    <w:rsid w:val="00A11CAC"/>
    <w:rsid w:val="00A11FCE"/>
    <w:rsid w:val="00A12061"/>
    <w:rsid w:val="00A12597"/>
    <w:rsid w:val="00A1268E"/>
    <w:rsid w:val="00A1279D"/>
    <w:rsid w:val="00A128F7"/>
    <w:rsid w:val="00A12A9E"/>
    <w:rsid w:val="00A12C1A"/>
    <w:rsid w:val="00A12CB0"/>
    <w:rsid w:val="00A134D9"/>
    <w:rsid w:val="00A1357E"/>
    <w:rsid w:val="00A13A1F"/>
    <w:rsid w:val="00A13B77"/>
    <w:rsid w:val="00A13B9E"/>
    <w:rsid w:val="00A13BC3"/>
    <w:rsid w:val="00A13C8C"/>
    <w:rsid w:val="00A13F5D"/>
    <w:rsid w:val="00A1412B"/>
    <w:rsid w:val="00A148A3"/>
    <w:rsid w:val="00A148F9"/>
    <w:rsid w:val="00A1497C"/>
    <w:rsid w:val="00A149FA"/>
    <w:rsid w:val="00A14E39"/>
    <w:rsid w:val="00A14F20"/>
    <w:rsid w:val="00A15072"/>
    <w:rsid w:val="00A155EF"/>
    <w:rsid w:val="00A157AB"/>
    <w:rsid w:val="00A1594F"/>
    <w:rsid w:val="00A15F85"/>
    <w:rsid w:val="00A1617D"/>
    <w:rsid w:val="00A16809"/>
    <w:rsid w:val="00A16B01"/>
    <w:rsid w:val="00A16B64"/>
    <w:rsid w:val="00A16CB0"/>
    <w:rsid w:val="00A16E27"/>
    <w:rsid w:val="00A16E94"/>
    <w:rsid w:val="00A16F73"/>
    <w:rsid w:val="00A17342"/>
    <w:rsid w:val="00A173CC"/>
    <w:rsid w:val="00A1773C"/>
    <w:rsid w:val="00A177C3"/>
    <w:rsid w:val="00A17966"/>
    <w:rsid w:val="00A17C52"/>
    <w:rsid w:val="00A2016B"/>
    <w:rsid w:val="00A20365"/>
    <w:rsid w:val="00A20398"/>
    <w:rsid w:val="00A2043E"/>
    <w:rsid w:val="00A204B4"/>
    <w:rsid w:val="00A20576"/>
    <w:rsid w:val="00A208C1"/>
    <w:rsid w:val="00A20A81"/>
    <w:rsid w:val="00A20B65"/>
    <w:rsid w:val="00A21018"/>
    <w:rsid w:val="00A217A5"/>
    <w:rsid w:val="00A217BD"/>
    <w:rsid w:val="00A21B35"/>
    <w:rsid w:val="00A220D0"/>
    <w:rsid w:val="00A22280"/>
    <w:rsid w:val="00A223BA"/>
    <w:rsid w:val="00A223C8"/>
    <w:rsid w:val="00A224A3"/>
    <w:rsid w:val="00A22550"/>
    <w:rsid w:val="00A2264B"/>
    <w:rsid w:val="00A228F0"/>
    <w:rsid w:val="00A229E1"/>
    <w:rsid w:val="00A22AD7"/>
    <w:rsid w:val="00A22D60"/>
    <w:rsid w:val="00A22EA1"/>
    <w:rsid w:val="00A22F95"/>
    <w:rsid w:val="00A23090"/>
    <w:rsid w:val="00A232DC"/>
    <w:rsid w:val="00A234FA"/>
    <w:rsid w:val="00A23A42"/>
    <w:rsid w:val="00A23CB4"/>
    <w:rsid w:val="00A23D08"/>
    <w:rsid w:val="00A23DE0"/>
    <w:rsid w:val="00A240A7"/>
    <w:rsid w:val="00A241C0"/>
    <w:rsid w:val="00A2425E"/>
    <w:rsid w:val="00A2455E"/>
    <w:rsid w:val="00A245E6"/>
    <w:rsid w:val="00A24790"/>
    <w:rsid w:val="00A249AC"/>
    <w:rsid w:val="00A249E3"/>
    <w:rsid w:val="00A24C1E"/>
    <w:rsid w:val="00A24F7D"/>
    <w:rsid w:val="00A2505C"/>
    <w:rsid w:val="00A2518B"/>
    <w:rsid w:val="00A25547"/>
    <w:rsid w:val="00A25712"/>
    <w:rsid w:val="00A257FD"/>
    <w:rsid w:val="00A25801"/>
    <w:rsid w:val="00A259E9"/>
    <w:rsid w:val="00A25A6D"/>
    <w:rsid w:val="00A25ACF"/>
    <w:rsid w:val="00A260D0"/>
    <w:rsid w:val="00A261D6"/>
    <w:rsid w:val="00A263A2"/>
    <w:rsid w:val="00A26495"/>
    <w:rsid w:val="00A26540"/>
    <w:rsid w:val="00A2657E"/>
    <w:rsid w:val="00A2665A"/>
    <w:rsid w:val="00A2691B"/>
    <w:rsid w:val="00A269E1"/>
    <w:rsid w:val="00A26A88"/>
    <w:rsid w:val="00A26B6F"/>
    <w:rsid w:val="00A26C67"/>
    <w:rsid w:val="00A26EB2"/>
    <w:rsid w:val="00A26F4C"/>
    <w:rsid w:val="00A27038"/>
    <w:rsid w:val="00A2713E"/>
    <w:rsid w:val="00A27247"/>
    <w:rsid w:val="00A272C3"/>
    <w:rsid w:val="00A2742D"/>
    <w:rsid w:val="00A2766A"/>
    <w:rsid w:val="00A27951"/>
    <w:rsid w:val="00A27AFD"/>
    <w:rsid w:val="00A27E38"/>
    <w:rsid w:val="00A27E5A"/>
    <w:rsid w:val="00A30915"/>
    <w:rsid w:val="00A309E2"/>
    <w:rsid w:val="00A30DEB"/>
    <w:rsid w:val="00A312E3"/>
    <w:rsid w:val="00A31322"/>
    <w:rsid w:val="00A3135F"/>
    <w:rsid w:val="00A313AA"/>
    <w:rsid w:val="00A31517"/>
    <w:rsid w:val="00A315B4"/>
    <w:rsid w:val="00A3185B"/>
    <w:rsid w:val="00A31990"/>
    <w:rsid w:val="00A31A4D"/>
    <w:rsid w:val="00A31D27"/>
    <w:rsid w:val="00A329EA"/>
    <w:rsid w:val="00A32C38"/>
    <w:rsid w:val="00A32DDD"/>
    <w:rsid w:val="00A3324E"/>
    <w:rsid w:val="00A33487"/>
    <w:rsid w:val="00A33525"/>
    <w:rsid w:val="00A33679"/>
    <w:rsid w:val="00A3379B"/>
    <w:rsid w:val="00A339A7"/>
    <w:rsid w:val="00A33DD8"/>
    <w:rsid w:val="00A33E05"/>
    <w:rsid w:val="00A33E2F"/>
    <w:rsid w:val="00A33E3B"/>
    <w:rsid w:val="00A34006"/>
    <w:rsid w:val="00A3403A"/>
    <w:rsid w:val="00A340BA"/>
    <w:rsid w:val="00A341F7"/>
    <w:rsid w:val="00A34613"/>
    <w:rsid w:val="00A346DB"/>
    <w:rsid w:val="00A34706"/>
    <w:rsid w:val="00A34963"/>
    <w:rsid w:val="00A34992"/>
    <w:rsid w:val="00A34BA6"/>
    <w:rsid w:val="00A34C03"/>
    <w:rsid w:val="00A34D7F"/>
    <w:rsid w:val="00A35494"/>
    <w:rsid w:val="00A35719"/>
    <w:rsid w:val="00A35720"/>
    <w:rsid w:val="00A35967"/>
    <w:rsid w:val="00A35CAC"/>
    <w:rsid w:val="00A36066"/>
    <w:rsid w:val="00A36212"/>
    <w:rsid w:val="00A364ED"/>
    <w:rsid w:val="00A36626"/>
    <w:rsid w:val="00A3683A"/>
    <w:rsid w:val="00A368B7"/>
    <w:rsid w:val="00A368EB"/>
    <w:rsid w:val="00A36998"/>
    <w:rsid w:val="00A36C4C"/>
    <w:rsid w:val="00A36CB0"/>
    <w:rsid w:val="00A36D11"/>
    <w:rsid w:val="00A36E03"/>
    <w:rsid w:val="00A37078"/>
    <w:rsid w:val="00A37476"/>
    <w:rsid w:val="00A377DE"/>
    <w:rsid w:val="00A378D7"/>
    <w:rsid w:val="00A37AC7"/>
    <w:rsid w:val="00A37B8D"/>
    <w:rsid w:val="00A37EBF"/>
    <w:rsid w:val="00A40AF3"/>
    <w:rsid w:val="00A40E61"/>
    <w:rsid w:val="00A41129"/>
    <w:rsid w:val="00A41308"/>
    <w:rsid w:val="00A413CA"/>
    <w:rsid w:val="00A415CA"/>
    <w:rsid w:val="00A4160A"/>
    <w:rsid w:val="00A418A7"/>
    <w:rsid w:val="00A418CA"/>
    <w:rsid w:val="00A4194D"/>
    <w:rsid w:val="00A41BDF"/>
    <w:rsid w:val="00A41C1E"/>
    <w:rsid w:val="00A41D37"/>
    <w:rsid w:val="00A41D67"/>
    <w:rsid w:val="00A421A5"/>
    <w:rsid w:val="00A423CC"/>
    <w:rsid w:val="00A423E9"/>
    <w:rsid w:val="00A42960"/>
    <w:rsid w:val="00A42973"/>
    <w:rsid w:val="00A429CA"/>
    <w:rsid w:val="00A42B6A"/>
    <w:rsid w:val="00A42DDB"/>
    <w:rsid w:val="00A42DE9"/>
    <w:rsid w:val="00A42E5E"/>
    <w:rsid w:val="00A4302B"/>
    <w:rsid w:val="00A43031"/>
    <w:rsid w:val="00A43394"/>
    <w:rsid w:val="00A433AA"/>
    <w:rsid w:val="00A434F1"/>
    <w:rsid w:val="00A43814"/>
    <w:rsid w:val="00A43A4A"/>
    <w:rsid w:val="00A43DEB"/>
    <w:rsid w:val="00A43FEE"/>
    <w:rsid w:val="00A44051"/>
    <w:rsid w:val="00A44097"/>
    <w:rsid w:val="00A443B1"/>
    <w:rsid w:val="00A444C2"/>
    <w:rsid w:val="00A44535"/>
    <w:rsid w:val="00A44803"/>
    <w:rsid w:val="00A449FF"/>
    <w:rsid w:val="00A44ACD"/>
    <w:rsid w:val="00A44AFB"/>
    <w:rsid w:val="00A44D92"/>
    <w:rsid w:val="00A44EAF"/>
    <w:rsid w:val="00A44F32"/>
    <w:rsid w:val="00A45EBE"/>
    <w:rsid w:val="00A45F6F"/>
    <w:rsid w:val="00A46014"/>
    <w:rsid w:val="00A46313"/>
    <w:rsid w:val="00A463D8"/>
    <w:rsid w:val="00A46747"/>
    <w:rsid w:val="00A467E6"/>
    <w:rsid w:val="00A46C58"/>
    <w:rsid w:val="00A46C9C"/>
    <w:rsid w:val="00A46E0A"/>
    <w:rsid w:val="00A46ED8"/>
    <w:rsid w:val="00A46F7F"/>
    <w:rsid w:val="00A47173"/>
    <w:rsid w:val="00A47241"/>
    <w:rsid w:val="00A47352"/>
    <w:rsid w:val="00A47895"/>
    <w:rsid w:val="00A4797B"/>
    <w:rsid w:val="00A47992"/>
    <w:rsid w:val="00A47CBE"/>
    <w:rsid w:val="00A47E65"/>
    <w:rsid w:val="00A47FDF"/>
    <w:rsid w:val="00A50152"/>
    <w:rsid w:val="00A502BB"/>
    <w:rsid w:val="00A5050D"/>
    <w:rsid w:val="00A50570"/>
    <w:rsid w:val="00A507FC"/>
    <w:rsid w:val="00A50877"/>
    <w:rsid w:val="00A50A44"/>
    <w:rsid w:val="00A50D53"/>
    <w:rsid w:val="00A50DC6"/>
    <w:rsid w:val="00A50F12"/>
    <w:rsid w:val="00A5136C"/>
    <w:rsid w:val="00A5137D"/>
    <w:rsid w:val="00A513F7"/>
    <w:rsid w:val="00A514B5"/>
    <w:rsid w:val="00A51653"/>
    <w:rsid w:val="00A51A27"/>
    <w:rsid w:val="00A51AE1"/>
    <w:rsid w:val="00A51E21"/>
    <w:rsid w:val="00A51F8E"/>
    <w:rsid w:val="00A52440"/>
    <w:rsid w:val="00A5252B"/>
    <w:rsid w:val="00A528AC"/>
    <w:rsid w:val="00A52B5A"/>
    <w:rsid w:val="00A52EF0"/>
    <w:rsid w:val="00A53215"/>
    <w:rsid w:val="00A53984"/>
    <w:rsid w:val="00A53CCF"/>
    <w:rsid w:val="00A53D3D"/>
    <w:rsid w:val="00A53E6E"/>
    <w:rsid w:val="00A53FB1"/>
    <w:rsid w:val="00A53FC6"/>
    <w:rsid w:val="00A540E6"/>
    <w:rsid w:val="00A54355"/>
    <w:rsid w:val="00A54451"/>
    <w:rsid w:val="00A547E2"/>
    <w:rsid w:val="00A549D9"/>
    <w:rsid w:val="00A54C19"/>
    <w:rsid w:val="00A54C7B"/>
    <w:rsid w:val="00A54E6A"/>
    <w:rsid w:val="00A54EA2"/>
    <w:rsid w:val="00A5549A"/>
    <w:rsid w:val="00A557A0"/>
    <w:rsid w:val="00A558B3"/>
    <w:rsid w:val="00A55A55"/>
    <w:rsid w:val="00A55B99"/>
    <w:rsid w:val="00A55D8F"/>
    <w:rsid w:val="00A55FAE"/>
    <w:rsid w:val="00A56132"/>
    <w:rsid w:val="00A561F0"/>
    <w:rsid w:val="00A5635A"/>
    <w:rsid w:val="00A5650E"/>
    <w:rsid w:val="00A565E3"/>
    <w:rsid w:val="00A56799"/>
    <w:rsid w:val="00A568BC"/>
    <w:rsid w:val="00A56DAC"/>
    <w:rsid w:val="00A56E59"/>
    <w:rsid w:val="00A56E71"/>
    <w:rsid w:val="00A5716C"/>
    <w:rsid w:val="00A571C2"/>
    <w:rsid w:val="00A571E2"/>
    <w:rsid w:val="00A57330"/>
    <w:rsid w:val="00A5740D"/>
    <w:rsid w:val="00A5765F"/>
    <w:rsid w:val="00A577A4"/>
    <w:rsid w:val="00A577E9"/>
    <w:rsid w:val="00A57872"/>
    <w:rsid w:val="00A57966"/>
    <w:rsid w:val="00A57B48"/>
    <w:rsid w:val="00A57BCE"/>
    <w:rsid w:val="00A57E24"/>
    <w:rsid w:val="00A57E90"/>
    <w:rsid w:val="00A6005C"/>
    <w:rsid w:val="00A60177"/>
    <w:rsid w:val="00A605FB"/>
    <w:rsid w:val="00A60651"/>
    <w:rsid w:val="00A608E4"/>
    <w:rsid w:val="00A60CBF"/>
    <w:rsid w:val="00A60D97"/>
    <w:rsid w:val="00A615DA"/>
    <w:rsid w:val="00A615F2"/>
    <w:rsid w:val="00A618E0"/>
    <w:rsid w:val="00A6196F"/>
    <w:rsid w:val="00A61A13"/>
    <w:rsid w:val="00A61D6B"/>
    <w:rsid w:val="00A61E9D"/>
    <w:rsid w:val="00A6209B"/>
    <w:rsid w:val="00A628E6"/>
    <w:rsid w:val="00A62988"/>
    <w:rsid w:val="00A62C51"/>
    <w:rsid w:val="00A62EB7"/>
    <w:rsid w:val="00A62FE8"/>
    <w:rsid w:val="00A6356E"/>
    <w:rsid w:val="00A637E1"/>
    <w:rsid w:val="00A63B34"/>
    <w:rsid w:val="00A63C8C"/>
    <w:rsid w:val="00A63DB7"/>
    <w:rsid w:val="00A63E28"/>
    <w:rsid w:val="00A63E7A"/>
    <w:rsid w:val="00A64032"/>
    <w:rsid w:val="00A646AF"/>
    <w:rsid w:val="00A6476A"/>
    <w:rsid w:val="00A648FA"/>
    <w:rsid w:val="00A6499A"/>
    <w:rsid w:val="00A64C79"/>
    <w:rsid w:val="00A64D96"/>
    <w:rsid w:val="00A65122"/>
    <w:rsid w:val="00A6558C"/>
    <w:rsid w:val="00A656F7"/>
    <w:rsid w:val="00A659A0"/>
    <w:rsid w:val="00A65BE8"/>
    <w:rsid w:val="00A65DA7"/>
    <w:rsid w:val="00A65E7E"/>
    <w:rsid w:val="00A65F4A"/>
    <w:rsid w:val="00A661C2"/>
    <w:rsid w:val="00A6643B"/>
    <w:rsid w:val="00A664F1"/>
    <w:rsid w:val="00A6666B"/>
    <w:rsid w:val="00A666C6"/>
    <w:rsid w:val="00A668B2"/>
    <w:rsid w:val="00A66ADB"/>
    <w:rsid w:val="00A66BA7"/>
    <w:rsid w:val="00A66C83"/>
    <w:rsid w:val="00A66DB6"/>
    <w:rsid w:val="00A66F7D"/>
    <w:rsid w:val="00A67484"/>
    <w:rsid w:val="00A67583"/>
    <w:rsid w:val="00A67774"/>
    <w:rsid w:val="00A67816"/>
    <w:rsid w:val="00A679FB"/>
    <w:rsid w:val="00A67C1F"/>
    <w:rsid w:val="00A67CFD"/>
    <w:rsid w:val="00A67D79"/>
    <w:rsid w:val="00A67DEE"/>
    <w:rsid w:val="00A67E1B"/>
    <w:rsid w:val="00A67EBB"/>
    <w:rsid w:val="00A67F8E"/>
    <w:rsid w:val="00A7010B"/>
    <w:rsid w:val="00A7016A"/>
    <w:rsid w:val="00A7021C"/>
    <w:rsid w:val="00A7063E"/>
    <w:rsid w:val="00A70756"/>
    <w:rsid w:val="00A7092D"/>
    <w:rsid w:val="00A70AC3"/>
    <w:rsid w:val="00A70C9B"/>
    <w:rsid w:val="00A70D14"/>
    <w:rsid w:val="00A70E9E"/>
    <w:rsid w:val="00A71125"/>
    <w:rsid w:val="00A7115B"/>
    <w:rsid w:val="00A711DF"/>
    <w:rsid w:val="00A71747"/>
    <w:rsid w:val="00A71818"/>
    <w:rsid w:val="00A7184D"/>
    <w:rsid w:val="00A71B1B"/>
    <w:rsid w:val="00A71B56"/>
    <w:rsid w:val="00A71C20"/>
    <w:rsid w:val="00A71C8F"/>
    <w:rsid w:val="00A71F51"/>
    <w:rsid w:val="00A71FB0"/>
    <w:rsid w:val="00A723D6"/>
    <w:rsid w:val="00A72524"/>
    <w:rsid w:val="00A72609"/>
    <w:rsid w:val="00A729DB"/>
    <w:rsid w:val="00A729E8"/>
    <w:rsid w:val="00A72B1C"/>
    <w:rsid w:val="00A7302A"/>
    <w:rsid w:val="00A732A3"/>
    <w:rsid w:val="00A732C9"/>
    <w:rsid w:val="00A73479"/>
    <w:rsid w:val="00A736C7"/>
    <w:rsid w:val="00A737A2"/>
    <w:rsid w:val="00A73A6E"/>
    <w:rsid w:val="00A73B85"/>
    <w:rsid w:val="00A73E77"/>
    <w:rsid w:val="00A73F17"/>
    <w:rsid w:val="00A740DF"/>
    <w:rsid w:val="00A743A9"/>
    <w:rsid w:val="00A7494A"/>
    <w:rsid w:val="00A74BD4"/>
    <w:rsid w:val="00A74E6C"/>
    <w:rsid w:val="00A74F24"/>
    <w:rsid w:val="00A75098"/>
    <w:rsid w:val="00A7524F"/>
    <w:rsid w:val="00A7526E"/>
    <w:rsid w:val="00A753D4"/>
    <w:rsid w:val="00A754A0"/>
    <w:rsid w:val="00A75692"/>
    <w:rsid w:val="00A756AB"/>
    <w:rsid w:val="00A759DA"/>
    <w:rsid w:val="00A75A81"/>
    <w:rsid w:val="00A75C9E"/>
    <w:rsid w:val="00A75D22"/>
    <w:rsid w:val="00A765EB"/>
    <w:rsid w:val="00A76743"/>
    <w:rsid w:val="00A767B8"/>
    <w:rsid w:val="00A767DC"/>
    <w:rsid w:val="00A76855"/>
    <w:rsid w:val="00A76982"/>
    <w:rsid w:val="00A76B4F"/>
    <w:rsid w:val="00A76BD9"/>
    <w:rsid w:val="00A76BDB"/>
    <w:rsid w:val="00A76C41"/>
    <w:rsid w:val="00A7730D"/>
    <w:rsid w:val="00A77444"/>
    <w:rsid w:val="00A7767F"/>
    <w:rsid w:val="00A7768C"/>
    <w:rsid w:val="00A77C1C"/>
    <w:rsid w:val="00A77CC9"/>
    <w:rsid w:val="00A8001F"/>
    <w:rsid w:val="00A80163"/>
    <w:rsid w:val="00A801AF"/>
    <w:rsid w:val="00A80215"/>
    <w:rsid w:val="00A80220"/>
    <w:rsid w:val="00A80261"/>
    <w:rsid w:val="00A803F6"/>
    <w:rsid w:val="00A8048B"/>
    <w:rsid w:val="00A80503"/>
    <w:rsid w:val="00A80749"/>
    <w:rsid w:val="00A80C75"/>
    <w:rsid w:val="00A80F5A"/>
    <w:rsid w:val="00A8110F"/>
    <w:rsid w:val="00A8114E"/>
    <w:rsid w:val="00A81D25"/>
    <w:rsid w:val="00A81F0F"/>
    <w:rsid w:val="00A81F4A"/>
    <w:rsid w:val="00A820AF"/>
    <w:rsid w:val="00A82451"/>
    <w:rsid w:val="00A82552"/>
    <w:rsid w:val="00A82589"/>
    <w:rsid w:val="00A82854"/>
    <w:rsid w:val="00A82A8D"/>
    <w:rsid w:val="00A82AAA"/>
    <w:rsid w:val="00A82AEC"/>
    <w:rsid w:val="00A8317E"/>
    <w:rsid w:val="00A8338A"/>
    <w:rsid w:val="00A83937"/>
    <w:rsid w:val="00A83A63"/>
    <w:rsid w:val="00A83E64"/>
    <w:rsid w:val="00A83F94"/>
    <w:rsid w:val="00A847C5"/>
    <w:rsid w:val="00A84949"/>
    <w:rsid w:val="00A84977"/>
    <w:rsid w:val="00A84A4E"/>
    <w:rsid w:val="00A84C49"/>
    <w:rsid w:val="00A8548C"/>
    <w:rsid w:val="00A8556C"/>
    <w:rsid w:val="00A85700"/>
    <w:rsid w:val="00A85808"/>
    <w:rsid w:val="00A859AE"/>
    <w:rsid w:val="00A85A0C"/>
    <w:rsid w:val="00A85CF9"/>
    <w:rsid w:val="00A85F4C"/>
    <w:rsid w:val="00A860FE"/>
    <w:rsid w:val="00A864ED"/>
    <w:rsid w:val="00A8660B"/>
    <w:rsid w:val="00A866B0"/>
    <w:rsid w:val="00A866B2"/>
    <w:rsid w:val="00A8685E"/>
    <w:rsid w:val="00A86C5C"/>
    <w:rsid w:val="00A86DFA"/>
    <w:rsid w:val="00A8714B"/>
    <w:rsid w:val="00A87830"/>
    <w:rsid w:val="00A878AB"/>
    <w:rsid w:val="00A87978"/>
    <w:rsid w:val="00A87CDA"/>
    <w:rsid w:val="00A87D22"/>
    <w:rsid w:val="00A87FF7"/>
    <w:rsid w:val="00A901DB"/>
    <w:rsid w:val="00A901F9"/>
    <w:rsid w:val="00A90464"/>
    <w:rsid w:val="00A907FF"/>
    <w:rsid w:val="00A90891"/>
    <w:rsid w:val="00A908EF"/>
    <w:rsid w:val="00A909B1"/>
    <w:rsid w:val="00A90A37"/>
    <w:rsid w:val="00A90A58"/>
    <w:rsid w:val="00A90D18"/>
    <w:rsid w:val="00A90E57"/>
    <w:rsid w:val="00A911C8"/>
    <w:rsid w:val="00A913DF"/>
    <w:rsid w:val="00A91525"/>
    <w:rsid w:val="00A9196B"/>
    <w:rsid w:val="00A91BBC"/>
    <w:rsid w:val="00A91BE9"/>
    <w:rsid w:val="00A91C72"/>
    <w:rsid w:val="00A91E33"/>
    <w:rsid w:val="00A91E76"/>
    <w:rsid w:val="00A9215D"/>
    <w:rsid w:val="00A92239"/>
    <w:rsid w:val="00A92375"/>
    <w:rsid w:val="00A92442"/>
    <w:rsid w:val="00A92548"/>
    <w:rsid w:val="00A9277C"/>
    <w:rsid w:val="00A92914"/>
    <w:rsid w:val="00A92B27"/>
    <w:rsid w:val="00A92D2C"/>
    <w:rsid w:val="00A92D63"/>
    <w:rsid w:val="00A92EBB"/>
    <w:rsid w:val="00A92ED2"/>
    <w:rsid w:val="00A93011"/>
    <w:rsid w:val="00A9313A"/>
    <w:rsid w:val="00A93630"/>
    <w:rsid w:val="00A93948"/>
    <w:rsid w:val="00A93E96"/>
    <w:rsid w:val="00A9420C"/>
    <w:rsid w:val="00A94441"/>
    <w:rsid w:val="00A94515"/>
    <w:rsid w:val="00A945F3"/>
    <w:rsid w:val="00A94664"/>
    <w:rsid w:val="00A94704"/>
    <w:rsid w:val="00A949F4"/>
    <w:rsid w:val="00A94E12"/>
    <w:rsid w:val="00A94FC6"/>
    <w:rsid w:val="00A955D6"/>
    <w:rsid w:val="00A95C87"/>
    <w:rsid w:val="00A95D8D"/>
    <w:rsid w:val="00A95DA8"/>
    <w:rsid w:val="00A95FCE"/>
    <w:rsid w:val="00A9603B"/>
    <w:rsid w:val="00A96154"/>
    <w:rsid w:val="00A961AB"/>
    <w:rsid w:val="00A96213"/>
    <w:rsid w:val="00A9633D"/>
    <w:rsid w:val="00A96897"/>
    <w:rsid w:val="00A968DF"/>
    <w:rsid w:val="00A969AA"/>
    <w:rsid w:val="00A9702A"/>
    <w:rsid w:val="00A9721A"/>
    <w:rsid w:val="00A973F5"/>
    <w:rsid w:val="00A97FDC"/>
    <w:rsid w:val="00AA00AC"/>
    <w:rsid w:val="00AA0110"/>
    <w:rsid w:val="00AA0857"/>
    <w:rsid w:val="00AA0B00"/>
    <w:rsid w:val="00AA0BA2"/>
    <w:rsid w:val="00AA0C2C"/>
    <w:rsid w:val="00AA0FEA"/>
    <w:rsid w:val="00AA1024"/>
    <w:rsid w:val="00AA11C4"/>
    <w:rsid w:val="00AA1416"/>
    <w:rsid w:val="00AA1C1B"/>
    <w:rsid w:val="00AA26E1"/>
    <w:rsid w:val="00AA28FB"/>
    <w:rsid w:val="00AA2AB6"/>
    <w:rsid w:val="00AA2C4A"/>
    <w:rsid w:val="00AA2F08"/>
    <w:rsid w:val="00AA30BA"/>
    <w:rsid w:val="00AA347B"/>
    <w:rsid w:val="00AA34EC"/>
    <w:rsid w:val="00AA3690"/>
    <w:rsid w:val="00AA3694"/>
    <w:rsid w:val="00AA3AC0"/>
    <w:rsid w:val="00AA3CDE"/>
    <w:rsid w:val="00AA3D5E"/>
    <w:rsid w:val="00AA3E06"/>
    <w:rsid w:val="00AA3F07"/>
    <w:rsid w:val="00AA43BB"/>
    <w:rsid w:val="00AA477C"/>
    <w:rsid w:val="00AA4AB6"/>
    <w:rsid w:val="00AA4B67"/>
    <w:rsid w:val="00AA4D69"/>
    <w:rsid w:val="00AA5155"/>
    <w:rsid w:val="00AA52D9"/>
    <w:rsid w:val="00AA5A29"/>
    <w:rsid w:val="00AA5B3A"/>
    <w:rsid w:val="00AA5B71"/>
    <w:rsid w:val="00AA5C17"/>
    <w:rsid w:val="00AA5DB0"/>
    <w:rsid w:val="00AA603A"/>
    <w:rsid w:val="00AA60B1"/>
    <w:rsid w:val="00AA6296"/>
    <w:rsid w:val="00AA6466"/>
    <w:rsid w:val="00AA68D5"/>
    <w:rsid w:val="00AA6ADD"/>
    <w:rsid w:val="00AA6ADF"/>
    <w:rsid w:val="00AA6BA1"/>
    <w:rsid w:val="00AA6F90"/>
    <w:rsid w:val="00AA7363"/>
    <w:rsid w:val="00AA7933"/>
    <w:rsid w:val="00AA79FC"/>
    <w:rsid w:val="00AA7A3D"/>
    <w:rsid w:val="00AA7AB0"/>
    <w:rsid w:val="00AA7C1E"/>
    <w:rsid w:val="00AA7D06"/>
    <w:rsid w:val="00AA7ED9"/>
    <w:rsid w:val="00AB046D"/>
    <w:rsid w:val="00AB06DE"/>
    <w:rsid w:val="00AB074F"/>
    <w:rsid w:val="00AB085F"/>
    <w:rsid w:val="00AB08E3"/>
    <w:rsid w:val="00AB0A48"/>
    <w:rsid w:val="00AB0C66"/>
    <w:rsid w:val="00AB0DA7"/>
    <w:rsid w:val="00AB0E08"/>
    <w:rsid w:val="00AB1762"/>
    <w:rsid w:val="00AB1AB6"/>
    <w:rsid w:val="00AB1BCE"/>
    <w:rsid w:val="00AB1C49"/>
    <w:rsid w:val="00AB1C78"/>
    <w:rsid w:val="00AB1D53"/>
    <w:rsid w:val="00AB1EF5"/>
    <w:rsid w:val="00AB1FC3"/>
    <w:rsid w:val="00AB2239"/>
    <w:rsid w:val="00AB24D3"/>
    <w:rsid w:val="00AB2532"/>
    <w:rsid w:val="00AB262B"/>
    <w:rsid w:val="00AB27B8"/>
    <w:rsid w:val="00AB2812"/>
    <w:rsid w:val="00AB2984"/>
    <w:rsid w:val="00AB2C3D"/>
    <w:rsid w:val="00AB347C"/>
    <w:rsid w:val="00AB3628"/>
    <w:rsid w:val="00AB3898"/>
    <w:rsid w:val="00AB3ACE"/>
    <w:rsid w:val="00AB4045"/>
    <w:rsid w:val="00AB412E"/>
    <w:rsid w:val="00AB4233"/>
    <w:rsid w:val="00AB491C"/>
    <w:rsid w:val="00AB49D4"/>
    <w:rsid w:val="00AB4BE4"/>
    <w:rsid w:val="00AB4D02"/>
    <w:rsid w:val="00AB4E54"/>
    <w:rsid w:val="00AB50A4"/>
    <w:rsid w:val="00AB51EF"/>
    <w:rsid w:val="00AB531D"/>
    <w:rsid w:val="00AB5638"/>
    <w:rsid w:val="00AB58B1"/>
    <w:rsid w:val="00AB5C2D"/>
    <w:rsid w:val="00AB5C3E"/>
    <w:rsid w:val="00AB5FAB"/>
    <w:rsid w:val="00AB60B2"/>
    <w:rsid w:val="00AB6351"/>
    <w:rsid w:val="00AB6681"/>
    <w:rsid w:val="00AB66A5"/>
    <w:rsid w:val="00AB6811"/>
    <w:rsid w:val="00AB6E8D"/>
    <w:rsid w:val="00AB703C"/>
    <w:rsid w:val="00AB70A8"/>
    <w:rsid w:val="00AB70E3"/>
    <w:rsid w:val="00AB7348"/>
    <w:rsid w:val="00AB734A"/>
    <w:rsid w:val="00AB7422"/>
    <w:rsid w:val="00AB774D"/>
    <w:rsid w:val="00AC0072"/>
    <w:rsid w:val="00AC0131"/>
    <w:rsid w:val="00AC0148"/>
    <w:rsid w:val="00AC035B"/>
    <w:rsid w:val="00AC051B"/>
    <w:rsid w:val="00AC051F"/>
    <w:rsid w:val="00AC05B5"/>
    <w:rsid w:val="00AC05CF"/>
    <w:rsid w:val="00AC05DF"/>
    <w:rsid w:val="00AC0699"/>
    <w:rsid w:val="00AC06D4"/>
    <w:rsid w:val="00AC0865"/>
    <w:rsid w:val="00AC0A12"/>
    <w:rsid w:val="00AC0B8C"/>
    <w:rsid w:val="00AC0C59"/>
    <w:rsid w:val="00AC0D9B"/>
    <w:rsid w:val="00AC0DEB"/>
    <w:rsid w:val="00AC0FF4"/>
    <w:rsid w:val="00AC10AC"/>
    <w:rsid w:val="00AC1144"/>
    <w:rsid w:val="00AC11EA"/>
    <w:rsid w:val="00AC15A2"/>
    <w:rsid w:val="00AC168D"/>
    <w:rsid w:val="00AC17FC"/>
    <w:rsid w:val="00AC18C9"/>
    <w:rsid w:val="00AC1AC1"/>
    <w:rsid w:val="00AC1BB7"/>
    <w:rsid w:val="00AC1D54"/>
    <w:rsid w:val="00AC1DD3"/>
    <w:rsid w:val="00AC1E89"/>
    <w:rsid w:val="00AC200B"/>
    <w:rsid w:val="00AC284F"/>
    <w:rsid w:val="00AC2B14"/>
    <w:rsid w:val="00AC2B32"/>
    <w:rsid w:val="00AC2D91"/>
    <w:rsid w:val="00AC32CF"/>
    <w:rsid w:val="00AC32DA"/>
    <w:rsid w:val="00AC33AE"/>
    <w:rsid w:val="00AC3685"/>
    <w:rsid w:val="00AC3A0E"/>
    <w:rsid w:val="00AC3B82"/>
    <w:rsid w:val="00AC418F"/>
    <w:rsid w:val="00AC436B"/>
    <w:rsid w:val="00AC44DC"/>
    <w:rsid w:val="00AC46DE"/>
    <w:rsid w:val="00AC47F8"/>
    <w:rsid w:val="00AC4815"/>
    <w:rsid w:val="00AC4839"/>
    <w:rsid w:val="00AC4B0B"/>
    <w:rsid w:val="00AC4C5A"/>
    <w:rsid w:val="00AC4E5D"/>
    <w:rsid w:val="00AC51F0"/>
    <w:rsid w:val="00AC5367"/>
    <w:rsid w:val="00AC53B7"/>
    <w:rsid w:val="00AC5524"/>
    <w:rsid w:val="00AC57C9"/>
    <w:rsid w:val="00AC5822"/>
    <w:rsid w:val="00AC5CEF"/>
    <w:rsid w:val="00AC5E19"/>
    <w:rsid w:val="00AC5F0A"/>
    <w:rsid w:val="00AC6526"/>
    <w:rsid w:val="00AC66C4"/>
    <w:rsid w:val="00AC66CC"/>
    <w:rsid w:val="00AC66FE"/>
    <w:rsid w:val="00AC67A0"/>
    <w:rsid w:val="00AC68AF"/>
    <w:rsid w:val="00AC69CE"/>
    <w:rsid w:val="00AC6AE1"/>
    <w:rsid w:val="00AC6E46"/>
    <w:rsid w:val="00AC6EB4"/>
    <w:rsid w:val="00AC6FC3"/>
    <w:rsid w:val="00AC704B"/>
    <w:rsid w:val="00AC72D7"/>
    <w:rsid w:val="00AC72EF"/>
    <w:rsid w:val="00AC7666"/>
    <w:rsid w:val="00AC7727"/>
    <w:rsid w:val="00AC7883"/>
    <w:rsid w:val="00AC7A30"/>
    <w:rsid w:val="00AC7CC6"/>
    <w:rsid w:val="00AC7CE6"/>
    <w:rsid w:val="00AC7CF5"/>
    <w:rsid w:val="00AC7DC1"/>
    <w:rsid w:val="00AC7E57"/>
    <w:rsid w:val="00AC7F82"/>
    <w:rsid w:val="00AD002D"/>
    <w:rsid w:val="00AD04E0"/>
    <w:rsid w:val="00AD04EE"/>
    <w:rsid w:val="00AD0DF0"/>
    <w:rsid w:val="00AD0F2F"/>
    <w:rsid w:val="00AD0F91"/>
    <w:rsid w:val="00AD107A"/>
    <w:rsid w:val="00AD10E8"/>
    <w:rsid w:val="00AD112F"/>
    <w:rsid w:val="00AD1977"/>
    <w:rsid w:val="00AD197C"/>
    <w:rsid w:val="00AD1A63"/>
    <w:rsid w:val="00AD1F67"/>
    <w:rsid w:val="00AD226A"/>
    <w:rsid w:val="00AD22D6"/>
    <w:rsid w:val="00AD27A8"/>
    <w:rsid w:val="00AD2A00"/>
    <w:rsid w:val="00AD2B00"/>
    <w:rsid w:val="00AD2CBC"/>
    <w:rsid w:val="00AD2E66"/>
    <w:rsid w:val="00AD2E6A"/>
    <w:rsid w:val="00AD2EE7"/>
    <w:rsid w:val="00AD3032"/>
    <w:rsid w:val="00AD31F7"/>
    <w:rsid w:val="00AD3209"/>
    <w:rsid w:val="00AD3402"/>
    <w:rsid w:val="00AD3536"/>
    <w:rsid w:val="00AD35F9"/>
    <w:rsid w:val="00AD366D"/>
    <w:rsid w:val="00AD3DFB"/>
    <w:rsid w:val="00AD3EB9"/>
    <w:rsid w:val="00AD3EDD"/>
    <w:rsid w:val="00AD41A0"/>
    <w:rsid w:val="00AD420C"/>
    <w:rsid w:val="00AD46DE"/>
    <w:rsid w:val="00AD4748"/>
    <w:rsid w:val="00AD4833"/>
    <w:rsid w:val="00AD493C"/>
    <w:rsid w:val="00AD495B"/>
    <w:rsid w:val="00AD4A35"/>
    <w:rsid w:val="00AD4B0B"/>
    <w:rsid w:val="00AD4CB6"/>
    <w:rsid w:val="00AD4CBE"/>
    <w:rsid w:val="00AD4CF7"/>
    <w:rsid w:val="00AD4D7F"/>
    <w:rsid w:val="00AD527B"/>
    <w:rsid w:val="00AD535A"/>
    <w:rsid w:val="00AD56FD"/>
    <w:rsid w:val="00AD5A61"/>
    <w:rsid w:val="00AD5C6F"/>
    <w:rsid w:val="00AD5DBC"/>
    <w:rsid w:val="00AD5E32"/>
    <w:rsid w:val="00AD5E6A"/>
    <w:rsid w:val="00AD6209"/>
    <w:rsid w:val="00AD65A3"/>
    <w:rsid w:val="00AD69AD"/>
    <w:rsid w:val="00AD6E74"/>
    <w:rsid w:val="00AD6EE8"/>
    <w:rsid w:val="00AD730E"/>
    <w:rsid w:val="00AD7711"/>
    <w:rsid w:val="00AD7813"/>
    <w:rsid w:val="00AD78AD"/>
    <w:rsid w:val="00AD7A95"/>
    <w:rsid w:val="00AD7CD2"/>
    <w:rsid w:val="00AE0228"/>
    <w:rsid w:val="00AE02B4"/>
    <w:rsid w:val="00AE093B"/>
    <w:rsid w:val="00AE0AC3"/>
    <w:rsid w:val="00AE0CDB"/>
    <w:rsid w:val="00AE0D17"/>
    <w:rsid w:val="00AE0F48"/>
    <w:rsid w:val="00AE11DC"/>
    <w:rsid w:val="00AE1200"/>
    <w:rsid w:val="00AE12D9"/>
    <w:rsid w:val="00AE147F"/>
    <w:rsid w:val="00AE156E"/>
    <w:rsid w:val="00AE173F"/>
    <w:rsid w:val="00AE1B92"/>
    <w:rsid w:val="00AE1BE2"/>
    <w:rsid w:val="00AE1C2D"/>
    <w:rsid w:val="00AE1E72"/>
    <w:rsid w:val="00AE1E8D"/>
    <w:rsid w:val="00AE1F09"/>
    <w:rsid w:val="00AE1FF8"/>
    <w:rsid w:val="00AE2371"/>
    <w:rsid w:val="00AE25F5"/>
    <w:rsid w:val="00AE26D2"/>
    <w:rsid w:val="00AE28A0"/>
    <w:rsid w:val="00AE2A2C"/>
    <w:rsid w:val="00AE2B41"/>
    <w:rsid w:val="00AE2B7B"/>
    <w:rsid w:val="00AE2DC3"/>
    <w:rsid w:val="00AE2EF1"/>
    <w:rsid w:val="00AE317C"/>
    <w:rsid w:val="00AE3191"/>
    <w:rsid w:val="00AE3490"/>
    <w:rsid w:val="00AE34D5"/>
    <w:rsid w:val="00AE36C1"/>
    <w:rsid w:val="00AE3824"/>
    <w:rsid w:val="00AE3844"/>
    <w:rsid w:val="00AE3D1C"/>
    <w:rsid w:val="00AE3FD2"/>
    <w:rsid w:val="00AE4172"/>
    <w:rsid w:val="00AE42B6"/>
    <w:rsid w:val="00AE48D7"/>
    <w:rsid w:val="00AE49B9"/>
    <w:rsid w:val="00AE49CC"/>
    <w:rsid w:val="00AE4FFB"/>
    <w:rsid w:val="00AE5136"/>
    <w:rsid w:val="00AE514D"/>
    <w:rsid w:val="00AE555B"/>
    <w:rsid w:val="00AE59D3"/>
    <w:rsid w:val="00AE5CF8"/>
    <w:rsid w:val="00AE5D3B"/>
    <w:rsid w:val="00AE5D7B"/>
    <w:rsid w:val="00AE60D5"/>
    <w:rsid w:val="00AE6595"/>
    <w:rsid w:val="00AE66F1"/>
    <w:rsid w:val="00AE74F5"/>
    <w:rsid w:val="00AE762D"/>
    <w:rsid w:val="00AE77DE"/>
    <w:rsid w:val="00AE7A68"/>
    <w:rsid w:val="00AE7B9A"/>
    <w:rsid w:val="00AF0171"/>
    <w:rsid w:val="00AF0296"/>
    <w:rsid w:val="00AF03AB"/>
    <w:rsid w:val="00AF04EA"/>
    <w:rsid w:val="00AF05B9"/>
    <w:rsid w:val="00AF08B1"/>
    <w:rsid w:val="00AF08EF"/>
    <w:rsid w:val="00AF0E5E"/>
    <w:rsid w:val="00AF0E70"/>
    <w:rsid w:val="00AF0F5C"/>
    <w:rsid w:val="00AF101A"/>
    <w:rsid w:val="00AF1070"/>
    <w:rsid w:val="00AF1094"/>
    <w:rsid w:val="00AF17B7"/>
    <w:rsid w:val="00AF1C55"/>
    <w:rsid w:val="00AF1C85"/>
    <w:rsid w:val="00AF1CAA"/>
    <w:rsid w:val="00AF1DD6"/>
    <w:rsid w:val="00AF1E33"/>
    <w:rsid w:val="00AF1E91"/>
    <w:rsid w:val="00AF1F57"/>
    <w:rsid w:val="00AF1F8E"/>
    <w:rsid w:val="00AF2171"/>
    <w:rsid w:val="00AF21CD"/>
    <w:rsid w:val="00AF29B9"/>
    <w:rsid w:val="00AF2ECE"/>
    <w:rsid w:val="00AF2FF6"/>
    <w:rsid w:val="00AF325C"/>
    <w:rsid w:val="00AF330E"/>
    <w:rsid w:val="00AF3481"/>
    <w:rsid w:val="00AF3916"/>
    <w:rsid w:val="00AF3928"/>
    <w:rsid w:val="00AF3A03"/>
    <w:rsid w:val="00AF3BA3"/>
    <w:rsid w:val="00AF3ECB"/>
    <w:rsid w:val="00AF441C"/>
    <w:rsid w:val="00AF4453"/>
    <w:rsid w:val="00AF4678"/>
    <w:rsid w:val="00AF4679"/>
    <w:rsid w:val="00AF4697"/>
    <w:rsid w:val="00AF47C1"/>
    <w:rsid w:val="00AF4B79"/>
    <w:rsid w:val="00AF4E49"/>
    <w:rsid w:val="00AF4EAD"/>
    <w:rsid w:val="00AF4F7A"/>
    <w:rsid w:val="00AF50BA"/>
    <w:rsid w:val="00AF5292"/>
    <w:rsid w:val="00AF5520"/>
    <w:rsid w:val="00AF557E"/>
    <w:rsid w:val="00AF55BA"/>
    <w:rsid w:val="00AF59BF"/>
    <w:rsid w:val="00AF5AC9"/>
    <w:rsid w:val="00AF5B52"/>
    <w:rsid w:val="00AF5B9D"/>
    <w:rsid w:val="00AF607A"/>
    <w:rsid w:val="00AF61D9"/>
    <w:rsid w:val="00AF6266"/>
    <w:rsid w:val="00AF626B"/>
    <w:rsid w:val="00AF65E2"/>
    <w:rsid w:val="00AF67A7"/>
    <w:rsid w:val="00AF697E"/>
    <w:rsid w:val="00AF6A5D"/>
    <w:rsid w:val="00AF6B5C"/>
    <w:rsid w:val="00AF6BD4"/>
    <w:rsid w:val="00AF6BDA"/>
    <w:rsid w:val="00AF6E6D"/>
    <w:rsid w:val="00AF6F84"/>
    <w:rsid w:val="00AF7060"/>
    <w:rsid w:val="00AF7259"/>
    <w:rsid w:val="00AF73ED"/>
    <w:rsid w:val="00AF7437"/>
    <w:rsid w:val="00AF74C3"/>
    <w:rsid w:val="00AF75B8"/>
    <w:rsid w:val="00AF760F"/>
    <w:rsid w:val="00AF78BB"/>
    <w:rsid w:val="00AF78E8"/>
    <w:rsid w:val="00AF7915"/>
    <w:rsid w:val="00AF7989"/>
    <w:rsid w:val="00AF798A"/>
    <w:rsid w:val="00AF7CAE"/>
    <w:rsid w:val="00AF7DC9"/>
    <w:rsid w:val="00AF7FD4"/>
    <w:rsid w:val="00B003AF"/>
    <w:rsid w:val="00B00AC4"/>
    <w:rsid w:val="00B00C5C"/>
    <w:rsid w:val="00B00E09"/>
    <w:rsid w:val="00B00EEB"/>
    <w:rsid w:val="00B00F57"/>
    <w:rsid w:val="00B0121B"/>
    <w:rsid w:val="00B01558"/>
    <w:rsid w:val="00B015C2"/>
    <w:rsid w:val="00B016AE"/>
    <w:rsid w:val="00B01816"/>
    <w:rsid w:val="00B01833"/>
    <w:rsid w:val="00B01882"/>
    <w:rsid w:val="00B01960"/>
    <w:rsid w:val="00B01D98"/>
    <w:rsid w:val="00B01F12"/>
    <w:rsid w:val="00B0207E"/>
    <w:rsid w:val="00B020DC"/>
    <w:rsid w:val="00B02217"/>
    <w:rsid w:val="00B028BA"/>
    <w:rsid w:val="00B02CF5"/>
    <w:rsid w:val="00B02E5E"/>
    <w:rsid w:val="00B02F8F"/>
    <w:rsid w:val="00B030CD"/>
    <w:rsid w:val="00B035AA"/>
    <w:rsid w:val="00B03C49"/>
    <w:rsid w:val="00B03CE0"/>
    <w:rsid w:val="00B03CE3"/>
    <w:rsid w:val="00B0412F"/>
    <w:rsid w:val="00B04673"/>
    <w:rsid w:val="00B04711"/>
    <w:rsid w:val="00B04DC5"/>
    <w:rsid w:val="00B04E1C"/>
    <w:rsid w:val="00B04E81"/>
    <w:rsid w:val="00B05338"/>
    <w:rsid w:val="00B053D2"/>
    <w:rsid w:val="00B054E5"/>
    <w:rsid w:val="00B05951"/>
    <w:rsid w:val="00B059D1"/>
    <w:rsid w:val="00B05A87"/>
    <w:rsid w:val="00B05AD9"/>
    <w:rsid w:val="00B05BE8"/>
    <w:rsid w:val="00B05C37"/>
    <w:rsid w:val="00B05DC8"/>
    <w:rsid w:val="00B0624D"/>
    <w:rsid w:val="00B0636F"/>
    <w:rsid w:val="00B0670E"/>
    <w:rsid w:val="00B06731"/>
    <w:rsid w:val="00B0705C"/>
    <w:rsid w:val="00B071B6"/>
    <w:rsid w:val="00B07414"/>
    <w:rsid w:val="00B074EA"/>
    <w:rsid w:val="00B07D9A"/>
    <w:rsid w:val="00B1007B"/>
    <w:rsid w:val="00B10538"/>
    <w:rsid w:val="00B1053A"/>
    <w:rsid w:val="00B10A41"/>
    <w:rsid w:val="00B10AA9"/>
    <w:rsid w:val="00B10B2A"/>
    <w:rsid w:val="00B10CEC"/>
    <w:rsid w:val="00B1175B"/>
    <w:rsid w:val="00B117EF"/>
    <w:rsid w:val="00B11B61"/>
    <w:rsid w:val="00B11DEE"/>
    <w:rsid w:val="00B11E83"/>
    <w:rsid w:val="00B122CA"/>
    <w:rsid w:val="00B124C3"/>
    <w:rsid w:val="00B1258D"/>
    <w:rsid w:val="00B12922"/>
    <w:rsid w:val="00B12D96"/>
    <w:rsid w:val="00B12E90"/>
    <w:rsid w:val="00B12EE0"/>
    <w:rsid w:val="00B12F56"/>
    <w:rsid w:val="00B12FA3"/>
    <w:rsid w:val="00B13079"/>
    <w:rsid w:val="00B13168"/>
    <w:rsid w:val="00B13177"/>
    <w:rsid w:val="00B132C2"/>
    <w:rsid w:val="00B134CB"/>
    <w:rsid w:val="00B13866"/>
    <w:rsid w:val="00B13D62"/>
    <w:rsid w:val="00B13DDA"/>
    <w:rsid w:val="00B13FC3"/>
    <w:rsid w:val="00B140EA"/>
    <w:rsid w:val="00B14458"/>
    <w:rsid w:val="00B14583"/>
    <w:rsid w:val="00B14AB6"/>
    <w:rsid w:val="00B14ABF"/>
    <w:rsid w:val="00B14C29"/>
    <w:rsid w:val="00B14C90"/>
    <w:rsid w:val="00B14E2E"/>
    <w:rsid w:val="00B14EDF"/>
    <w:rsid w:val="00B14F2C"/>
    <w:rsid w:val="00B1581E"/>
    <w:rsid w:val="00B158FB"/>
    <w:rsid w:val="00B15945"/>
    <w:rsid w:val="00B15CED"/>
    <w:rsid w:val="00B15D05"/>
    <w:rsid w:val="00B15D12"/>
    <w:rsid w:val="00B15E0D"/>
    <w:rsid w:val="00B15F86"/>
    <w:rsid w:val="00B161F8"/>
    <w:rsid w:val="00B16265"/>
    <w:rsid w:val="00B1626B"/>
    <w:rsid w:val="00B1626F"/>
    <w:rsid w:val="00B1628D"/>
    <w:rsid w:val="00B16613"/>
    <w:rsid w:val="00B168E3"/>
    <w:rsid w:val="00B16DC5"/>
    <w:rsid w:val="00B16E85"/>
    <w:rsid w:val="00B16F93"/>
    <w:rsid w:val="00B16FA0"/>
    <w:rsid w:val="00B176FE"/>
    <w:rsid w:val="00B17876"/>
    <w:rsid w:val="00B17BE3"/>
    <w:rsid w:val="00B17C2E"/>
    <w:rsid w:val="00B17D85"/>
    <w:rsid w:val="00B17EBF"/>
    <w:rsid w:val="00B17F5C"/>
    <w:rsid w:val="00B20315"/>
    <w:rsid w:val="00B204BE"/>
    <w:rsid w:val="00B20513"/>
    <w:rsid w:val="00B20562"/>
    <w:rsid w:val="00B2083C"/>
    <w:rsid w:val="00B209BD"/>
    <w:rsid w:val="00B20B55"/>
    <w:rsid w:val="00B20BC5"/>
    <w:rsid w:val="00B20BF0"/>
    <w:rsid w:val="00B20CE7"/>
    <w:rsid w:val="00B210E5"/>
    <w:rsid w:val="00B2182B"/>
    <w:rsid w:val="00B21B5E"/>
    <w:rsid w:val="00B21C73"/>
    <w:rsid w:val="00B21C8C"/>
    <w:rsid w:val="00B21CB3"/>
    <w:rsid w:val="00B220E6"/>
    <w:rsid w:val="00B2264B"/>
    <w:rsid w:val="00B22A91"/>
    <w:rsid w:val="00B22AF2"/>
    <w:rsid w:val="00B22B4A"/>
    <w:rsid w:val="00B22B53"/>
    <w:rsid w:val="00B22DD6"/>
    <w:rsid w:val="00B2335D"/>
    <w:rsid w:val="00B237DD"/>
    <w:rsid w:val="00B2389A"/>
    <w:rsid w:val="00B23953"/>
    <w:rsid w:val="00B24087"/>
    <w:rsid w:val="00B240E3"/>
    <w:rsid w:val="00B241FF"/>
    <w:rsid w:val="00B24294"/>
    <w:rsid w:val="00B24624"/>
    <w:rsid w:val="00B2467D"/>
    <w:rsid w:val="00B24818"/>
    <w:rsid w:val="00B249E3"/>
    <w:rsid w:val="00B24A6C"/>
    <w:rsid w:val="00B24B46"/>
    <w:rsid w:val="00B24D3A"/>
    <w:rsid w:val="00B24E4A"/>
    <w:rsid w:val="00B24ECF"/>
    <w:rsid w:val="00B24EFF"/>
    <w:rsid w:val="00B25079"/>
    <w:rsid w:val="00B25113"/>
    <w:rsid w:val="00B25312"/>
    <w:rsid w:val="00B253A6"/>
    <w:rsid w:val="00B255AA"/>
    <w:rsid w:val="00B25821"/>
    <w:rsid w:val="00B25847"/>
    <w:rsid w:val="00B25900"/>
    <w:rsid w:val="00B25AA9"/>
    <w:rsid w:val="00B25C8F"/>
    <w:rsid w:val="00B25DDB"/>
    <w:rsid w:val="00B25F7C"/>
    <w:rsid w:val="00B25FC6"/>
    <w:rsid w:val="00B26059"/>
    <w:rsid w:val="00B26064"/>
    <w:rsid w:val="00B26107"/>
    <w:rsid w:val="00B263F0"/>
    <w:rsid w:val="00B2683B"/>
    <w:rsid w:val="00B269D5"/>
    <w:rsid w:val="00B26B2B"/>
    <w:rsid w:val="00B26DFC"/>
    <w:rsid w:val="00B2723A"/>
    <w:rsid w:val="00B272B7"/>
    <w:rsid w:val="00B27423"/>
    <w:rsid w:val="00B27455"/>
    <w:rsid w:val="00B274D0"/>
    <w:rsid w:val="00B2781C"/>
    <w:rsid w:val="00B2792D"/>
    <w:rsid w:val="00B27A34"/>
    <w:rsid w:val="00B27A8D"/>
    <w:rsid w:val="00B27AAB"/>
    <w:rsid w:val="00B27D78"/>
    <w:rsid w:val="00B3034A"/>
    <w:rsid w:val="00B30365"/>
    <w:rsid w:val="00B303A3"/>
    <w:rsid w:val="00B30A14"/>
    <w:rsid w:val="00B30BD7"/>
    <w:rsid w:val="00B30C86"/>
    <w:rsid w:val="00B30F6B"/>
    <w:rsid w:val="00B31149"/>
    <w:rsid w:val="00B312E4"/>
    <w:rsid w:val="00B3130B"/>
    <w:rsid w:val="00B313FD"/>
    <w:rsid w:val="00B31525"/>
    <w:rsid w:val="00B31A11"/>
    <w:rsid w:val="00B32415"/>
    <w:rsid w:val="00B3257F"/>
    <w:rsid w:val="00B325AB"/>
    <w:rsid w:val="00B327DA"/>
    <w:rsid w:val="00B32A33"/>
    <w:rsid w:val="00B32ADE"/>
    <w:rsid w:val="00B3309B"/>
    <w:rsid w:val="00B3332A"/>
    <w:rsid w:val="00B33353"/>
    <w:rsid w:val="00B33369"/>
    <w:rsid w:val="00B33767"/>
    <w:rsid w:val="00B3380E"/>
    <w:rsid w:val="00B3397C"/>
    <w:rsid w:val="00B33A98"/>
    <w:rsid w:val="00B345D8"/>
    <w:rsid w:val="00B34CE3"/>
    <w:rsid w:val="00B34D23"/>
    <w:rsid w:val="00B34DD8"/>
    <w:rsid w:val="00B34E2A"/>
    <w:rsid w:val="00B34F88"/>
    <w:rsid w:val="00B3501F"/>
    <w:rsid w:val="00B3504C"/>
    <w:rsid w:val="00B35069"/>
    <w:rsid w:val="00B353D5"/>
    <w:rsid w:val="00B35664"/>
    <w:rsid w:val="00B356C7"/>
    <w:rsid w:val="00B357CF"/>
    <w:rsid w:val="00B35928"/>
    <w:rsid w:val="00B35A00"/>
    <w:rsid w:val="00B35A47"/>
    <w:rsid w:val="00B35B9F"/>
    <w:rsid w:val="00B35C6F"/>
    <w:rsid w:val="00B35E6C"/>
    <w:rsid w:val="00B367C1"/>
    <w:rsid w:val="00B36A19"/>
    <w:rsid w:val="00B36D6D"/>
    <w:rsid w:val="00B36E72"/>
    <w:rsid w:val="00B36EA7"/>
    <w:rsid w:val="00B36EBF"/>
    <w:rsid w:val="00B37129"/>
    <w:rsid w:val="00B37460"/>
    <w:rsid w:val="00B37474"/>
    <w:rsid w:val="00B37AEE"/>
    <w:rsid w:val="00B37F8F"/>
    <w:rsid w:val="00B37FCB"/>
    <w:rsid w:val="00B4034A"/>
    <w:rsid w:val="00B406DC"/>
    <w:rsid w:val="00B40D7B"/>
    <w:rsid w:val="00B40F03"/>
    <w:rsid w:val="00B4123C"/>
    <w:rsid w:val="00B4125D"/>
    <w:rsid w:val="00B41489"/>
    <w:rsid w:val="00B416A7"/>
    <w:rsid w:val="00B418C8"/>
    <w:rsid w:val="00B41A21"/>
    <w:rsid w:val="00B41B01"/>
    <w:rsid w:val="00B41EF0"/>
    <w:rsid w:val="00B420F4"/>
    <w:rsid w:val="00B42283"/>
    <w:rsid w:val="00B4264E"/>
    <w:rsid w:val="00B42665"/>
    <w:rsid w:val="00B42682"/>
    <w:rsid w:val="00B42947"/>
    <w:rsid w:val="00B42963"/>
    <w:rsid w:val="00B42DF3"/>
    <w:rsid w:val="00B431BC"/>
    <w:rsid w:val="00B43768"/>
    <w:rsid w:val="00B437A9"/>
    <w:rsid w:val="00B439D8"/>
    <w:rsid w:val="00B43A06"/>
    <w:rsid w:val="00B43AB3"/>
    <w:rsid w:val="00B43E06"/>
    <w:rsid w:val="00B43E26"/>
    <w:rsid w:val="00B4409A"/>
    <w:rsid w:val="00B4421D"/>
    <w:rsid w:val="00B4437C"/>
    <w:rsid w:val="00B44883"/>
    <w:rsid w:val="00B448A1"/>
    <w:rsid w:val="00B44A77"/>
    <w:rsid w:val="00B44CD2"/>
    <w:rsid w:val="00B44D01"/>
    <w:rsid w:val="00B44F86"/>
    <w:rsid w:val="00B4526E"/>
    <w:rsid w:val="00B4588F"/>
    <w:rsid w:val="00B45A10"/>
    <w:rsid w:val="00B45A38"/>
    <w:rsid w:val="00B45C15"/>
    <w:rsid w:val="00B45D13"/>
    <w:rsid w:val="00B45E2A"/>
    <w:rsid w:val="00B45EB7"/>
    <w:rsid w:val="00B45EEC"/>
    <w:rsid w:val="00B46042"/>
    <w:rsid w:val="00B46195"/>
    <w:rsid w:val="00B46291"/>
    <w:rsid w:val="00B46383"/>
    <w:rsid w:val="00B4677F"/>
    <w:rsid w:val="00B4679C"/>
    <w:rsid w:val="00B46ADA"/>
    <w:rsid w:val="00B46D2F"/>
    <w:rsid w:val="00B46DEF"/>
    <w:rsid w:val="00B46FB7"/>
    <w:rsid w:val="00B47056"/>
    <w:rsid w:val="00B4707B"/>
    <w:rsid w:val="00B47247"/>
    <w:rsid w:val="00B47352"/>
    <w:rsid w:val="00B47388"/>
    <w:rsid w:val="00B474C1"/>
    <w:rsid w:val="00B474CC"/>
    <w:rsid w:val="00B47597"/>
    <w:rsid w:val="00B477B0"/>
    <w:rsid w:val="00B477FB"/>
    <w:rsid w:val="00B4792A"/>
    <w:rsid w:val="00B479A6"/>
    <w:rsid w:val="00B47A0E"/>
    <w:rsid w:val="00B47A1A"/>
    <w:rsid w:val="00B47BE9"/>
    <w:rsid w:val="00B47E9D"/>
    <w:rsid w:val="00B47EBA"/>
    <w:rsid w:val="00B501B2"/>
    <w:rsid w:val="00B501CB"/>
    <w:rsid w:val="00B502B1"/>
    <w:rsid w:val="00B503B0"/>
    <w:rsid w:val="00B505C7"/>
    <w:rsid w:val="00B50689"/>
    <w:rsid w:val="00B50734"/>
    <w:rsid w:val="00B507E0"/>
    <w:rsid w:val="00B5089A"/>
    <w:rsid w:val="00B50A32"/>
    <w:rsid w:val="00B50B55"/>
    <w:rsid w:val="00B50BA5"/>
    <w:rsid w:val="00B50EF6"/>
    <w:rsid w:val="00B50F76"/>
    <w:rsid w:val="00B5127A"/>
    <w:rsid w:val="00B5134A"/>
    <w:rsid w:val="00B5141F"/>
    <w:rsid w:val="00B5156C"/>
    <w:rsid w:val="00B515A8"/>
    <w:rsid w:val="00B5165F"/>
    <w:rsid w:val="00B517F7"/>
    <w:rsid w:val="00B51827"/>
    <w:rsid w:val="00B51A2A"/>
    <w:rsid w:val="00B51C9A"/>
    <w:rsid w:val="00B51DEF"/>
    <w:rsid w:val="00B520BE"/>
    <w:rsid w:val="00B52AF5"/>
    <w:rsid w:val="00B52B81"/>
    <w:rsid w:val="00B52DEE"/>
    <w:rsid w:val="00B52F0C"/>
    <w:rsid w:val="00B52FE0"/>
    <w:rsid w:val="00B53392"/>
    <w:rsid w:val="00B53949"/>
    <w:rsid w:val="00B53E78"/>
    <w:rsid w:val="00B53F74"/>
    <w:rsid w:val="00B53FC5"/>
    <w:rsid w:val="00B54099"/>
    <w:rsid w:val="00B541AD"/>
    <w:rsid w:val="00B543D4"/>
    <w:rsid w:val="00B549FD"/>
    <w:rsid w:val="00B54E49"/>
    <w:rsid w:val="00B54EB7"/>
    <w:rsid w:val="00B5510F"/>
    <w:rsid w:val="00B55162"/>
    <w:rsid w:val="00B5517B"/>
    <w:rsid w:val="00B551DB"/>
    <w:rsid w:val="00B5583E"/>
    <w:rsid w:val="00B558D3"/>
    <w:rsid w:val="00B558D9"/>
    <w:rsid w:val="00B559A1"/>
    <w:rsid w:val="00B55ABE"/>
    <w:rsid w:val="00B55AE0"/>
    <w:rsid w:val="00B55EB5"/>
    <w:rsid w:val="00B561A9"/>
    <w:rsid w:val="00B56263"/>
    <w:rsid w:val="00B56433"/>
    <w:rsid w:val="00B56493"/>
    <w:rsid w:val="00B56680"/>
    <w:rsid w:val="00B56979"/>
    <w:rsid w:val="00B56AC6"/>
    <w:rsid w:val="00B56B5F"/>
    <w:rsid w:val="00B56D78"/>
    <w:rsid w:val="00B56DEC"/>
    <w:rsid w:val="00B56DEF"/>
    <w:rsid w:val="00B5715A"/>
    <w:rsid w:val="00B5742A"/>
    <w:rsid w:val="00B5762D"/>
    <w:rsid w:val="00B576C6"/>
    <w:rsid w:val="00B576F5"/>
    <w:rsid w:val="00B57CDF"/>
    <w:rsid w:val="00B57CF1"/>
    <w:rsid w:val="00B600B6"/>
    <w:rsid w:val="00B6017C"/>
    <w:rsid w:val="00B60751"/>
    <w:rsid w:val="00B607BC"/>
    <w:rsid w:val="00B607DC"/>
    <w:rsid w:val="00B609DA"/>
    <w:rsid w:val="00B60F82"/>
    <w:rsid w:val="00B60FCD"/>
    <w:rsid w:val="00B61049"/>
    <w:rsid w:val="00B6162E"/>
    <w:rsid w:val="00B61927"/>
    <w:rsid w:val="00B61DA7"/>
    <w:rsid w:val="00B61EF2"/>
    <w:rsid w:val="00B61F9F"/>
    <w:rsid w:val="00B61FC3"/>
    <w:rsid w:val="00B620C1"/>
    <w:rsid w:val="00B62262"/>
    <w:rsid w:val="00B622A4"/>
    <w:rsid w:val="00B62390"/>
    <w:rsid w:val="00B62496"/>
    <w:rsid w:val="00B62686"/>
    <w:rsid w:val="00B6273C"/>
    <w:rsid w:val="00B627C0"/>
    <w:rsid w:val="00B6285A"/>
    <w:rsid w:val="00B62886"/>
    <w:rsid w:val="00B628D1"/>
    <w:rsid w:val="00B6299A"/>
    <w:rsid w:val="00B62A7A"/>
    <w:rsid w:val="00B62B15"/>
    <w:rsid w:val="00B62DFA"/>
    <w:rsid w:val="00B62FB0"/>
    <w:rsid w:val="00B62FFE"/>
    <w:rsid w:val="00B6319F"/>
    <w:rsid w:val="00B63992"/>
    <w:rsid w:val="00B63BE6"/>
    <w:rsid w:val="00B63F5C"/>
    <w:rsid w:val="00B64148"/>
    <w:rsid w:val="00B644FD"/>
    <w:rsid w:val="00B648B4"/>
    <w:rsid w:val="00B64920"/>
    <w:rsid w:val="00B64EA3"/>
    <w:rsid w:val="00B650D3"/>
    <w:rsid w:val="00B6580B"/>
    <w:rsid w:val="00B6590F"/>
    <w:rsid w:val="00B65C53"/>
    <w:rsid w:val="00B65C90"/>
    <w:rsid w:val="00B65E46"/>
    <w:rsid w:val="00B65FDD"/>
    <w:rsid w:val="00B66114"/>
    <w:rsid w:val="00B662A0"/>
    <w:rsid w:val="00B662E3"/>
    <w:rsid w:val="00B66406"/>
    <w:rsid w:val="00B6665A"/>
    <w:rsid w:val="00B668F8"/>
    <w:rsid w:val="00B66A25"/>
    <w:rsid w:val="00B66C47"/>
    <w:rsid w:val="00B66CFC"/>
    <w:rsid w:val="00B674DC"/>
    <w:rsid w:val="00B67503"/>
    <w:rsid w:val="00B6766C"/>
    <w:rsid w:val="00B677D2"/>
    <w:rsid w:val="00B678D0"/>
    <w:rsid w:val="00B67976"/>
    <w:rsid w:val="00B67A37"/>
    <w:rsid w:val="00B67B6F"/>
    <w:rsid w:val="00B67F83"/>
    <w:rsid w:val="00B70097"/>
    <w:rsid w:val="00B70137"/>
    <w:rsid w:val="00B701F0"/>
    <w:rsid w:val="00B70317"/>
    <w:rsid w:val="00B704A9"/>
    <w:rsid w:val="00B704E0"/>
    <w:rsid w:val="00B70747"/>
    <w:rsid w:val="00B70893"/>
    <w:rsid w:val="00B7097C"/>
    <w:rsid w:val="00B70D04"/>
    <w:rsid w:val="00B70F75"/>
    <w:rsid w:val="00B7107C"/>
    <w:rsid w:val="00B71392"/>
    <w:rsid w:val="00B7166A"/>
    <w:rsid w:val="00B716BE"/>
    <w:rsid w:val="00B716CB"/>
    <w:rsid w:val="00B718C3"/>
    <w:rsid w:val="00B71ED8"/>
    <w:rsid w:val="00B7200A"/>
    <w:rsid w:val="00B7207F"/>
    <w:rsid w:val="00B72228"/>
    <w:rsid w:val="00B722A3"/>
    <w:rsid w:val="00B725C4"/>
    <w:rsid w:val="00B72918"/>
    <w:rsid w:val="00B72A28"/>
    <w:rsid w:val="00B72DED"/>
    <w:rsid w:val="00B72E84"/>
    <w:rsid w:val="00B72EAA"/>
    <w:rsid w:val="00B72F62"/>
    <w:rsid w:val="00B72FA4"/>
    <w:rsid w:val="00B730A3"/>
    <w:rsid w:val="00B73129"/>
    <w:rsid w:val="00B73695"/>
    <w:rsid w:val="00B739D5"/>
    <w:rsid w:val="00B73EC6"/>
    <w:rsid w:val="00B741FD"/>
    <w:rsid w:val="00B74473"/>
    <w:rsid w:val="00B7458E"/>
    <w:rsid w:val="00B7499E"/>
    <w:rsid w:val="00B74C54"/>
    <w:rsid w:val="00B74C69"/>
    <w:rsid w:val="00B74F3D"/>
    <w:rsid w:val="00B75064"/>
    <w:rsid w:val="00B7514A"/>
    <w:rsid w:val="00B75363"/>
    <w:rsid w:val="00B756FE"/>
    <w:rsid w:val="00B7572A"/>
    <w:rsid w:val="00B758E2"/>
    <w:rsid w:val="00B759E6"/>
    <w:rsid w:val="00B75B01"/>
    <w:rsid w:val="00B75B8E"/>
    <w:rsid w:val="00B75C71"/>
    <w:rsid w:val="00B75CA6"/>
    <w:rsid w:val="00B75FE0"/>
    <w:rsid w:val="00B761C2"/>
    <w:rsid w:val="00B761CB"/>
    <w:rsid w:val="00B76483"/>
    <w:rsid w:val="00B76679"/>
    <w:rsid w:val="00B76844"/>
    <w:rsid w:val="00B769CB"/>
    <w:rsid w:val="00B76F37"/>
    <w:rsid w:val="00B77002"/>
    <w:rsid w:val="00B770AA"/>
    <w:rsid w:val="00B770EB"/>
    <w:rsid w:val="00B7723E"/>
    <w:rsid w:val="00B773DD"/>
    <w:rsid w:val="00B773E6"/>
    <w:rsid w:val="00B7757A"/>
    <w:rsid w:val="00B778F3"/>
    <w:rsid w:val="00B80175"/>
    <w:rsid w:val="00B8030B"/>
    <w:rsid w:val="00B80488"/>
    <w:rsid w:val="00B80A85"/>
    <w:rsid w:val="00B80DE1"/>
    <w:rsid w:val="00B8115B"/>
    <w:rsid w:val="00B81737"/>
    <w:rsid w:val="00B818A2"/>
    <w:rsid w:val="00B81A20"/>
    <w:rsid w:val="00B8206E"/>
    <w:rsid w:val="00B82345"/>
    <w:rsid w:val="00B8251B"/>
    <w:rsid w:val="00B8287F"/>
    <w:rsid w:val="00B82B6B"/>
    <w:rsid w:val="00B82EFA"/>
    <w:rsid w:val="00B836E3"/>
    <w:rsid w:val="00B836EC"/>
    <w:rsid w:val="00B8377F"/>
    <w:rsid w:val="00B837A3"/>
    <w:rsid w:val="00B83876"/>
    <w:rsid w:val="00B83B15"/>
    <w:rsid w:val="00B83EC5"/>
    <w:rsid w:val="00B83F72"/>
    <w:rsid w:val="00B83FA1"/>
    <w:rsid w:val="00B84550"/>
    <w:rsid w:val="00B845A5"/>
    <w:rsid w:val="00B847AB"/>
    <w:rsid w:val="00B849DC"/>
    <w:rsid w:val="00B84C78"/>
    <w:rsid w:val="00B84FD0"/>
    <w:rsid w:val="00B8510E"/>
    <w:rsid w:val="00B85179"/>
    <w:rsid w:val="00B852DE"/>
    <w:rsid w:val="00B856C0"/>
    <w:rsid w:val="00B8575F"/>
    <w:rsid w:val="00B857F4"/>
    <w:rsid w:val="00B85912"/>
    <w:rsid w:val="00B85967"/>
    <w:rsid w:val="00B85AAD"/>
    <w:rsid w:val="00B85DE2"/>
    <w:rsid w:val="00B85DEE"/>
    <w:rsid w:val="00B85E67"/>
    <w:rsid w:val="00B85FB2"/>
    <w:rsid w:val="00B8625F"/>
    <w:rsid w:val="00B8639D"/>
    <w:rsid w:val="00B86451"/>
    <w:rsid w:val="00B8688A"/>
    <w:rsid w:val="00B86B05"/>
    <w:rsid w:val="00B86E72"/>
    <w:rsid w:val="00B86FC8"/>
    <w:rsid w:val="00B87035"/>
    <w:rsid w:val="00B87207"/>
    <w:rsid w:val="00B8731A"/>
    <w:rsid w:val="00B8731E"/>
    <w:rsid w:val="00B87710"/>
    <w:rsid w:val="00B8782F"/>
    <w:rsid w:val="00B87CA1"/>
    <w:rsid w:val="00B90070"/>
    <w:rsid w:val="00B90159"/>
    <w:rsid w:val="00B902AD"/>
    <w:rsid w:val="00B9064E"/>
    <w:rsid w:val="00B90671"/>
    <w:rsid w:val="00B90B19"/>
    <w:rsid w:val="00B9103A"/>
    <w:rsid w:val="00B91229"/>
    <w:rsid w:val="00B914B1"/>
    <w:rsid w:val="00B91955"/>
    <w:rsid w:val="00B919E5"/>
    <w:rsid w:val="00B91B57"/>
    <w:rsid w:val="00B91D77"/>
    <w:rsid w:val="00B927A0"/>
    <w:rsid w:val="00B9323C"/>
    <w:rsid w:val="00B93300"/>
    <w:rsid w:val="00B9338A"/>
    <w:rsid w:val="00B93565"/>
    <w:rsid w:val="00B937C4"/>
    <w:rsid w:val="00B9388F"/>
    <w:rsid w:val="00B938FF"/>
    <w:rsid w:val="00B93A7F"/>
    <w:rsid w:val="00B93E40"/>
    <w:rsid w:val="00B940BD"/>
    <w:rsid w:val="00B94207"/>
    <w:rsid w:val="00B94208"/>
    <w:rsid w:val="00B94302"/>
    <w:rsid w:val="00B944C7"/>
    <w:rsid w:val="00B945CE"/>
    <w:rsid w:val="00B947AD"/>
    <w:rsid w:val="00B948F6"/>
    <w:rsid w:val="00B9494F"/>
    <w:rsid w:val="00B94D74"/>
    <w:rsid w:val="00B95107"/>
    <w:rsid w:val="00B955BC"/>
    <w:rsid w:val="00B9572A"/>
    <w:rsid w:val="00B959FA"/>
    <w:rsid w:val="00B95B6A"/>
    <w:rsid w:val="00B96091"/>
    <w:rsid w:val="00B963D1"/>
    <w:rsid w:val="00B9663F"/>
    <w:rsid w:val="00B967D4"/>
    <w:rsid w:val="00B9688F"/>
    <w:rsid w:val="00B96947"/>
    <w:rsid w:val="00B96AF5"/>
    <w:rsid w:val="00B96BE4"/>
    <w:rsid w:val="00B96D65"/>
    <w:rsid w:val="00B96E6C"/>
    <w:rsid w:val="00B96FF5"/>
    <w:rsid w:val="00B977CC"/>
    <w:rsid w:val="00B9789E"/>
    <w:rsid w:val="00B97A5F"/>
    <w:rsid w:val="00B97A83"/>
    <w:rsid w:val="00B97E02"/>
    <w:rsid w:val="00BA0074"/>
    <w:rsid w:val="00BA00F9"/>
    <w:rsid w:val="00BA0195"/>
    <w:rsid w:val="00BA0255"/>
    <w:rsid w:val="00BA047F"/>
    <w:rsid w:val="00BA04AD"/>
    <w:rsid w:val="00BA0533"/>
    <w:rsid w:val="00BA0563"/>
    <w:rsid w:val="00BA0578"/>
    <w:rsid w:val="00BA06FD"/>
    <w:rsid w:val="00BA078B"/>
    <w:rsid w:val="00BA07CB"/>
    <w:rsid w:val="00BA07EE"/>
    <w:rsid w:val="00BA0812"/>
    <w:rsid w:val="00BA084B"/>
    <w:rsid w:val="00BA090B"/>
    <w:rsid w:val="00BA0924"/>
    <w:rsid w:val="00BA0926"/>
    <w:rsid w:val="00BA097D"/>
    <w:rsid w:val="00BA0A02"/>
    <w:rsid w:val="00BA0BE5"/>
    <w:rsid w:val="00BA0C52"/>
    <w:rsid w:val="00BA0CBF"/>
    <w:rsid w:val="00BA1058"/>
    <w:rsid w:val="00BA116C"/>
    <w:rsid w:val="00BA12B8"/>
    <w:rsid w:val="00BA1373"/>
    <w:rsid w:val="00BA1422"/>
    <w:rsid w:val="00BA16D0"/>
    <w:rsid w:val="00BA188D"/>
    <w:rsid w:val="00BA18AC"/>
    <w:rsid w:val="00BA1B59"/>
    <w:rsid w:val="00BA1FAD"/>
    <w:rsid w:val="00BA1FEA"/>
    <w:rsid w:val="00BA22F0"/>
    <w:rsid w:val="00BA2306"/>
    <w:rsid w:val="00BA281D"/>
    <w:rsid w:val="00BA2C70"/>
    <w:rsid w:val="00BA2C99"/>
    <w:rsid w:val="00BA2CF4"/>
    <w:rsid w:val="00BA2F23"/>
    <w:rsid w:val="00BA3202"/>
    <w:rsid w:val="00BA3415"/>
    <w:rsid w:val="00BA396B"/>
    <w:rsid w:val="00BA3B2E"/>
    <w:rsid w:val="00BA3B39"/>
    <w:rsid w:val="00BA3B68"/>
    <w:rsid w:val="00BA3BB9"/>
    <w:rsid w:val="00BA3D00"/>
    <w:rsid w:val="00BA4318"/>
    <w:rsid w:val="00BA4474"/>
    <w:rsid w:val="00BA4484"/>
    <w:rsid w:val="00BA4948"/>
    <w:rsid w:val="00BA4BD3"/>
    <w:rsid w:val="00BA4E23"/>
    <w:rsid w:val="00BA4F7E"/>
    <w:rsid w:val="00BA535C"/>
    <w:rsid w:val="00BA53CF"/>
    <w:rsid w:val="00BA54DC"/>
    <w:rsid w:val="00BA5918"/>
    <w:rsid w:val="00BA5A62"/>
    <w:rsid w:val="00BA5F7B"/>
    <w:rsid w:val="00BA60B2"/>
    <w:rsid w:val="00BA62DB"/>
    <w:rsid w:val="00BA64CF"/>
    <w:rsid w:val="00BA66ED"/>
    <w:rsid w:val="00BA697D"/>
    <w:rsid w:val="00BA6BAE"/>
    <w:rsid w:val="00BA6D24"/>
    <w:rsid w:val="00BA7096"/>
    <w:rsid w:val="00BA722F"/>
    <w:rsid w:val="00BA7261"/>
    <w:rsid w:val="00BA7504"/>
    <w:rsid w:val="00BA7520"/>
    <w:rsid w:val="00BA7A68"/>
    <w:rsid w:val="00BA7BA6"/>
    <w:rsid w:val="00BA7BD5"/>
    <w:rsid w:val="00BB03E6"/>
    <w:rsid w:val="00BB0725"/>
    <w:rsid w:val="00BB0998"/>
    <w:rsid w:val="00BB0A30"/>
    <w:rsid w:val="00BB0F71"/>
    <w:rsid w:val="00BB11C3"/>
    <w:rsid w:val="00BB1209"/>
    <w:rsid w:val="00BB1573"/>
    <w:rsid w:val="00BB1E30"/>
    <w:rsid w:val="00BB1F45"/>
    <w:rsid w:val="00BB21E4"/>
    <w:rsid w:val="00BB222A"/>
    <w:rsid w:val="00BB2323"/>
    <w:rsid w:val="00BB23D7"/>
    <w:rsid w:val="00BB28A8"/>
    <w:rsid w:val="00BB28E2"/>
    <w:rsid w:val="00BB2C31"/>
    <w:rsid w:val="00BB2F0A"/>
    <w:rsid w:val="00BB2FAA"/>
    <w:rsid w:val="00BB3083"/>
    <w:rsid w:val="00BB30CD"/>
    <w:rsid w:val="00BB3199"/>
    <w:rsid w:val="00BB31AE"/>
    <w:rsid w:val="00BB35B9"/>
    <w:rsid w:val="00BB36E4"/>
    <w:rsid w:val="00BB3991"/>
    <w:rsid w:val="00BB3A79"/>
    <w:rsid w:val="00BB3C3F"/>
    <w:rsid w:val="00BB3C7D"/>
    <w:rsid w:val="00BB447A"/>
    <w:rsid w:val="00BB453A"/>
    <w:rsid w:val="00BB46E0"/>
    <w:rsid w:val="00BB4B03"/>
    <w:rsid w:val="00BB4DA6"/>
    <w:rsid w:val="00BB4DB6"/>
    <w:rsid w:val="00BB4E37"/>
    <w:rsid w:val="00BB524B"/>
    <w:rsid w:val="00BB52E4"/>
    <w:rsid w:val="00BB534B"/>
    <w:rsid w:val="00BB5368"/>
    <w:rsid w:val="00BB549A"/>
    <w:rsid w:val="00BB58A2"/>
    <w:rsid w:val="00BB58CD"/>
    <w:rsid w:val="00BB59A6"/>
    <w:rsid w:val="00BB5AD0"/>
    <w:rsid w:val="00BB5B08"/>
    <w:rsid w:val="00BB5D8B"/>
    <w:rsid w:val="00BB6058"/>
    <w:rsid w:val="00BB6069"/>
    <w:rsid w:val="00BB65F4"/>
    <w:rsid w:val="00BB69C5"/>
    <w:rsid w:val="00BB6A4E"/>
    <w:rsid w:val="00BB6A6D"/>
    <w:rsid w:val="00BB6BC9"/>
    <w:rsid w:val="00BB6E23"/>
    <w:rsid w:val="00BB6F4D"/>
    <w:rsid w:val="00BB700D"/>
    <w:rsid w:val="00BB720F"/>
    <w:rsid w:val="00BB731B"/>
    <w:rsid w:val="00BB761F"/>
    <w:rsid w:val="00BB77EE"/>
    <w:rsid w:val="00BB7890"/>
    <w:rsid w:val="00BB7956"/>
    <w:rsid w:val="00BB7AC2"/>
    <w:rsid w:val="00BB7D7D"/>
    <w:rsid w:val="00BC0003"/>
    <w:rsid w:val="00BC0414"/>
    <w:rsid w:val="00BC042E"/>
    <w:rsid w:val="00BC04DD"/>
    <w:rsid w:val="00BC0679"/>
    <w:rsid w:val="00BC068B"/>
    <w:rsid w:val="00BC08DD"/>
    <w:rsid w:val="00BC0B6A"/>
    <w:rsid w:val="00BC0C13"/>
    <w:rsid w:val="00BC0CCF"/>
    <w:rsid w:val="00BC0FC7"/>
    <w:rsid w:val="00BC10F2"/>
    <w:rsid w:val="00BC1950"/>
    <w:rsid w:val="00BC19CD"/>
    <w:rsid w:val="00BC1DD5"/>
    <w:rsid w:val="00BC21A5"/>
    <w:rsid w:val="00BC264E"/>
    <w:rsid w:val="00BC2764"/>
    <w:rsid w:val="00BC276E"/>
    <w:rsid w:val="00BC2C6A"/>
    <w:rsid w:val="00BC2D52"/>
    <w:rsid w:val="00BC2E2B"/>
    <w:rsid w:val="00BC2FA6"/>
    <w:rsid w:val="00BC2FD6"/>
    <w:rsid w:val="00BC306C"/>
    <w:rsid w:val="00BC3181"/>
    <w:rsid w:val="00BC31C5"/>
    <w:rsid w:val="00BC3247"/>
    <w:rsid w:val="00BC33C3"/>
    <w:rsid w:val="00BC34E1"/>
    <w:rsid w:val="00BC3511"/>
    <w:rsid w:val="00BC3636"/>
    <w:rsid w:val="00BC39FC"/>
    <w:rsid w:val="00BC3A1D"/>
    <w:rsid w:val="00BC3A42"/>
    <w:rsid w:val="00BC3C42"/>
    <w:rsid w:val="00BC3DD0"/>
    <w:rsid w:val="00BC3E81"/>
    <w:rsid w:val="00BC3FDA"/>
    <w:rsid w:val="00BC439E"/>
    <w:rsid w:val="00BC4438"/>
    <w:rsid w:val="00BC46BB"/>
    <w:rsid w:val="00BC46F8"/>
    <w:rsid w:val="00BC4839"/>
    <w:rsid w:val="00BC4A6A"/>
    <w:rsid w:val="00BC4C9C"/>
    <w:rsid w:val="00BC4E28"/>
    <w:rsid w:val="00BC50D7"/>
    <w:rsid w:val="00BC5126"/>
    <w:rsid w:val="00BC5234"/>
    <w:rsid w:val="00BC53C9"/>
    <w:rsid w:val="00BC545F"/>
    <w:rsid w:val="00BC5648"/>
    <w:rsid w:val="00BC56D5"/>
    <w:rsid w:val="00BC5CA5"/>
    <w:rsid w:val="00BC5D09"/>
    <w:rsid w:val="00BC616D"/>
    <w:rsid w:val="00BC618D"/>
    <w:rsid w:val="00BC6316"/>
    <w:rsid w:val="00BC6506"/>
    <w:rsid w:val="00BC66F8"/>
    <w:rsid w:val="00BC6A66"/>
    <w:rsid w:val="00BC6A78"/>
    <w:rsid w:val="00BC6BF1"/>
    <w:rsid w:val="00BC6C1D"/>
    <w:rsid w:val="00BC6EFB"/>
    <w:rsid w:val="00BC70E1"/>
    <w:rsid w:val="00BC71D3"/>
    <w:rsid w:val="00BC7465"/>
    <w:rsid w:val="00BC7963"/>
    <w:rsid w:val="00BC7B92"/>
    <w:rsid w:val="00BC7E80"/>
    <w:rsid w:val="00BC7F93"/>
    <w:rsid w:val="00BD02E0"/>
    <w:rsid w:val="00BD05EF"/>
    <w:rsid w:val="00BD07C5"/>
    <w:rsid w:val="00BD0D6B"/>
    <w:rsid w:val="00BD106E"/>
    <w:rsid w:val="00BD1275"/>
    <w:rsid w:val="00BD12FE"/>
    <w:rsid w:val="00BD13DA"/>
    <w:rsid w:val="00BD17B4"/>
    <w:rsid w:val="00BD17C9"/>
    <w:rsid w:val="00BD1835"/>
    <w:rsid w:val="00BD1A47"/>
    <w:rsid w:val="00BD2321"/>
    <w:rsid w:val="00BD253F"/>
    <w:rsid w:val="00BD2579"/>
    <w:rsid w:val="00BD26C0"/>
    <w:rsid w:val="00BD26DC"/>
    <w:rsid w:val="00BD27D7"/>
    <w:rsid w:val="00BD29FF"/>
    <w:rsid w:val="00BD2BDD"/>
    <w:rsid w:val="00BD2F43"/>
    <w:rsid w:val="00BD332E"/>
    <w:rsid w:val="00BD373B"/>
    <w:rsid w:val="00BD3B99"/>
    <w:rsid w:val="00BD3E53"/>
    <w:rsid w:val="00BD3F4D"/>
    <w:rsid w:val="00BD3F6A"/>
    <w:rsid w:val="00BD405A"/>
    <w:rsid w:val="00BD45A8"/>
    <w:rsid w:val="00BD49A4"/>
    <w:rsid w:val="00BD4AF5"/>
    <w:rsid w:val="00BD4B12"/>
    <w:rsid w:val="00BD4E3B"/>
    <w:rsid w:val="00BD4E93"/>
    <w:rsid w:val="00BD4EE5"/>
    <w:rsid w:val="00BD52D0"/>
    <w:rsid w:val="00BD5607"/>
    <w:rsid w:val="00BD595D"/>
    <w:rsid w:val="00BD5B59"/>
    <w:rsid w:val="00BD5BA1"/>
    <w:rsid w:val="00BD5D0B"/>
    <w:rsid w:val="00BD602C"/>
    <w:rsid w:val="00BD6217"/>
    <w:rsid w:val="00BD64A3"/>
    <w:rsid w:val="00BD673A"/>
    <w:rsid w:val="00BD6845"/>
    <w:rsid w:val="00BD68C4"/>
    <w:rsid w:val="00BD6A17"/>
    <w:rsid w:val="00BD6CB2"/>
    <w:rsid w:val="00BD6E64"/>
    <w:rsid w:val="00BD6FB3"/>
    <w:rsid w:val="00BD708A"/>
    <w:rsid w:val="00BD71D3"/>
    <w:rsid w:val="00BD71E6"/>
    <w:rsid w:val="00BD7241"/>
    <w:rsid w:val="00BD72B7"/>
    <w:rsid w:val="00BD743F"/>
    <w:rsid w:val="00BD7581"/>
    <w:rsid w:val="00BD7956"/>
    <w:rsid w:val="00BD799B"/>
    <w:rsid w:val="00BD7BCB"/>
    <w:rsid w:val="00BD7CA0"/>
    <w:rsid w:val="00BD7CEA"/>
    <w:rsid w:val="00BD7CEF"/>
    <w:rsid w:val="00BE01A1"/>
    <w:rsid w:val="00BE0233"/>
    <w:rsid w:val="00BE06BF"/>
    <w:rsid w:val="00BE096E"/>
    <w:rsid w:val="00BE1192"/>
    <w:rsid w:val="00BE11BC"/>
    <w:rsid w:val="00BE12DD"/>
    <w:rsid w:val="00BE13AD"/>
    <w:rsid w:val="00BE159C"/>
    <w:rsid w:val="00BE164A"/>
    <w:rsid w:val="00BE1664"/>
    <w:rsid w:val="00BE1828"/>
    <w:rsid w:val="00BE1868"/>
    <w:rsid w:val="00BE1DDE"/>
    <w:rsid w:val="00BE21C6"/>
    <w:rsid w:val="00BE2251"/>
    <w:rsid w:val="00BE2328"/>
    <w:rsid w:val="00BE2336"/>
    <w:rsid w:val="00BE241E"/>
    <w:rsid w:val="00BE2580"/>
    <w:rsid w:val="00BE2740"/>
    <w:rsid w:val="00BE2A6D"/>
    <w:rsid w:val="00BE3476"/>
    <w:rsid w:val="00BE37D2"/>
    <w:rsid w:val="00BE3A35"/>
    <w:rsid w:val="00BE3AB7"/>
    <w:rsid w:val="00BE42E0"/>
    <w:rsid w:val="00BE43DB"/>
    <w:rsid w:val="00BE4855"/>
    <w:rsid w:val="00BE497E"/>
    <w:rsid w:val="00BE49C1"/>
    <w:rsid w:val="00BE4A10"/>
    <w:rsid w:val="00BE4CF2"/>
    <w:rsid w:val="00BE4DA1"/>
    <w:rsid w:val="00BE4F43"/>
    <w:rsid w:val="00BE5277"/>
    <w:rsid w:val="00BE53A9"/>
    <w:rsid w:val="00BE5664"/>
    <w:rsid w:val="00BE5847"/>
    <w:rsid w:val="00BE5BE6"/>
    <w:rsid w:val="00BE5C11"/>
    <w:rsid w:val="00BE5D35"/>
    <w:rsid w:val="00BE5DFE"/>
    <w:rsid w:val="00BE5EA3"/>
    <w:rsid w:val="00BE60B8"/>
    <w:rsid w:val="00BE6484"/>
    <w:rsid w:val="00BE6492"/>
    <w:rsid w:val="00BE64D2"/>
    <w:rsid w:val="00BE65BD"/>
    <w:rsid w:val="00BE669A"/>
    <w:rsid w:val="00BE6764"/>
    <w:rsid w:val="00BE69D6"/>
    <w:rsid w:val="00BE6D32"/>
    <w:rsid w:val="00BE6EA0"/>
    <w:rsid w:val="00BE6F06"/>
    <w:rsid w:val="00BE702D"/>
    <w:rsid w:val="00BE737A"/>
    <w:rsid w:val="00BE776F"/>
    <w:rsid w:val="00BE7B23"/>
    <w:rsid w:val="00BE7F34"/>
    <w:rsid w:val="00BE7F68"/>
    <w:rsid w:val="00BF0476"/>
    <w:rsid w:val="00BF049E"/>
    <w:rsid w:val="00BF04E6"/>
    <w:rsid w:val="00BF0512"/>
    <w:rsid w:val="00BF0AFD"/>
    <w:rsid w:val="00BF0CAD"/>
    <w:rsid w:val="00BF1068"/>
    <w:rsid w:val="00BF178B"/>
    <w:rsid w:val="00BF179E"/>
    <w:rsid w:val="00BF17E6"/>
    <w:rsid w:val="00BF1802"/>
    <w:rsid w:val="00BF1A72"/>
    <w:rsid w:val="00BF1C3D"/>
    <w:rsid w:val="00BF20C3"/>
    <w:rsid w:val="00BF24F6"/>
    <w:rsid w:val="00BF25CD"/>
    <w:rsid w:val="00BF2768"/>
    <w:rsid w:val="00BF284A"/>
    <w:rsid w:val="00BF28AC"/>
    <w:rsid w:val="00BF2AAF"/>
    <w:rsid w:val="00BF2CB0"/>
    <w:rsid w:val="00BF2D23"/>
    <w:rsid w:val="00BF2E32"/>
    <w:rsid w:val="00BF2EC6"/>
    <w:rsid w:val="00BF2FCD"/>
    <w:rsid w:val="00BF34F2"/>
    <w:rsid w:val="00BF3717"/>
    <w:rsid w:val="00BF3723"/>
    <w:rsid w:val="00BF38B7"/>
    <w:rsid w:val="00BF4452"/>
    <w:rsid w:val="00BF445E"/>
    <w:rsid w:val="00BF446B"/>
    <w:rsid w:val="00BF4487"/>
    <w:rsid w:val="00BF4553"/>
    <w:rsid w:val="00BF461D"/>
    <w:rsid w:val="00BF4712"/>
    <w:rsid w:val="00BF486F"/>
    <w:rsid w:val="00BF49C3"/>
    <w:rsid w:val="00BF4D97"/>
    <w:rsid w:val="00BF4F90"/>
    <w:rsid w:val="00BF4FBC"/>
    <w:rsid w:val="00BF5077"/>
    <w:rsid w:val="00BF50D6"/>
    <w:rsid w:val="00BF52C0"/>
    <w:rsid w:val="00BF5923"/>
    <w:rsid w:val="00BF598C"/>
    <w:rsid w:val="00BF59CA"/>
    <w:rsid w:val="00BF5A47"/>
    <w:rsid w:val="00BF5C46"/>
    <w:rsid w:val="00BF5D2A"/>
    <w:rsid w:val="00BF5F38"/>
    <w:rsid w:val="00BF610C"/>
    <w:rsid w:val="00BF636A"/>
    <w:rsid w:val="00BF6411"/>
    <w:rsid w:val="00BF6454"/>
    <w:rsid w:val="00BF65BF"/>
    <w:rsid w:val="00BF6706"/>
    <w:rsid w:val="00BF6822"/>
    <w:rsid w:val="00BF68CF"/>
    <w:rsid w:val="00BF697A"/>
    <w:rsid w:val="00BF6BB6"/>
    <w:rsid w:val="00BF6DF4"/>
    <w:rsid w:val="00BF6E9D"/>
    <w:rsid w:val="00BF711F"/>
    <w:rsid w:val="00BF7269"/>
    <w:rsid w:val="00BF736B"/>
    <w:rsid w:val="00BF7917"/>
    <w:rsid w:val="00BF7E44"/>
    <w:rsid w:val="00BF7F73"/>
    <w:rsid w:val="00C00202"/>
    <w:rsid w:val="00C006C6"/>
    <w:rsid w:val="00C00890"/>
    <w:rsid w:val="00C00B80"/>
    <w:rsid w:val="00C00D99"/>
    <w:rsid w:val="00C011AF"/>
    <w:rsid w:val="00C01219"/>
    <w:rsid w:val="00C014AB"/>
    <w:rsid w:val="00C01541"/>
    <w:rsid w:val="00C01542"/>
    <w:rsid w:val="00C01726"/>
    <w:rsid w:val="00C017FF"/>
    <w:rsid w:val="00C01C28"/>
    <w:rsid w:val="00C01C9A"/>
    <w:rsid w:val="00C01E72"/>
    <w:rsid w:val="00C01FDB"/>
    <w:rsid w:val="00C02183"/>
    <w:rsid w:val="00C0222C"/>
    <w:rsid w:val="00C0225A"/>
    <w:rsid w:val="00C022B5"/>
    <w:rsid w:val="00C02346"/>
    <w:rsid w:val="00C0241F"/>
    <w:rsid w:val="00C0255A"/>
    <w:rsid w:val="00C0269D"/>
    <w:rsid w:val="00C026BE"/>
    <w:rsid w:val="00C029C7"/>
    <w:rsid w:val="00C029E3"/>
    <w:rsid w:val="00C02B19"/>
    <w:rsid w:val="00C03787"/>
    <w:rsid w:val="00C0395F"/>
    <w:rsid w:val="00C03C0A"/>
    <w:rsid w:val="00C0406E"/>
    <w:rsid w:val="00C04237"/>
    <w:rsid w:val="00C04803"/>
    <w:rsid w:val="00C04B9A"/>
    <w:rsid w:val="00C050C8"/>
    <w:rsid w:val="00C051C5"/>
    <w:rsid w:val="00C05246"/>
    <w:rsid w:val="00C0529D"/>
    <w:rsid w:val="00C05511"/>
    <w:rsid w:val="00C055F7"/>
    <w:rsid w:val="00C05662"/>
    <w:rsid w:val="00C05860"/>
    <w:rsid w:val="00C0597C"/>
    <w:rsid w:val="00C059CB"/>
    <w:rsid w:val="00C05B65"/>
    <w:rsid w:val="00C05C81"/>
    <w:rsid w:val="00C05D45"/>
    <w:rsid w:val="00C05E10"/>
    <w:rsid w:val="00C05FF9"/>
    <w:rsid w:val="00C061D5"/>
    <w:rsid w:val="00C062AC"/>
    <w:rsid w:val="00C06365"/>
    <w:rsid w:val="00C06457"/>
    <w:rsid w:val="00C066A4"/>
    <w:rsid w:val="00C06B01"/>
    <w:rsid w:val="00C06B4C"/>
    <w:rsid w:val="00C06B69"/>
    <w:rsid w:val="00C06C5A"/>
    <w:rsid w:val="00C06D24"/>
    <w:rsid w:val="00C06D74"/>
    <w:rsid w:val="00C06EF1"/>
    <w:rsid w:val="00C07024"/>
    <w:rsid w:val="00C0712F"/>
    <w:rsid w:val="00C072E2"/>
    <w:rsid w:val="00C07404"/>
    <w:rsid w:val="00C07495"/>
    <w:rsid w:val="00C0791E"/>
    <w:rsid w:val="00C07C8F"/>
    <w:rsid w:val="00C07DC9"/>
    <w:rsid w:val="00C07DE4"/>
    <w:rsid w:val="00C07E45"/>
    <w:rsid w:val="00C07FAA"/>
    <w:rsid w:val="00C10060"/>
    <w:rsid w:val="00C100B6"/>
    <w:rsid w:val="00C10631"/>
    <w:rsid w:val="00C1067B"/>
    <w:rsid w:val="00C10929"/>
    <w:rsid w:val="00C10A71"/>
    <w:rsid w:val="00C10AE9"/>
    <w:rsid w:val="00C10B9A"/>
    <w:rsid w:val="00C11102"/>
    <w:rsid w:val="00C11127"/>
    <w:rsid w:val="00C1116C"/>
    <w:rsid w:val="00C111D6"/>
    <w:rsid w:val="00C1122B"/>
    <w:rsid w:val="00C11287"/>
    <w:rsid w:val="00C1165F"/>
    <w:rsid w:val="00C11680"/>
    <w:rsid w:val="00C117CF"/>
    <w:rsid w:val="00C11FA2"/>
    <w:rsid w:val="00C12008"/>
    <w:rsid w:val="00C12030"/>
    <w:rsid w:val="00C1213B"/>
    <w:rsid w:val="00C123E0"/>
    <w:rsid w:val="00C12480"/>
    <w:rsid w:val="00C12562"/>
    <w:rsid w:val="00C125C9"/>
    <w:rsid w:val="00C125DB"/>
    <w:rsid w:val="00C126FE"/>
    <w:rsid w:val="00C12888"/>
    <w:rsid w:val="00C12B12"/>
    <w:rsid w:val="00C12E10"/>
    <w:rsid w:val="00C1355A"/>
    <w:rsid w:val="00C137DF"/>
    <w:rsid w:val="00C13892"/>
    <w:rsid w:val="00C13A8F"/>
    <w:rsid w:val="00C1403A"/>
    <w:rsid w:val="00C1409E"/>
    <w:rsid w:val="00C14304"/>
    <w:rsid w:val="00C14324"/>
    <w:rsid w:val="00C14484"/>
    <w:rsid w:val="00C144A0"/>
    <w:rsid w:val="00C144A8"/>
    <w:rsid w:val="00C14632"/>
    <w:rsid w:val="00C146F2"/>
    <w:rsid w:val="00C1473D"/>
    <w:rsid w:val="00C149AF"/>
    <w:rsid w:val="00C14B0B"/>
    <w:rsid w:val="00C14BE0"/>
    <w:rsid w:val="00C14C18"/>
    <w:rsid w:val="00C14CDD"/>
    <w:rsid w:val="00C152AC"/>
    <w:rsid w:val="00C153A2"/>
    <w:rsid w:val="00C15542"/>
    <w:rsid w:val="00C15630"/>
    <w:rsid w:val="00C15633"/>
    <w:rsid w:val="00C15700"/>
    <w:rsid w:val="00C15704"/>
    <w:rsid w:val="00C15830"/>
    <w:rsid w:val="00C15A44"/>
    <w:rsid w:val="00C15B04"/>
    <w:rsid w:val="00C15C15"/>
    <w:rsid w:val="00C15D96"/>
    <w:rsid w:val="00C15DB5"/>
    <w:rsid w:val="00C15E0E"/>
    <w:rsid w:val="00C15F2A"/>
    <w:rsid w:val="00C15FDF"/>
    <w:rsid w:val="00C16094"/>
    <w:rsid w:val="00C163AA"/>
    <w:rsid w:val="00C164EB"/>
    <w:rsid w:val="00C16AB2"/>
    <w:rsid w:val="00C16AFC"/>
    <w:rsid w:val="00C16B00"/>
    <w:rsid w:val="00C16F8B"/>
    <w:rsid w:val="00C17276"/>
    <w:rsid w:val="00C17336"/>
    <w:rsid w:val="00C174CE"/>
    <w:rsid w:val="00C17601"/>
    <w:rsid w:val="00C17673"/>
    <w:rsid w:val="00C176CA"/>
    <w:rsid w:val="00C17881"/>
    <w:rsid w:val="00C17C45"/>
    <w:rsid w:val="00C17D7C"/>
    <w:rsid w:val="00C17F11"/>
    <w:rsid w:val="00C2004D"/>
    <w:rsid w:val="00C2005E"/>
    <w:rsid w:val="00C20231"/>
    <w:rsid w:val="00C2040F"/>
    <w:rsid w:val="00C2094D"/>
    <w:rsid w:val="00C20978"/>
    <w:rsid w:val="00C217EF"/>
    <w:rsid w:val="00C2186F"/>
    <w:rsid w:val="00C21B0D"/>
    <w:rsid w:val="00C21B50"/>
    <w:rsid w:val="00C21F22"/>
    <w:rsid w:val="00C21FC2"/>
    <w:rsid w:val="00C2217D"/>
    <w:rsid w:val="00C22537"/>
    <w:rsid w:val="00C225EF"/>
    <w:rsid w:val="00C2264F"/>
    <w:rsid w:val="00C2268F"/>
    <w:rsid w:val="00C22C80"/>
    <w:rsid w:val="00C22D21"/>
    <w:rsid w:val="00C22DE8"/>
    <w:rsid w:val="00C22E58"/>
    <w:rsid w:val="00C2300E"/>
    <w:rsid w:val="00C234DF"/>
    <w:rsid w:val="00C23774"/>
    <w:rsid w:val="00C23A48"/>
    <w:rsid w:val="00C23A5C"/>
    <w:rsid w:val="00C23E2A"/>
    <w:rsid w:val="00C23EB6"/>
    <w:rsid w:val="00C23F5F"/>
    <w:rsid w:val="00C23FD9"/>
    <w:rsid w:val="00C240EF"/>
    <w:rsid w:val="00C241EC"/>
    <w:rsid w:val="00C24264"/>
    <w:rsid w:val="00C242CA"/>
    <w:rsid w:val="00C24344"/>
    <w:rsid w:val="00C2480B"/>
    <w:rsid w:val="00C25003"/>
    <w:rsid w:val="00C253D4"/>
    <w:rsid w:val="00C253E0"/>
    <w:rsid w:val="00C256C9"/>
    <w:rsid w:val="00C25737"/>
    <w:rsid w:val="00C2598C"/>
    <w:rsid w:val="00C25AD0"/>
    <w:rsid w:val="00C2628A"/>
    <w:rsid w:val="00C2667A"/>
    <w:rsid w:val="00C266EB"/>
    <w:rsid w:val="00C2671C"/>
    <w:rsid w:val="00C26825"/>
    <w:rsid w:val="00C2689B"/>
    <w:rsid w:val="00C26C44"/>
    <w:rsid w:val="00C26E6A"/>
    <w:rsid w:val="00C26F71"/>
    <w:rsid w:val="00C272C8"/>
    <w:rsid w:val="00C272EA"/>
    <w:rsid w:val="00C27388"/>
    <w:rsid w:val="00C2742D"/>
    <w:rsid w:val="00C27651"/>
    <w:rsid w:val="00C27971"/>
    <w:rsid w:val="00C279DF"/>
    <w:rsid w:val="00C30009"/>
    <w:rsid w:val="00C3035E"/>
    <w:rsid w:val="00C304CA"/>
    <w:rsid w:val="00C304F1"/>
    <w:rsid w:val="00C30607"/>
    <w:rsid w:val="00C307C0"/>
    <w:rsid w:val="00C3096A"/>
    <w:rsid w:val="00C309D1"/>
    <w:rsid w:val="00C30AC1"/>
    <w:rsid w:val="00C30B3A"/>
    <w:rsid w:val="00C30D4F"/>
    <w:rsid w:val="00C31078"/>
    <w:rsid w:val="00C31322"/>
    <w:rsid w:val="00C3172E"/>
    <w:rsid w:val="00C31AB0"/>
    <w:rsid w:val="00C31B2F"/>
    <w:rsid w:val="00C31C46"/>
    <w:rsid w:val="00C31E63"/>
    <w:rsid w:val="00C3205F"/>
    <w:rsid w:val="00C32169"/>
    <w:rsid w:val="00C32284"/>
    <w:rsid w:val="00C323EC"/>
    <w:rsid w:val="00C32405"/>
    <w:rsid w:val="00C3245D"/>
    <w:rsid w:val="00C32462"/>
    <w:rsid w:val="00C32480"/>
    <w:rsid w:val="00C32604"/>
    <w:rsid w:val="00C326CE"/>
    <w:rsid w:val="00C327D2"/>
    <w:rsid w:val="00C32D4C"/>
    <w:rsid w:val="00C32DA1"/>
    <w:rsid w:val="00C32E4C"/>
    <w:rsid w:val="00C32EDA"/>
    <w:rsid w:val="00C3359D"/>
    <w:rsid w:val="00C33872"/>
    <w:rsid w:val="00C33D2A"/>
    <w:rsid w:val="00C33EF0"/>
    <w:rsid w:val="00C33F64"/>
    <w:rsid w:val="00C33F94"/>
    <w:rsid w:val="00C33FD7"/>
    <w:rsid w:val="00C34137"/>
    <w:rsid w:val="00C342AB"/>
    <w:rsid w:val="00C346D8"/>
    <w:rsid w:val="00C34738"/>
    <w:rsid w:val="00C347B8"/>
    <w:rsid w:val="00C348DB"/>
    <w:rsid w:val="00C34A39"/>
    <w:rsid w:val="00C34D88"/>
    <w:rsid w:val="00C34E1A"/>
    <w:rsid w:val="00C354A5"/>
    <w:rsid w:val="00C357FC"/>
    <w:rsid w:val="00C359D3"/>
    <w:rsid w:val="00C359EE"/>
    <w:rsid w:val="00C35F58"/>
    <w:rsid w:val="00C36262"/>
    <w:rsid w:val="00C36479"/>
    <w:rsid w:val="00C365B2"/>
    <w:rsid w:val="00C36E72"/>
    <w:rsid w:val="00C37749"/>
    <w:rsid w:val="00C379AB"/>
    <w:rsid w:val="00C37A65"/>
    <w:rsid w:val="00C37C4D"/>
    <w:rsid w:val="00C37DCA"/>
    <w:rsid w:val="00C37E2C"/>
    <w:rsid w:val="00C40183"/>
    <w:rsid w:val="00C402CC"/>
    <w:rsid w:val="00C40815"/>
    <w:rsid w:val="00C40930"/>
    <w:rsid w:val="00C40CEA"/>
    <w:rsid w:val="00C410E9"/>
    <w:rsid w:val="00C4124F"/>
    <w:rsid w:val="00C41308"/>
    <w:rsid w:val="00C4149E"/>
    <w:rsid w:val="00C416D7"/>
    <w:rsid w:val="00C41897"/>
    <w:rsid w:val="00C4189D"/>
    <w:rsid w:val="00C41CA2"/>
    <w:rsid w:val="00C41E90"/>
    <w:rsid w:val="00C41EA6"/>
    <w:rsid w:val="00C42026"/>
    <w:rsid w:val="00C4207D"/>
    <w:rsid w:val="00C4225C"/>
    <w:rsid w:val="00C422AD"/>
    <w:rsid w:val="00C422D7"/>
    <w:rsid w:val="00C422EB"/>
    <w:rsid w:val="00C425E7"/>
    <w:rsid w:val="00C42648"/>
    <w:rsid w:val="00C4271D"/>
    <w:rsid w:val="00C42D43"/>
    <w:rsid w:val="00C42D9E"/>
    <w:rsid w:val="00C430CA"/>
    <w:rsid w:val="00C431BC"/>
    <w:rsid w:val="00C436FA"/>
    <w:rsid w:val="00C43C01"/>
    <w:rsid w:val="00C43EBE"/>
    <w:rsid w:val="00C440C9"/>
    <w:rsid w:val="00C44139"/>
    <w:rsid w:val="00C441ED"/>
    <w:rsid w:val="00C441F2"/>
    <w:rsid w:val="00C442EA"/>
    <w:rsid w:val="00C44402"/>
    <w:rsid w:val="00C4490B"/>
    <w:rsid w:val="00C44995"/>
    <w:rsid w:val="00C44CCB"/>
    <w:rsid w:val="00C44DA3"/>
    <w:rsid w:val="00C44ECB"/>
    <w:rsid w:val="00C459C3"/>
    <w:rsid w:val="00C45AE5"/>
    <w:rsid w:val="00C45D98"/>
    <w:rsid w:val="00C46014"/>
    <w:rsid w:val="00C4644B"/>
    <w:rsid w:val="00C46604"/>
    <w:rsid w:val="00C46621"/>
    <w:rsid w:val="00C467F9"/>
    <w:rsid w:val="00C46842"/>
    <w:rsid w:val="00C4696E"/>
    <w:rsid w:val="00C46A21"/>
    <w:rsid w:val="00C46ACF"/>
    <w:rsid w:val="00C46B8A"/>
    <w:rsid w:val="00C46BD3"/>
    <w:rsid w:val="00C46DA5"/>
    <w:rsid w:val="00C46F27"/>
    <w:rsid w:val="00C46F84"/>
    <w:rsid w:val="00C46FBC"/>
    <w:rsid w:val="00C47022"/>
    <w:rsid w:val="00C4709F"/>
    <w:rsid w:val="00C4712F"/>
    <w:rsid w:val="00C47257"/>
    <w:rsid w:val="00C47283"/>
    <w:rsid w:val="00C47328"/>
    <w:rsid w:val="00C473CC"/>
    <w:rsid w:val="00C47790"/>
    <w:rsid w:val="00C47980"/>
    <w:rsid w:val="00C47AED"/>
    <w:rsid w:val="00C47C5A"/>
    <w:rsid w:val="00C47D1E"/>
    <w:rsid w:val="00C47D94"/>
    <w:rsid w:val="00C47E50"/>
    <w:rsid w:val="00C47E6A"/>
    <w:rsid w:val="00C50487"/>
    <w:rsid w:val="00C5061D"/>
    <w:rsid w:val="00C50724"/>
    <w:rsid w:val="00C507A6"/>
    <w:rsid w:val="00C511C7"/>
    <w:rsid w:val="00C51292"/>
    <w:rsid w:val="00C5137B"/>
    <w:rsid w:val="00C513BB"/>
    <w:rsid w:val="00C5163F"/>
    <w:rsid w:val="00C51973"/>
    <w:rsid w:val="00C51DF3"/>
    <w:rsid w:val="00C51E73"/>
    <w:rsid w:val="00C51FF8"/>
    <w:rsid w:val="00C521B4"/>
    <w:rsid w:val="00C5222E"/>
    <w:rsid w:val="00C5264C"/>
    <w:rsid w:val="00C527E0"/>
    <w:rsid w:val="00C528BF"/>
    <w:rsid w:val="00C52AD3"/>
    <w:rsid w:val="00C52D54"/>
    <w:rsid w:val="00C5354F"/>
    <w:rsid w:val="00C53A77"/>
    <w:rsid w:val="00C54064"/>
    <w:rsid w:val="00C540E4"/>
    <w:rsid w:val="00C541B8"/>
    <w:rsid w:val="00C547B8"/>
    <w:rsid w:val="00C54909"/>
    <w:rsid w:val="00C5495D"/>
    <w:rsid w:val="00C54C39"/>
    <w:rsid w:val="00C54C62"/>
    <w:rsid w:val="00C54DC9"/>
    <w:rsid w:val="00C54FE5"/>
    <w:rsid w:val="00C551E1"/>
    <w:rsid w:val="00C557F6"/>
    <w:rsid w:val="00C558BB"/>
    <w:rsid w:val="00C55ACA"/>
    <w:rsid w:val="00C55C21"/>
    <w:rsid w:val="00C55E09"/>
    <w:rsid w:val="00C56057"/>
    <w:rsid w:val="00C56239"/>
    <w:rsid w:val="00C56255"/>
    <w:rsid w:val="00C565E2"/>
    <w:rsid w:val="00C56762"/>
    <w:rsid w:val="00C569C8"/>
    <w:rsid w:val="00C569F2"/>
    <w:rsid w:val="00C56EB6"/>
    <w:rsid w:val="00C57010"/>
    <w:rsid w:val="00C574D7"/>
    <w:rsid w:val="00C57640"/>
    <w:rsid w:val="00C57654"/>
    <w:rsid w:val="00C57785"/>
    <w:rsid w:val="00C5779F"/>
    <w:rsid w:val="00C57906"/>
    <w:rsid w:val="00C579E0"/>
    <w:rsid w:val="00C57A23"/>
    <w:rsid w:val="00C602EE"/>
    <w:rsid w:val="00C6081C"/>
    <w:rsid w:val="00C60B83"/>
    <w:rsid w:val="00C60D61"/>
    <w:rsid w:val="00C60DB9"/>
    <w:rsid w:val="00C60E5A"/>
    <w:rsid w:val="00C60EB3"/>
    <w:rsid w:val="00C60ECA"/>
    <w:rsid w:val="00C60F53"/>
    <w:rsid w:val="00C613FB"/>
    <w:rsid w:val="00C61456"/>
    <w:rsid w:val="00C615E0"/>
    <w:rsid w:val="00C618A1"/>
    <w:rsid w:val="00C61C70"/>
    <w:rsid w:val="00C61E50"/>
    <w:rsid w:val="00C62550"/>
    <w:rsid w:val="00C625B1"/>
    <w:rsid w:val="00C625BA"/>
    <w:rsid w:val="00C625FF"/>
    <w:rsid w:val="00C627F3"/>
    <w:rsid w:val="00C62DA8"/>
    <w:rsid w:val="00C62E84"/>
    <w:rsid w:val="00C62FC7"/>
    <w:rsid w:val="00C633EB"/>
    <w:rsid w:val="00C6345F"/>
    <w:rsid w:val="00C6349E"/>
    <w:rsid w:val="00C63648"/>
    <w:rsid w:val="00C636D6"/>
    <w:rsid w:val="00C6372B"/>
    <w:rsid w:val="00C637B1"/>
    <w:rsid w:val="00C64065"/>
    <w:rsid w:val="00C6409A"/>
    <w:rsid w:val="00C642A6"/>
    <w:rsid w:val="00C6455F"/>
    <w:rsid w:val="00C64895"/>
    <w:rsid w:val="00C64896"/>
    <w:rsid w:val="00C648A1"/>
    <w:rsid w:val="00C648A2"/>
    <w:rsid w:val="00C64A4F"/>
    <w:rsid w:val="00C64AFD"/>
    <w:rsid w:val="00C64BD5"/>
    <w:rsid w:val="00C64E1D"/>
    <w:rsid w:val="00C64ED0"/>
    <w:rsid w:val="00C64F41"/>
    <w:rsid w:val="00C652E7"/>
    <w:rsid w:val="00C6576B"/>
    <w:rsid w:val="00C65A08"/>
    <w:rsid w:val="00C65A41"/>
    <w:rsid w:val="00C65BEA"/>
    <w:rsid w:val="00C660EB"/>
    <w:rsid w:val="00C6615D"/>
    <w:rsid w:val="00C66692"/>
    <w:rsid w:val="00C66743"/>
    <w:rsid w:val="00C66771"/>
    <w:rsid w:val="00C66935"/>
    <w:rsid w:val="00C66A29"/>
    <w:rsid w:val="00C66B84"/>
    <w:rsid w:val="00C66CB6"/>
    <w:rsid w:val="00C66F67"/>
    <w:rsid w:val="00C6710C"/>
    <w:rsid w:val="00C67135"/>
    <w:rsid w:val="00C6747B"/>
    <w:rsid w:val="00C67509"/>
    <w:rsid w:val="00C675D0"/>
    <w:rsid w:val="00C67754"/>
    <w:rsid w:val="00C67863"/>
    <w:rsid w:val="00C67AB0"/>
    <w:rsid w:val="00C67B6E"/>
    <w:rsid w:val="00C67BC6"/>
    <w:rsid w:val="00C67E7B"/>
    <w:rsid w:val="00C67F74"/>
    <w:rsid w:val="00C70098"/>
    <w:rsid w:val="00C701A6"/>
    <w:rsid w:val="00C70558"/>
    <w:rsid w:val="00C70791"/>
    <w:rsid w:val="00C707AB"/>
    <w:rsid w:val="00C70805"/>
    <w:rsid w:val="00C7084B"/>
    <w:rsid w:val="00C70CFA"/>
    <w:rsid w:val="00C70DAC"/>
    <w:rsid w:val="00C715EA"/>
    <w:rsid w:val="00C716F9"/>
    <w:rsid w:val="00C71749"/>
    <w:rsid w:val="00C71A82"/>
    <w:rsid w:val="00C71A9C"/>
    <w:rsid w:val="00C71D29"/>
    <w:rsid w:val="00C72053"/>
    <w:rsid w:val="00C7208A"/>
    <w:rsid w:val="00C72152"/>
    <w:rsid w:val="00C72364"/>
    <w:rsid w:val="00C72365"/>
    <w:rsid w:val="00C7292E"/>
    <w:rsid w:val="00C72937"/>
    <w:rsid w:val="00C729A5"/>
    <w:rsid w:val="00C729E3"/>
    <w:rsid w:val="00C72A5B"/>
    <w:rsid w:val="00C72C3B"/>
    <w:rsid w:val="00C72DA3"/>
    <w:rsid w:val="00C72E12"/>
    <w:rsid w:val="00C72EF6"/>
    <w:rsid w:val="00C7317F"/>
    <w:rsid w:val="00C731B3"/>
    <w:rsid w:val="00C736B5"/>
    <w:rsid w:val="00C73840"/>
    <w:rsid w:val="00C738E8"/>
    <w:rsid w:val="00C73B30"/>
    <w:rsid w:val="00C73CEB"/>
    <w:rsid w:val="00C73DD4"/>
    <w:rsid w:val="00C73EF4"/>
    <w:rsid w:val="00C73F1A"/>
    <w:rsid w:val="00C74168"/>
    <w:rsid w:val="00C741F3"/>
    <w:rsid w:val="00C74252"/>
    <w:rsid w:val="00C74313"/>
    <w:rsid w:val="00C74582"/>
    <w:rsid w:val="00C749C3"/>
    <w:rsid w:val="00C74B43"/>
    <w:rsid w:val="00C74C9E"/>
    <w:rsid w:val="00C74D99"/>
    <w:rsid w:val="00C74EF7"/>
    <w:rsid w:val="00C75132"/>
    <w:rsid w:val="00C75183"/>
    <w:rsid w:val="00C75266"/>
    <w:rsid w:val="00C752EF"/>
    <w:rsid w:val="00C75597"/>
    <w:rsid w:val="00C755EA"/>
    <w:rsid w:val="00C7591E"/>
    <w:rsid w:val="00C75ABF"/>
    <w:rsid w:val="00C75E67"/>
    <w:rsid w:val="00C75EAF"/>
    <w:rsid w:val="00C7627C"/>
    <w:rsid w:val="00C76346"/>
    <w:rsid w:val="00C76634"/>
    <w:rsid w:val="00C7678D"/>
    <w:rsid w:val="00C76C8F"/>
    <w:rsid w:val="00C76EA1"/>
    <w:rsid w:val="00C7706A"/>
    <w:rsid w:val="00C77177"/>
    <w:rsid w:val="00C7752C"/>
    <w:rsid w:val="00C77B36"/>
    <w:rsid w:val="00C77F6C"/>
    <w:rsid w:val="00C80117"/>
    <w:rsid w:val="00C80165"/>
    <w:rsid w:val="00C8032C"/>
    <w:rsid w:val="00C80378"/>
    <w:rsid w:val="00C80437"/>
    <w:rsid w:val="00C807EA"/>
    <w:rsid w:val="00C80C73"/>
    <w:rsid w:val="00C811BF"/>
    <w:rsid w:val="00C813FE"/>
    <w:rsid w:val="00C816B7"/>
    <w:rsid w:val="00C81847"/>
    <w:rsid w:val="00C81A08"/>
    <w:rsid w:val="00C81C5D"/>
    <w:rsid w:val="00C81C97"/>
    <w:rsid w:val="00C821D7"/>
    <w:rsid w:val="00C821F7"/>
    <w:rsid w:val="00C82654"/>
    <w:rsid w:val="00C826B7"/>
    <w:rsid w:val="00C82752"/>
    <w:rsid w:val="00C827D8"/>
    <w:rsid w:val="00C8286A"/>
    <w:rsid w:val="00C82886"/>
    <w:rsid w:val="00C828ED"/>
    <w:rsid w:val="00C829D5"/>
    <w:rsid w:val="00C82A12"/>
    <w:rsid w:val="00C82CBF"/>
    <w:rsid w:val="00C82F3D"/>
    <w:rsid w:val="00C8349E"/>
    <w:rsid w:val="00C835DF"/>
    <w:rsid w:val="00C83A0D"/>
    <w:rsid w:val="00C83A95"/>
    <w:rsid w:val="00C83AB1"/>
    <w:rsid w:val="00C83CBA"/>
    <w:rsid w:val="00C83E3C"/>
    <w:rsid w:val="00C83F39"/>
    <w:rsid w:val="00C841E5"/>
    <w:rsid w:val="00C844F5"/>
    <w:rsid w:val="00C8458B"/>
    <w:rsid w:val="00C845BA"/>
    <w:rsid w:val="00C84B87"/>
    <w:rsid w:val="00C84BDD"/>
    <w:rsid w:val="00C84C81"/>
    <w:rsid w:val="00C84CF9"/>
    <w:rsid w:val="00C84DD3"/>
    <w:rsid w:val="00C84F65"/>
    <w:rsid w:val="00C84F87"/>
    <w:rsid w:val="00C85276"/>
    <w:rsid w:val="00C853A1"/>
    <w:rsid w:val="00C857F5"/>
    <w:rsid w:val="00C85A5E"/>
    <w:rsid w:val="00C85A7E"/>
    <w:rsid w:val="00C85BEA"/>
    <w:rsid w:val="00C85D9E"/>
    <w:rsid w:val="00C85E0F"/>
    <w:rsid w:val="00C85F08"/>
    <w:rsid w:val="00C861A0"/>
    <w:rsid w:val="00C861C8"/>
    <w:rsid w:val="00C86539"/>
    <w:rsid w:val="00C86692"/>
    <w:rsid w:val="00C86826"/>
    <w:rsid w:val="00C869A0"/>
    <w:rsid w:val="00C86A54"/>
    <w:rsid w:val="00C86A61"/>
    <w:rsid w:val="00C86AF0"/>
    <w:rsid w:val="00C86B3C"/>
    <w:rsid w:val="00C86B5C"/>
    <w:rsid w:val="00C86EFA"/>
    <w:rsid w:val="00C86F35"/>
    <w:rsid w:val="00C86FDC"/>
    <w:rsid w:val="00C87030"/>
    <w:rsid w:val="00C873D7"/>
    <w:rsid w:val="00C875E8"/>
    <w:rsid w:val="00C87A0F"/>
    <w:rsid w:val="00C87AB8"/>
    <w:rsid w:val="00C87BE0"/>
    <w:rsid w:val="00C87CDB"/>
    <w:rsid w:val="00C87D3D"/>
    <w:rsid w:val="00C87E74"/>
    <w:rsid w:val="00C87EF3"/>
    <w:rsid w:val="00C87F27"/>
    <w:rsid w:val="00C90469"/>
    <w:rsid w:val="00C904EC"/>
    <w:rsid w:val="00C9072F"/>
    <w:rsid w:val="00C90C45"/>
    <w:rsid w:val="00C91119"/>
    <w:rsid w:val="00C91225"/>
    <w:rsid w:val="00C912E6"/>
    <w:rsid w:val="00C915B4"/>
    <w:rsid w:val="00C9182B"/>
    <w:rsid w:val="00C9195A"/>
    <w:rsid w:val="00C91C59"/>
    <w:rsid w:val="00C920D5"/>
    <w:rsid w:val="00C9229C"/>
    <w:rsid w:val="00C9291C"/>
    <w:rsid w:val="00C9293F"/>
    <w:rsid w:val="00C92BB4"/>
    <w:rsid w:val="00C92C5E"/>
    <w:rsid w:val="00C92C95"/>
    <w:rsid w:val="00C92CC3"/>
    <w:rsid w:val="00C9342D"/>
    <w:rsid w:val="00C93485"/>
    <w:rsid w:val="00C93761"/>
    <w:rsid w:val="00C9389B"/>
    <w:rsid w:val="00C93BEB"/>
    <w:rsid w:val="00C94015"/>
    <w:rsid w:val="00C94061"/>
    <w:rsid w:val="00C9423B"/>
    <w:rsid w:val="00C9440C"/>
    <w:rsid w:val="00C9443C"/>
    <w:rsid w:val="00C94622"/>
    <w:rsid w:val="00C946AC"/>
    <w:rsid w:val="00C946C8"/>
    <w:rsid w:val="00C94714"/>
    <w:rsid w:val="00C947DE"/>
    <w:rsid w:val="00C94BA4"/>
    <w:rsid w:val="00C950E4"/>
    <w:rsid w:val="00C951C8"/>
    <w:rsid w:val="00C9527D"/>
    <w:rsid w:val="00C954F2"/>
    <w:rsid w:val="00C95555"/>
    <w:rsid w:val="00C955EE"/>
    <w:rsid w:val="00C956E8"/>
    <w:rsid w:val="00C956F1"/>
    <w:rsid w:val="00C959DB"/>
    <w:rsid w:val="00C95A4F"/>
    <w:rsid w:val="00C95A76"/>
    <w:rsid w:val="00C95EBF"/>
    <w:rsid w:val="00C961C7"/>
    <w:rsid w:val="00C96587"/>
    <w:rsid w:val="00C96740"/>
    <w:rsid w:val="00C967AE"/>
    <w:rsid w:val="00C971B3"/>
    <w:rsid w:val="00C97238"/>
    <w:rsid w:val="00C974A6"/>
    <w:rsid w:val="00C978F2"/>
    <w:rsid w:val="00C97957"/>
    <w:rsid w:val="00CA00CE"/>
    <w:rsid w:val="00CA0314"/>
    <w:rsid w:val="00CA038E"/>
    <w:rsid w:val="00CA05F5"/>
    <w:rsid w:val="00CA06A2"/>
    <w:rsid w:val="00CA08AC"/>
    <w:rsid w:val="00CA0D20"/>
    <w:rsid w:val="00CA100C"/>
    <w:rsid w:val="00CA1013"/>
    <w:rsid w:val="00CA1349"/>
    <w:rsid w:val="00CA14C2"/>
    <w:rsid w:val="00CA17A3"/>
    <w:rsid w:val="00CA18DC"/>
    <w:rsid w:val="00CA1C6F"/>
    <w:rsid w:val="00CA1D1B"/>
    <w:rsid w:val="00CA2968"/>
    <w:rsid w:val="00CA3025"/>
    <w:rsid w:val="00CA3163"/>
    <w:rsid w:val="00CA335F"/>
    <w:rsid w:val="00CA3438"/>
    <w:rsid w:val="00CA3C1E"/>
    <w:rsid w:val="00CA3F36"/>
    <w:rsid w:val="00CA4091"/>
    <w:rsid w:val="00CA411B"/>
    <w:rsid w:val="00CA41DB"/>
    <w:rsid w:val="00CA42D6"/>
    <w:rsid w:val="00CA442A"/>
    <w:rsid w:val="00CA450B"/>
    <w:rsid w:val="00CA4615"/>
    <w:rsid w:val="00CA48ED"/>
    <w:rsid w:val="00CA49D3"/>
    <w:rsid w:val="00CA4B6D"/>
    <w:rsid w:val="00CA4B6F"/>
    <w:rsid w:val="00CA4FE7"/>
    <w:rsid w:val="00CA51CF"/>
    <w:rsid w:val="00CA53DF"/>
    <w:rsid w:val="00CA5827"/>
    <w:rsid w:val="00CA59B9"/>
    <w:rsid w:val="00CA59F2"/>
    <w:rsid w:val="00CA5A2A"/>
    <w:rsid w:val="00CA5CBA"/>
    <w:rsid w:val="00CA5E75"/>
    <w:rsid w:val="00CA5F72"/>
    <w:rsid w:val="00CA6003"/>
    <w:rsid w:val="00CA60FD"/>
    <w:rsid w:val="00CA64AC"/>
    <w:rsid w:val="00CA6611"/>
    <w:rsid w:val="00CA673D"/>
    <w:rsid w:val="00CA689D"/>
    <w:rsid w:val="00CA6A7C"/>
    <w:rsid w:val="00CA6B31"/>
    <w:rsid w:val="00CA6E40"/>
    <w:rsid w:val="00CA6F97"/>
    <w:rsid w:val="00CA723D"/>
    <w:rsid w:val="00CA73EF"/>
    <w:rsid w:val="00CA76CE"/>
    <w:rsid w:val="00CA76F5"/>
    <w:rsid w:val="00CA798D"/>
    <w:rsid w:val="00CA7C32"/>
    <w:rsid w:val="00CA7CB1"/>
    <w:rsid w:val="00CA7D99"/>
    <w:rsid w:val="00CA7E5F"/>
    <w:rsid w:val="00CA7E66"/>
    <w:rsid w:val="00CB024A"/>
    <w:rsid w:val="00CB03C2"/>
    <w:rsid w:val="00CB0618"/>
    <w:rsid w:val="00CB07DA"/>
    <w:rsid w:val="00CB0996"/>
    <w:rsid w:val="00CB0A02"/>
    <w:rsid w:val="00CB0A96"/>
    <w:rsid w:val="00CB0BF3"/>
    <w:rsid w:val="00CB0CBF"/>
    <w:rsid w:val="00CB0E6C"/>
    <w:rsid w:val="00CB1195"/>
    <w:rsid w:val="00CB11CF"/>
    <w:rsid w:val="00CB1316"/>
    <w:rsid w:val="00CB13E6"/>
    <w:rsid w:val="00CB173C"/>
    <w:rsid w:val="00CB1A43"/>
    <w:rsid w:val="00CB1FB6"/>
    <w:rsid w:val="00CB2352"/>
    <w:rsid w:val="00CB23F1"/>
    <w:rsid w:val="00CB2608"/>
    <w:rsid w:val="00CB2B03"/>
    <w:rsid w:val="00CB3276"/>
    <w:rsid w:val="00CB379F"/>
    <w:rsid w:val="00CB3CF9"/>
    <w:rsid w:val="00CB409E"/>
    <w:rsid w:val="00CB4274"/>
    <w:rsid w:val="00CB4BE1"/>
    <w:rsid w:val="00CB4DB4"/>
    <w:rsid w:val="00CB4DDB"/>
    <w:rsid w:val="00CB4E0D"/>
    <w:rsid w:val="00CB4E47"/>
    <w:rsid w:val="00CB4F1F"/>
    <w:rsid w:val="00CB5254"/>
    <w:rsid w:val="00CB53EA"/>
    <w:rsid w:val="00CB5436"/>
    <w:rsid w:val="00CB5541"/>
    <w:rsid w:val="00CB556E"/>
    <w:rsid w:val="00CB5994"/>
    <w:rsid w:val="00CB5ADB"/>
    <w:rsid w:val="00CB5B22"/>
    <w:rsid w:val="00CB5CBA"/>
    <w:rsid w:val="00CB636A"/>
    <w:rsid w:val="00CB64A7"/>
    <w:rsid w:val="00CB65F0"/>
    <w:rsid w:val="00CB6783"/>
    <w:rsid w:val="00CB694D"/>
    <w:rsid w:val="00CB70F7"/>
    <w:rsid w:val="00CB735E"/>
    <w:rsid w:val="00CB74F3"/>
    <w:rsid w:val="00CB7B35"/>
    <w:rsid w:val="00CC0134"/>
    <w:rsid w:val="00CC04CB"/>
    <w:rsid w:val="00CC0A5A"/>
    <w:rsid w:val="00CC0C96"/>
    <w:rsid w:val="00CC0F42"/>
    <w:rsid w:val="00CC1284"/>
    <w:rsid w:val="00CC13B0"/>
    <w:rsid w:val="00CC179D"/>
    <w:rsid w:val="00CC1888"/>
    <w:rsid w:val="00CC1905"/>
    <w:rsid w:val="00CC1D90"/>
    <w:rsid w:val="00CC20A7"/>
    <w:rsid w:val="00CC2165"/>
    <w:rsid w:val="00CC21CA"/>
    <w:rsid w:val="00CC2381"/>
    <w:rsid w:val="00CC2801"/>
    <w:rsid w:val="00CC2854"/>
    <w:rsid w:val="00CC28AB"/>
    <w:rsid w:val="00CC29E0"/>
    <w:rsid w:val="00CC2EE5"/>
    <w:rsid w:val="00CC302E"/>
    <w:rsid w:val="00CC30FF"/>
    <w:rsid w:val="00CC3160"/>
    <w:rsid w:val="00CC323D"/>
    <w:rsid w:val="00CC36DC"/>
    <w:rsid w:val="00CC39C3"/>
    <w:rsid w:val="00CC39D7"/>
    <w:rsid w:val="00CC3A4D"/>
    <w:rsid w:val="00CC3A8D"/>
    <w:rsid w:val="00CC3DFD"/>
    <w:rsid w:val="00CC3F2C"/>
    <w:rsid w:val="00CC4280"/>
    <w:rsid w:val="00CC4613"/>
    <w:rsid w:val="00CC470F"/>
    <w:rsid w:val="00CC47F1"/>
    <w:rsid w:val="00CC481E"/>
    <w:rsid w:val="00CC485F"/>
    <w:rsid w:val="00CC4A16"/>
    <w:rsid w:val="00CC4F19"/>
    <w:rsid w:val="00CC51DC"/>
    <w:rsid w:val="00CC5377"/>
    <w:rsid w:val="00CC54EB"/>
    <w:rsid w:val="00CC5659"/>
    <w:rsid w:val="00CC570A"/>
    <w:rsid w:val="00CC570B"/>
    <w:rsid w:val="00CC59C9"/>
    <w:rsid w:val="00CC59EE"/>
    <w:rsid w:val="00CC5B61"/>
    <w:rsid w:val="00CC5D9C"/>
    <w:rsid w:val="00CC6224"/>
    <w:rsid w:val="00CC6530"/>
    <w:rsid w:val="00CC65A9"/>
    <w:rsid w:val="00CC66E2"/>
    <w:rsid w:val="00CC6A21"/>
    <w:rsid w:val="00CC6A31"/>
    <w:rsid w:val="00CC7320"/>
    <w:rsid w:val="00CC7350"/>
    <w:rsid w:val="00CC77AE"/>
    <w:rsid w:val="00CC7831"/>
    <w:rsid w:val="00CC783A"/>
    <w:rsid w:val="00CC78AF"/>
    <w:rsid w:val="00CC79E3"/>
    <w:rsid w:val="00CC7AE9"/>
    <w:rsid w:val="00CC7C4E"/>
    <w:rsid w:val="00CC7DF5"/>
    <w:rsid w:val="00CD006F"/>
    <w:rsid w:val="00CD0287"/>
    <w:rsid w:val="00CD0348"/>
    <w:rsid w:val="00CD03F3"/>
    <w:rsid w:val="00CD0569"/>
    <w:rsid w:val="00CD08B5"/>
    <w:rsid w:val="00CD08D3"/>
    <w:rsid w:val="00CD09C4"/>
    <w:rsid w:val="00CD0D79"/>
    <w:rsid w:val="00CD0E5E"/>
    <w:rsid w:val="00CD0EB3"/>
    <w:rsid w:val="00CD0EF1"/>
    <w:rsid w:val="00CD1020"/>
    <w:rsid w:val="00CD10D4"/>
    <w:rsid w:val="00CD10FB"/>
    <w:rsid w:val="00CD132F"/>
    <w:rsid w:val="00CD1558"/>
    <w:rsid w:val="00CD1675"/>
    <w:rsid w:val="00CD1836"/>
    <w:rsid w:val="00CD1E5A"/>
    <w:rsid w:val="00CD1EE7"/>
    <w:rsid w:val="00CD2004"/>
    <w:rsid w:val="00CD22AF"/>
    <w:rsid w:val="00CD237C"/>
    <w:rsid w:val="00CD244A"/>
    <w:rsid w:val="00CD25A8"/>
    <w:rsid w:val="00CD2726"/>
    <w:rsid w:val="00CD2794"/>
    <w:rsid w:val="00CD28FC"/>
    <w:rsid w:val="00CD2907"/>
    <w:rsid w:val="00CD2ABE"/>
    <w:rsid w:val="00CD2AF9"/>
    <w:rsid w:val="00CD2B66"/>
    <w:rsid w:val="00CD2BFE"/>
    <w:rsid w:val="00CD2C2D"/>
    <w:rsid w:val="00CD2CCE"/>
    <w:rsid w:val="00CD2D96"/>
    <w:rsid w:val="00CD2DF0"/>
    <w:rsid w:val="00CD2E1D"/>
    <w:rsid w:val="00CD3161"/>
    <w:rsid w:val="00CD3334"/>
    <w:rsid w:val="00CD3618"/>
    <w:rsid w:val="00CD3A81"/>
    <w:rsid w:val="00CD3B0F"/>
    <w:rsid w:val="00CD3B2A"/>
    <w:rsid w:val="00CD3D39"/>
    <w:rsid w:val="00CD405E"/>
    <w:rsid w:val="00CD4210"/>
    <w:rsid w:val="00CD4874"/>
    <w:rsid w:val="00CD4BB2"/>
    <w:rsid w:val="00CD5274"/>
    <w:rsid w:val="00CD550A"/>
    <w:rsid w:val="00CD5583"/>
    <w:rsid w:val="00CD56DE"/>
    <w:rsid w:val="00CD580B"/>
    <w:rsid w:val="00CD5AD0"/>
    <w:rsid w:val="00CD5B04"/>
    <w:rsid w:val="00CD5DDF"/>
    <w:rsid w:val="00CD5DEC"/>
    <w:rsid w:val="00CD6363"/>
    <w:rsid w:val="00CD6527"/>
    <w:rsid w:val="00CD6B76"/>
    <w:rsid w:val="00CD6BEB"/>
    <w:rsid w:val="00CD6C3E"/>
    <w:rsid w:val="00CD6C70"/>
    <w:rsid w:val="00CD6E8E"/>
    <w:rsid w:val="00CD7230"/>
    <w:rsid w:val="00CD7443"/>
    <w:rsid w:val="00CD76A2"/>
    <w:rsid w:val="00CD76F9"/>
    <w:rsid w:val="00CD77C0"/>
    <w:rsid w:val="00CD7A17"/>
    <w:rsid w:val="00CD7A63"/>
    <w:rsid w:val="00CD7C81"/>
    <w:rsid w:val="00CD7D65"/>
    <w:rsid w:val="00CD7D85"/>
    <w:rsid w:val="00CD7D99"/>
    <w:rsid w:val="00CE02DC"/>
    <w:rsid w:val="00CE0460"/>
    <w:rsid w:val="00CE08D4"/>
    <w:rsid w:val="00CE0991"/>
    <w:rsid w:val="00CE0AB1"/>
    <w:rsid w:val="00CE0C9A"/>
    <w:rsid w:val="00CE0D9F"/>
    <w:rsid w:val="00CE11C7"/>
    <w:rsid w:val="00CE1320"/>
    <w:rsid w:val="00CE1334"/>
    <w:rsid w:val="00CE1681"/>
    <w:rsid w:val="00CE18FB"/>
    <w:rsid w:val="00CE1C4A"/>
    <w:rsid w:val="00CE1FB9"/>
    <w:rsid w:val="00CE25A4"/>
    <w:rsid w:val="00CE26CA"/>
    <w:rsid w:val="00CE293F"/>
    <w:rsid w:val="00CE2D4E"/>
    <w:rsid w:val="00CE3189"/>
    <w:rsid w:val="00CE3265"/>
    <w:rsid w:val="00CE32D9"/>
    <w:rsid w:val="00CE3498"/>
    <w:rsid w:val="00CE3861"/>
    <w:rsid w:val="00CE39B9"/>
    <w:rsid w:val="00CE3C6F"/>
    <w:rsid w:val="00CE3FD0"/>
    <w:rsid w:val="00CE403F"/>
    <w:rsid w:val="00CE4179"/>
    <w:rsid w:val="00CE41FA"/>
    <w:rsid w:val="00CE4467"/>
    <w:rsid w:val="00CE44F4"/>
    <w:rsid w:val="00CE4623"/>
    <w:rsid w:val="00CE4831"/>
    <w:rsid w:val="00CE4BC3"/>
    <w:rsid w:val="00CE4E86"/>
    <w:rsid w:val="00CE4FBD"/>
    <w:rsid w:val="00CE5121"/>
    <w:rsid w:val="00CE5176"/>
    <w:rsid w:val="00CE5362"/>
    <w:rsid w:val="00CE56EC"/>
    <w:rsid w:val="00CE578A"/>
    <w:rsid w:val="00CE5C7F"/>
    <w:rsid w:val="00CE5D27"/>
    <w:rsid w:val="00CE5FCE"/>
    <w:rsid w:val="00CE617C"/>
    <w:rsid w:val="00CE627F"/>
    <w:rsid w:val="00CE62EF"/>
    <w:rsid w:val="00CE6517"/>
    <w:rsid w:val="00CE6543"/>
    <w:rsid w:val="00CE6712"/>
    <w:rsid w:val="00CE6771"/>
    <w:rsid w:val="00CE6BE1"/>
    <w:rsid w:val="00CE6D2E"/>
    <w:rsid w:val="00CE6D44"/>
    <w:rsid w:val="00CE6F90"/>
    <w:rsid w:val="00CE6FA0"/>
    <w:rsid w:val="00CE731D"/>
    <w:rsid w:val="00CE73C9"/>
    <w:rsid w:val="00CE7701"/>
    <w:rsid w:val="00CE77E6"/>
    <w:rsid w:val="00CE7AB1"/>
    <w:rsid w:val="00CE7AE1"/>
    <w:rsid w:val="00CE7BA2"/>
    <w:rsid w:val="00CE7C58"/>
    <w:rsid w:val="00CE7E29"/>
    <w:rsid w:val="00CE7E57"/>
    <w:rsid w:val="00CF0197"/>
    <w:rsid w:val="00CF0287"/>
    <w:rsid w:val="00CF033D"/>
    <w:rsid w:val="00CF056A"/>
    <w:rsid w:val="00CF062C"/>
    <w:rsid w:val="00CF07F1"/>
    <w:rsid w:val="00CF0D6C"/>
    <w:rsid w:val="00CF1028"/>
    <w:rsid w:val="00CF109F"/>
    <w:rsid w:val="00CF12BA"/>
    <w:rsid w:val="00CF1446"/>
    <w:rsid w:val="00CF146C"/>
    <w:rsid w:val="00CF1534"/>
    <w:rsid w:val="00CF176A"/>
    <w:rsid w:val="00CF1780"/>
    <w:rsid w:val="00CF1A82"/>
    <w:rsid w:val="00CF1AC3"/>
    <w:rsid w:val="00CF1B2C"/>
    <w:rsid w:val="00CF1EB4"/>
    <w:rsid w:val="00CF207E"/>
    <w:rsid w:val="00CF215C"/>
    <w:rsid w:val="00CF2348"/>
    <w:rsid w:val="00CF234B"/>
    <w:rsid w:val="00CF24F5"/>
    <w:rsid w:val="00CF25CC"/>
    <w:rsid w:val="00CF2824"/>
    <w:rsid w:val="00CF2912"/>
    <w:rsid w:val="00CF2A06"/>
    <w:rsid w:val="00CF2BA3"/>
    <w:rsid w:val="00CF2D40"/>
    <w:rsid w:val="00CF31D9"/>
    <w:rsid w:val="00CF31DA"/>
    <w:rsid w:val="00CF320C"/>
    <w:rsid w:val="00CF32B2"/>
    <w:rsid w:val="00CF368F"/>
    <w:rsid w:val="00CF3726"/>
    <w:rsid w:val="00CF372C"/>
    <w:rsid w:val="00CF39E4"/>
    <w:rsid w:val="00CF3D29"/>
    <w:rsid w:val="00CF3E2B"/>
    <w:rsid w:val="00CF3E7D"/>
    <w:rsid w:val="00CF4090"/>
    <w:rsid w:val="00CF4421"/>
    <w:rsid w:val="00CF4579"/>
    <w:rsid w:val="00CF4685"/>
    <w:rsid w:val="00CF48DA"/>
    <w:rsid w:val="00CF4C86"/>
    <w:rsid w:val="00CF4C9A"/>
    <w:rsid w:val="00CF51CE"/>
    <w:rsid w:val="00CF534B"/>
    <w:rsid w:val="00CF55C4"/>
    <w:rsid w:val="00CF5A74"/>
    <w:rsid w:val="00CF5A75"/>
    <w:rsid w:val="00CF5B8F"/>
    <w:rsid w:val="00CF5DAF"/>
    <w:rsid w:val="00CF60E1"/>
    <w:rsid w:val="00CF6189"/>
    <w:rsid w:val="00CF657F"/>
    <w:rsid w:val="00CF6C67"/>
    <w:rsid w:val="00CF72B0"/>
    <w:rsid w:val="00CF739F"/>
    <w:rsid w:val="00CF7741"/>
    <w:rsid w:val="00CF7870"/>
    <w:rsid w:val="00CF7AAD"/>
    <w:rsid w:val="00CF7D3C"/>
    <w:rsid w:val="00CF7E76"/>
    <w:rsid w:val="00D00116"/>
    <w:rsid w:val="00D002B2"/>
    <w:rsid w:val="00D003E0"/>
    <w:rsid w:val="00D00902"/>
    <w:rsid w:val="00D0092B"/>
    <w:rsid w:val="00D00FF9"/>
    <w:rsid w:val="00D0110B"/>
    <w:rsid w:val="00D011A3"/>
    <w:rsid w:val="00D01513"/>
    <w:rsid w:val="00D015FB"/>
    <w:rsid w:val="00D01684"/>
    <w:rsid w:val="00D01887"/>
    <w:rsid w:val="00D01C35"/>
    <w:rsid w:val="00D0209A"/>
    <w:rsid w:val="00D023AD"/>
    <w:rsid w:val="00D02621"/>
    <w:rsid w:val="00D026BB"/>
    <w:rsid w:val="00D02BF5"/>
    <w:rsid w:val="00D02D76"/>
    <w:rsid w:val="00D02E0B"/>
    <w:rsid w:val="00D030A7"/>
    <w:rsid w:val="00D0322B"/>
    <w:rsid w:val="00D03407"/>
    <w:rsid w:val="00D03590"/>
    <w:rsid w:val="00D035C0"/>
    <w:rsid w:val="00D03CCE"/>
    <w:rsid w:val="00D03ED5"/>
    <w:rsid w:val="00D03EE2"/>
    <w:rsid w:val="00D03FD5"/>
    <w:rsid w:val="00D043F0"/>
    <w:rsid w:val="00D0445F"/>
    <w:rsid w:val="00D047A7"/>
    <w:rsid w:val="00D048CC"/>
    <w:rsid w:val="00D04BCD"/>
    <w:rsid w:val="00D051B3"/>
    <w:rsid w:val="00D054AB"/>
    <w:rsid w:val="00D05A11"/>
    <w:rsid w:val="00D05B64"/>
    <w:rsid w:val="00D05D47"/>
    <w:rsid w:val="00D06113"/>
    <w:rsid w:val="00D0656E"/>
    <w:rsid w:val="00D06768"/>
    <w:rsid w:val="00D06AD3"/>
    <w:rsid w:val="00D06D4A"/>
    <w:rsid w:val="00D06F67"/>
    <w:rsid w:val="00D06F8D"/>
    <w:rsid w:val="00D070DC"/>
    <w:rsid w:val="00D0713A"/>
    <w:rsid w:val="00D07160"/>
    <w:rsid w:val="00D074C7"/>
    <w:rsid w:val="00D0753E"/>
    <w:rsid w:val="00D07665"/>
    <w:rsid w:val="00D077F6"/>
    <w:rsid w:val="00D078B9"/>
    <w:rsid w:val="00D078DD"/>
    <w:rsid w:val="00D0790B"/>
    <w:rsid w:val="00D07D20"/>
    <w:rsid w:val="00D07F7F"/>
    <w:rsid w:val="00D07FB5"/>
    <w:rsid w:val="00D10341"/>
    <w:rsid w:val="00D10965"/>
    <w:rsid w:val="00D10ADF"/>
    <w:rsid w:val="00D10CD3"/>
    <w:rsid w:val="00D10D98"/>
    <w:rsid w:val="00D1103D"/>
    <w:rsid w:val="00D11307"/>
    <w:rsid w:val="00D113EF"/>
    <w:rsid w:val="00D11457"/>
    <w:rsid w:val="00D11643"/>
    <w:rsid w:val="00D1179E"/>
    <w:rsid w:val="00D11888"/>
    <w:rsid w:val="00D11B08"/>
    <w:rsid w:val="00D11CF0"/>
    <w:rsid w:val="00D11D88"/>
    <w:rsid w:val="00D11D98"/>
    <w:rsid w:val="00D1203A"/>
    <w:rsid w:val="00D1212F"/>
    <w:rsid w:val="00D125EC"/>
    <w:rsid w:val="00D12760"/>
    <w:rsid w:val="00D1277D"/>
    <w:rsid w:val="00D127B5"/>
    <w:rsid w:val="00D1290A"/>
    <w:rsid w:val="00D12A2C"/>
    <w:rsid w:val="00D12A84"/>
    <w:rsid w:val="00D12B23"/>
    <w:rsid w:val="00D12C45"/>
    <w:rsid w:val="00D12E4C"/>
    <w:rsid w:val="00D12F2A"/>
    <w:rsid w:val="00D13073"/>
    <w:rsid w:val="00D130B7"/>
    <w:rsid w:val="00D13108"/>
    <w:rsid w:val="00D135DB"/>
    <w:rsid w:val="00D1372C"/>
    <w:rsid w:val="00D13951"/>
    <w:rsid w:val="00D13B7A"/>
    <w:rsid w:val="00D13B8B"/>
    <w:rsid w:val="00D13CE6"/>
    <w:rsid w:val="00D14007"/>
    <w:rsid w:val="00D1401B"/>
    <w:rsid w:val="00D141AE"/>
    <w:rsid w:val="00D1434A"/>
    <w:rsid w:val="00D1450A"/>
    <w:rsid w:val="00D1458E"/>
    <w:rsid w:val="00D14D39"/>
    <w:rsid w:val="00D14E0D"/>
    <w:rsid w:val="00D1531C"/>
    <w:rsid w:val="00D15447"/>
    <w:rsid w:val="00D1593A"/>
    <w:rsid w:val="00D15B38"/>
    <w:rsid w:val="00D15EDA"/>
    <w:rsid w:val="00D161DD"/>
    <w:rsid w:val="00D1634F"/>
    <w:rsid w:val="00D163EA"/>
    <w:rsid w:val="00D16623"/>
    <w:rsid w:val="00D16CA4"/>
    <w:rsid w:val="00D16D60"/>
    <w:rsid w:val="00D16EFF"/>
    <w:rsid w:val="00D17104"/>
    <w:rsid w:val="00D1728E"/>
    <w:rsid w:val="00D17766"/>
    <w:rsid w:val="00D17784"/>
    <w:rsid w:val="00D17BC0"/>
    <w:rsid w:val="00D17C02"/>
    <w:rsid w:val="00D17D8D"/>
    <w:rsid w:val="00D17E12"/>
    <w:rsid w:val="00D17E44"/>
    <w:rsid w:val="00D17F10"/>
    <w:rsid w:val="00D20086"/>
    <w:rsid w:val="00D205D0"/>
    <w:rsid w:val="00D207B8"/>
    <w:rsid w:val="00D20926"/>
    <w:rsid w:val="00D20BF4"/>
    <w:rsid w:val="00D21590"/>
    <w:rsid w:val="00D21A44"/>
    <w:rsid w:val="00D21E2D"/>
    <w:rsid w:val="00D22041"/>
    <w:rsid w:val="00D22640"/>
    <w:rsid w:val="00D226B8"/>
    <w:rsid w:val="00D22AE1"/>
    <w:rsid w:val="00D22F05"/>
    <w:rsid w:val="00D22F6A"/>
    <w:rsid w:val="00D22F89"/>
    <w:rsid w:val="00D236E6"/>
    <w:rsid w:val="00D236E7"/>
    <w:rsid w:val="00D2371E"/>
    <w:rsid w:val="00D23A34"/>
    <w:rsid w:val="00D23E33"/>
    <w:rsid w:val="00D23E8E"/>
    <w:rsid w:val="00D23EDE"/>
    <w:rsid w:val="00D24048"/>
    <w:rsid w:val="00D24123"/>
    <w:rsid w:val="00D24268"/>
    <w:rsid w:val="00D24659"/>
    <w:rsid w:val="00D24B2C"/>
    <w:rsid w:val="00D24C66"/>
    <w:rsid w:val="00D24D23"/>
    <w:rsid w:val="00D24F3E"/>
    <w:rsid w:val="00D25357"/>
    <w:rsid w:val="00D2553A"/>
    <w:rsid w:val="00D256D7"/>
    <w:rsid w:val="00D256EE"/>
    <w:rsid w:val="00D25951"/>
    <w:rsid w:val="00D25A84"/>
    <w:rsid w:val="00D25D65"/>
    <w:rsid w:val="00D2615B"/>
    <w:rsid w:val="00D264F1"/>
    <w:rsid w:val="00D26743"/>
    <w:rsid w:val="00D271DC"/>
    <w:rsid w:val="00D272B2"/>
    <w:rsid w:val="00D27458"/>
    <w:rsid w:val="00D274BC"/>
    <w:rsid w:val="00D27610"/>
    <w:rsid w:val="00D27644"/>
    <w:rsid w:val="00D2781E"/>
    <w:rsid w:val="00D278CC"/>
    <w:rsid w:val="00D27A10"/>
    <w:rsid w:val="00D27EC7"/>
    <w:rsid w:val="00D27EF5"/>
    <w:rsid w:val="00D27FA9"/>
    <w:rsid w:val="00D30208"/>
    <w:rsid w:val="00D3038F"/>
    <w:rsid w:val="00D304C6"/>
    <w:rsid w:val="00D307B2"/>
    <w:rsid w:val="00D30E21"/>
    <w:rsid w:val="00D30E34"/>
    <w:rsid w:val="00D30E3E"/>
    <w:rsid w:val="00D3102D"/>
    <w:rsid w:val="00D31257"/>
    <w:rsid w:val="00D3145C"/>
    <w:rsid w:val="00D31490"/>
    <w:rsid w:val="00D3173A"/>
    <w:rsid w:val="00D317C4"/>
    <w:rsid w:val="00D31ACD"/>
    <w:rsid w:val="00D31C0A"/>
    <w:rsid w:val="00D31C33"/>
    <w:rsid w:val="00D31C45"/>
    <w:rsid w:val="00D31DBB"/>
    <w:rsid w:val="00D31E71"/>
    <w:rsid w:val="00D31EFD"/>
    <w:rsid w:val="00D32001"/>
    <w:rsid w:val="00D3215E"/>
    <w:rsid w:val="00D32997"/>
    <w:rsid w:val="00D32F17"/>
    <w:rsid w:val="00D33015"/>
    <w:rsid w:val="00D33062"/>
    <w:rsid w:val="00D33269"/>
    <w:rsid w:val="00D335B4"/>
    <w:rsid w:val="00D33702"/>
    <w:rsid w:val="00D33738"/>
    <w:rsid w:val="00D33E5C"/>
    <w:rsid w:val="00D341B2"/>
    <w:rsid w:val="00D342E0"/>
    <w:rsid w:val="00D3432D"/>
    <w:rsid w:val="00D34843"/>
    <w:rsid w:val="00D348B3"/>
    <w:rsid w:val="00D349F5"/>
    <w:rsid w:val="00D34CB2"/>
    <w:rsid w:val="00D3506E"/>
    <w:rsid w:val="00D35134"/>
    <w:rsid w:val="00D3546C"/>
    <w:rsid w:val="00D35575"/>
    <w:rsid w:val="00D35928"/>
    <w:rsid w:val="00D35947"/>
    <w:rsid w:val="00D35AB4"/>
    <w:rsid w:val="00D35BD1"/>
    <w:rsid w:val="00D36152"/>
    <w:rsid w:val="00D361BC"/>
    <w:rsid w:val="00D363BC"/>
    <w:rsid w:val="00D36536"/>
    <w:rsid w:val="00D36B47"/>
    <w:rsid w:val="00D36E91"/>
    <w:rsid w:val="00D370C1"/>
    <w:rsid w:val="00D371DF"/>
    <w:rsid w:val="00D3742A"/>
    <w:rsid w:val="00D375E9"/>
    <w:rsid w:val="00D3764F"/>
    <w:rsid w:val="00D37871"/>
    <w:rsid w:val="00D37A1A"/>
    <w:rsid w:val="00D37A55"/>
    <w:rsid w:val="00D37B36"/>
    <w:rsid w:val="00D37FA8"/>
    <w:rsid w:val="00D400BE"/>
    <w:rsid w:val="00D40131"/>
    <w:rsid w:val="00D40146"/>
    <w:rsid w:val="00D4014D"/>
    <w:rsid w:val="00D40152"/>
    <w:rsid w:val="00D404EA"/>
    <w:rsid w:val="00D40501"/>
    <w:rsid w:val="00D406AE"/>
    <w:rsid w:val="00D40770"/>
    <w:rsid w:val="00D409D9"/>
    <w:rsid w:val="00D40A08"/>
    <w:rsid w:val="00D40C11"/>
    <w:rsid w:val="00D40DE5"/>
    <w:rsid w:val="00D410C4"/>
    <w:rsid w:val="00D414B8"/>
    <w:rsid w:val="00D4151D"/>
    <w:rsid w:val="00D41963"/>
    <w:rsid w:val="00D41C9B"/>
    <w:rsid w:val="00D41FCF"/>
    <w:rsid w:val="00D4200A"/>
    <w:rsid w:val="00D420E6"/>
    <w:rsid w:val="00D42285"/>
    <w:rsid w:val="00D422E9"/>
    <w:rsid w:val="00D4230E"/>
    <w:rsid w:val="00D42379"/>
    <w:rsid w:val="00D4256E"/>
    <w:rsid w:val="00D42622"/>
    <w:rsid w:val="00D4271A"/>
    <w:rsid w:val="00D42724"/>
    <w:rsid w:val="00D4276D"/>
    <w:rsid w:val="00D42847"/>
    <w:rsid w:val="00D4296C"/>
    <w:rsid w:val="00D42E7E"/>
    <w:rsid w:val="00D42EB7"/>
    <w:rsid w:val="00D42FEC"/>
    <w:rsid w:val="00D431B1"/>
    <w:rsid w:val="00D439C9"/>
    <w:rsid w:val="00D43D51"/>
    <w:rsid w:val="00D4404D"/>
    <w:rsid w:val="00D441A5"/>
    <w:rsid w:val="00D4422C"/>
    <w:rsid w:val="00D442B7"/>
    <w:rsid w:val="00D442E1"/>
    <w:rsid w:val="00D4440D"/>
    <w:rsid w:val="00D44557"/>
    <w:rsid w:val="00D44859"/>
    <w:rsid w:val="00D449AD"/>
    <w:rsid w:val="00D44A23"/>
    <w:rsid w:val="00D44BFA"/>
    <w:rsid w:val="00D44CE6"/>
    <w:rsid w:val="00D44DC0"/>
    <w:rsid w:val="00D44E61"/>
    <w:rsid w:val="00D450C4"/>
    <w:rsid w:val="00D451C3"/>
    <w:rsid w:val="00D4526A"/>
    <w:rsid w:val="00D452D7"/>
    <w:rsid w:val="00D453A8"/>
    <w:rsid w:val="00D457A5"/>
    <w:rsid w:val="00D45A07"/>
    <w:rsid w:val="00D45D35"/>
    <w:rsid w:val="00D45D49"/>
    <w:rsid w:val="00D45F7E"/>
    <w:rsid w:val="00D460B5"/>
    <w:rsid w:val="00D4610E"/>
    <w:rsid w:val="00D4620E"/>
    <w:rsid w:val="00D46CDC"/>
    <w:rsid w:val="00D470CB"/>
    <w:rsid w:val="00D47267"/>
    <w:rsid w:val="00D4787F"/>
    <w:rsid w:val="00D47B70"/>
    <w:rsid w:val="00D47F37"/>
    <w:rsid w:val="00D47F62"/>
    <w:rsid w:val="00D50115"/>
    <w:rsid w:val="00D5023D"/>
    <w:rsid w:val="00D50458"/>
    <w:rsid w:val="00D504A7"/>
    <w:rsid w:val="00D504AB"/>
    <w:rsid w:val="00D505FE"/>
    <w:rsid w:val="00D506A0"/>
    <w:rsid w:val="00D50E4E"/>
    <w:rsid w:val="00D5101B"/>
    <w:rsid w:val="00D511A5"/>
    <w:rsid w:val="00D5135D"/>
    <w:rsid w:val="00D51392"/>
    <w:rsid w:val="00D51432"/>
    <w:rsid w:val="00D51509"/>
    <w:rsid w:val="00D51933"/>
    <w:rsid w:val="00D51A26"/>
    <w:rsid w:val="00D51CCF"/>
    <w:rsid w:val="00D51DEB"/>
    <w:rsid w:val="00D52123"/>
    <w:rsid w:val="00D5253A"/>
    <w:rsid w:val="00D52886"/>
    <w:rsid w:val="00D52AB9"/>
    <w:rsid w:val="00D52BA5"/>
    <w:rsid w:val="00D52F49"/>
    <w:rsid w:val="00D5323A"/>
    <w:rsid w:val="00D53666"/>
    <w:rsid w:val="00D53910"/>
    <w:rsid w:val="00D53B3F"/>
    <w:rsid w:val="00D53C08"/>
    <w:rsid w:val="00D53C62"/>
    <w:rsid w:val="00D5400B"/>
    <w:rsid w:val="00D5407E"/>
    <w:rsid w:val="00D54494"/>
    <w:rsid w:val="00D547F5"/>
    <w:rsid w:val="00D5487C"/>
    <w:rsid w:val="00D548E9"/>
    <w:rsid w:val="00D54A43"/>
    <w:rsid w:val="00D55201"/>
    <w:rsid w:val="00D55BB0"/>
    <w:rsid w:val="00D55DE7"/>
    <w:rsid w:val="00D55EC4"/>
    <w:rsid w:val="00D55F9B"/>
    <w:rsid w:val="00D56176"/>
    <w:rsid w:val="00D562C4"/>
    <w:rsid w:val="00D56439"/>
    <w:rsid w:val="00D564E7"/>
    <w:rsid w:val="00D565D0"/>
    <w:rsid w:val="00D565D7"/>
    <w:rsid w:val="00D56A9A"/>
    <w:rsid w:val="00D56E40"/>
    <w:rsid w:val="00D573F9"/>
    <w:rsid w:val="00D5749F"/>
    <w:rsid w:val="00D575AA"/>
    <w:rsid w:val="00D57612"/>
    <w:rsid w:val="00D577E6"/>
    <w:rsid w:val="00D57964"/>
    <w:rsid w:val="00D579E0"/>
    <w:rsid w:val="00D57C8D"/>
    <w:rsid w:val="00D57CA9"/>
    <w:rsid w:val="00D57F16"/>
    <w:rsid w:val="00D60484"/>
    <w:rsid w:val="00D606B6"/>
    <w:rsid w:val="00D60871"/>
    <w:rsid w:val="00D60961"/>
    <w:rsid w:val="00D60A5B"/>
    <w:rsid w:val="00D60AA3"/>
    <w:rsid w:val="00D60CCE"/>
    <w:rsid w:val="00D60E70"/>
    <w:rsid w:val="00D61307"/>
    <w:rsid w:val="00D61496"/>
    <w:rsid w:val="00D61651"/>
    <w:rsid w:val="00D6173B"/>
    <w:rsid w:val="00D61785"/>
    <w:rsid w:val="00D6196E"/>
    <w:rsid w:val="00D61CDF"/>
    <w:rsid w:val="00D61F09"/>
    <w:rsid w:val="00D61FD6"/>
    <w:rsid w:val="00D621A1"/>
    <w:rsid w:val="00D62927"/>
    <w:rsid w:val="00D62DAD"/>
    <w:rsid w:val="00D62DCF"/>
    <w:rsid w:val="00D63184"/>
    <w:rsid w:val="00D63A79"/>
    <w:rsid w:val="00D63B03"/>
    <w:rsid w:val="00D63D2A"/>
    <w:rsid w:val="00D64259"/>
    <w:rsid w:val="00D64328"/>
    <w:rsid w:val="00D6474F"/>
    <w:rsid w:val="00D648E2"/>
    <w:rsid w:val="00D64AE4"/>
    <w:rsid w:val="00D64B3D"/>
    <w:rsid w:val="00D64C41"/>
    <w:rsid w:val="00D64E52"/>
    <w:rsid w:val="00D64F4A"/>
    <w:rsid w:val="00D64FFF"/>
    <w:rsid w:val="00D651C0"/>
    <w:rsid w:val="00D65423"/>
    <w:rsid w:val="00D65695"/>
    <w:rsid w:val="00D65987"/>
    <w:rsid w:val="00D65A25"/>
    <w:rsid w:val="00D65D82"/>
    <w:rsid w:val="00D65FB2"/>
    <w:rsid w:val="00D65FB9"/>
    <w:rsid w:val="00D663B9"/>
    <w:rsid w:val="00D66465"/>
    <w:rsid w:val="00D6651A"/>
    <w:rsid w:val="00D665F4"/>
    <w:rsid w:val="00D66CA8"/>
    <w:rsid w:val="00D66F2F"/>
    <w:rsid w:val="00D66F3B"/>
    <w:rsid w:val="00D66FF9"/>
    <w:rsid w:val="00D67182"/>
    <w:rsid w:val="00D672E5"/>
    <w:rsid w:val="00D674B1"/>
    <w:rsid w:val="00D67570"/>
    <w:rsid w:val="00D67965"/>
    <w:rsid w:val="00D67B46"/>
    <w:rsid w:val="00D67C86"/>
    <w:rsid w:val="00D67E80"/>
    <w:rsid w:val="00D70058"/>
    <w:rsid w:val="00D701DF"/>
    <w:rsid w:val="00D7021C"/>
    <w:rsid w:val="00D70970"/>
    <w:rsid w:val="00D70BD0"/>
    <w:rsid w:val="00D70BF2"/>
    <w:rsid w:val="00D70C9C"/>
    <w:rsid w:val="00D70DEF"/>
    <w:rsid w:val="00D71152"/>
    <w:rsid w:val="00D712BA"/>
    <w:rsid w:val="00D7139B"/>
    <w:rsid w:val="00D7169A"/>
    <w:rsid w:val="00D7198F"/>
    <w:rsid w:val="00D71B9A"/>
    <w:rsid w:val="00D7214C"/>
    <w:rsid w:val="00D7223E"/>
    <w:rsid w:val="00D7239A"/>
    <w:rsid w:val="00D7244B"/>
    <w:rsid w:val="00D724C0"/>
    <w:rsid w:val="00D726A6"/>
    <w:rsid w:val="00D728D3"/>
    <w:rsid w:val="00D72E01"/>
    <w:rsid w:val="00D72F11"/>
    <w:rsid w:val="00D7315E"/>
    <w:rsid w:val="00D731CD"/>
    <w:rsid w:val="00D73677"/>
    <w:rsid w:val="00D73D88"/>
    <w:rsid w:val="00D743A7"/>
    <w:rsid w:val="00D74697"/>
    <w:rsid w:val="00D746A6"/>
    <w:rsid w:val="00D74951"/>
    <w:rsid w:val="00D74964"/>
    <w:rsid w:val="00D749CB"/>
    <w:rsid w:val="00D74C03"/>
    <w:rsid w:val="00D74D02"/>
    <w:rsid w:val="00D74F8A"/>
    <w:rsid w:val="00D755F9"/>
    <w:rsid w:val="00D75959"/>
    <w:rsid w:val="00D759E6"/>
    <w:rsid w:val="00D75A74"/>
    <w:rsid w:val="00D75B99"/>
    <w:rsid w:val="00D75EAC"/>
    <w:rsid w:val="00D75F87"/>
    <w:rsid w:val="00D75F8D"/>
    <w:rsid w:val="00D76827"/>
    <w:rsid w:val="00D76879"/>
    <w:rsid w:val="00D76BC5"/>
    <w:rsid w:val="00D76E70"/>
    <w:rsid w:val="00D76FEE"/>
    <w:rsid w:val="00D7728C"/>
    <w:rsid w:val="00D775A4"/>
    <w:rsid w:val="00D775EA"/>
    <w:rsid w:val="00D777F9"/>
    <w:rsid w:val="00D77974"/>
    <w:rsid w:val="00D77B83"/>
    <w:rsid w:val="00D77C78"/>
    <w:rsid w:val="00D77DFC"/>
    <w:rsid w:val="00D77F0B"/>
    <w:rsid w:val="00D80108"/>
    <w:rsid w:val="00D802B8"/>
    <w:rsid w:val="00D802F5"/>
    <w:rsid w:val="00D803EA"/>
    <w:rsid w:val="00D805B3"/>
    <w:rsid w:val="00D80C98"/>
    <w:rsid w:val="00D80C99"/>
    <w:rsid w:val="00D80CC2"/>
    <w:rsid w:val="00D80D08"/>
    <w:rsid w:val="00D80D9A"/>
    <w:rsid w:val="00D80DE0"/>
    <w:rsid w:val="00D80E8F"/>
    <w:rsid w:val="00D80F63"/>
    <w:rsid w:val="00D80F79"/>
    <w:rsid w:val="00D80F96"/>
    <w:rsid w:val="00D80F9F"/>
    <w:rsid w:val="00D81031"/>
    <w:rsid w:val="00D81107"/>
    <w:rsid w:val="00D811BF"/>
    <w:rsid w:val="00D81533"/>
    <w:rsid w:val="00D815CB"/>
    <w:rsid w:val="00D81A22"/>
    <w:rsid w:val="00D81F36"/>
    <w:rsid w:val="00D8202C"/>
    <w:rsid w:val="00D82169"/>
    <w:rsid w:val="00D82188"/>
    <w:rsid w:val="00D821BA"/>
    <w:rsid w:val="00D822AA"/>
    <w:rsid w:val="00D82365"/>
    <w:rsid w:val="00D824DA"/>
    <w:rsid w:val="00D82754"/>
    <w:rsid w:val="00D82796"/>
    <w:rsid w:val="00D827B8"/>
    <w:rsid w:val="00D82ACB"/>
    <w:rsid w:val="00D82C84"/>
    <w:rsid w:val="00D82D8C"/>
    <w:rsid w:val="00D8342B"/>
    <w:rsid w:val="00D836DA"/>
    <w:rsid w:val="00D838F0"/>
    <w:rsid w:val="00D83CD7"/>
    <w:rsid w:val="00D83D38"/>
    <w:rsid w:val="00D83DA4"/>
    <w:rsid w:val="00D840F9"/>
    <w:rsid w:val="00D84355"/>
    <w:rsid w:val="00D84368"/>
    <w:rsid w:val="00D8452D"/>
    <w:rsid w:val="00D84531"/>
    <w:rsid w:val="00D8499B"/>
    <w:rsid w:val="00D84F13"/>
    <w:rsid w:val="00D84F7F"/>
    <w:rsid w:val="00D8510D"/>
    <w:rsid w:val="00D8544D"/>
    <w:rsid w:val="00D85482"/>
    <w:rsid w:val="00D85C6F"/>
    <w:rsid w:val="00D85D52"/>
    <w:rsid w:val="00D860B9"/>
    <w:rsid w:val="00D861EA"/>
    <w:rsid w:val="00D862CD"/>
    <w:rsid w:val="00D862EB"/>
    <w:rsid w:val="00D86326"/>
    <w:rsid w:val="00D86A9F"/>
    <w:rsid w:val="00D86FD4"/>
    <w:rsid w:val="00D871E0"/>
    <w:rsid w:val="00D87256"/>
    <w:rsid w:val="00D87497"/>
    <w:rsid w:val="00D876AC"/>
    <w:rsid w:val="00D8797B"/>
    <w:rsid w:val="00D87A7E"/>
    <w:rsid w:val="00D87B14"/>
    <w:rsid w:val="00D87CC5"/>
    <w:rsid w:val="00D87CD4"/>
    <w:rsid w:val="00D87F8D"/>
    <w:rsid w:val="00D87FEC"/>
    <w:rsid w:val="00D900DB"/>
    <w:rsid w:val="00D9047C"/>
    <w:rsid w:val="00D906B7"/>
    <w:rsid w:val="00D90761"/>
    <w:rsid w:val="00D90806"/>
    <w:rsid w:val="00D90822"/>
    <w:rsid w:val="00D90A52"/>
    <w:rsid w:val="00D90C73"/>
    <w:rsid w:val="00D90E47"/>
    <w:rsid w:val="00D90E7E"/>
    <w:rsid w:val="00D90F6B"/>
    <w:rsid w:val="00D9101C"/>
    <w:rsid w:val="00D91203"/>
    <w:rsid w:val="00D9177C"/>
    <w:rsid w:val="00D918E0"/>
    <w:rsid w:val="00D91CDC"/>
    <w:rsid w:val="00D91E1D"/>
    <w:rsid w:val="00D9204F"/>
    <w:rsid w:val="00D921E8"/>
    <w:rsid w:val="00D92486"/>
    <w:rsid w:val="00D9279D"/>
    <w:rsid w:val="00D929A6"/>
    <w:rsid w:val="00D92AC2"/>
    <w:rsid w:val="00D92CB0"/>
    <w:rsid w:val="00D934CA"/>
    <w:rsid w:val="00D9376C"/>
    <w:rsid w:val="00D938CB"/>
    <w:rsid w:val="00D9397D"/>
    <w:rsid w:val="00D93D75"/>
    <w:rsid w:val="00D93E11"/>
    <w:rsid w:val="00D94572"/>
    <w:rsid w:val="00D946CE"/>
    <w:rsid w:val="00D94872"/>
    <w:rsid w:val="00D950A1"/>
    <w:rsid w:val="00D950D1"/>
    <w:rsid w:val="00D95579"/>
    <w:rsid w:val="00D95DFB"/>
    <w:rsid w:val="00D95E1C"/>
    <w:rsid w:val="00D95F12"/>
    <w:rsid w:val="00D96036"/>
    <w:rsid w:val="00D961A3"/>
    <w:rsid w:val="00D962B3"/>
    <w:rsid w:val="00D969E0"/>
    <w:rsid w:val="00D96A1A"/>
    <w:rsid w:val="00D96BB3"/>
    <w:rsid w:val="00D96DFB"/>
    <w:rsid w:val="00D974A9"/>
    <w:rsid w:val="00D9792B"/>
    <w:rsid w:val="00D979B1"/>
    <w:rsid w:val="00D97A4C"/>
    <w:rsid w:val="00D97DBA"/>
    <w:rsid w:val="00D97F01"/>
    <w:rsid w:val="00DA0022"/>
    <w:rsid w:val="00DA0574"/>
    <w:rsid w:val="00DA070A"/>
    <w:rsid w:val="00DA0834"/>
    <w:rsid w:val="00DA0AE6"/>
    <w:rsid w:val="00DA0B51"/>
    <w:rsid w:val="00DA0D51"/>
    <w:rsid w:val="00DA0E2B"/>
    <w:rsid w:val="00DA0F85"/>
    <w:rsid w:val="00DA0F86"/>
    <w:rsid w:val="00DA154B"/>
    <w:rsid w:val="00DA16B4"/>
    <w:rsid w:val="00DA1764"/>
    <w:rsid w:val="00DA196A"/>
    <w:rsid w:val="00DA19D8"/>
    <w:rsid w:val="00DA1B69"/>
    <w:rsid w:val="00DA1CB6"/>
    <w:rsid w:val="00DA1DA0"/>
    <w:rsid w:val="00DA1E72"/>
    <w:rsid w:val="00DA2207"/>
    <w:rsid w:val="00DA25C4"/>
    <w:rsid w:val="00DA26D5"/>
    <w:rsid w:val="00DA276E"/>
    <w:rsid w:val="00DA2E04"/>
    <w:rsid w:val="00DA31E8"/>
    <w:rsid w:val="00DA330B"/>
    <w:rsid w:val="00DA3313"/>
    <w:rsid w:val="00DA34BC"/>
    <w:rsid w:val="00DA3529"/>
    <w:rsid w:val="00DA357A"/>
    <w:rsid w:val="00DA3A2A"/>
    <w:rsid w:val="00DA3AEC"/>
    <w:rsid w:val="00DA3FD8"/>
    <w:rsid w:val="00DA412F"/>
    <w:rsid w:val="00DA43F5"/>
    <w:rsid w:val="00DA4463"/>
    <w:rsid w:val="00DA44DE"/>
    <w:rsid w:val="00DA45AC"/>
    <w:rsid w:val="00DA45BC"/>
    <w:rsid w:val="00DA4873"/>
    <w:rsid w:val="00DA48A1"/>
    <w:rsid w:val="00DA4AD2"/>
    <w:rsid w:val="00DA4B35"/>
    <w:rsid w:val="00DA4CB0"/>
    <w:rsid w:val="00DA4CCE"/>
    <w:rsid w:val="00DA502F"/>
    <w:rsid w:val="00DA55CC"/>
    <w:rsid w:val="00DA5F0A"/>
    <w:rsid w:val="00DA5F17"/>
    <w:rsid w:val="00DA60F7"/>
    <w:rsid w:val="00DA63AD"/>
    <w:rsid w:val="00DA647E"/>
    <w:rsid w:val="00DA651A"/>
    <w:rsid w:val="00DA6542"/>
    <w:rsid w:val="00DA6581"/>
    <w:rsid w:val="00DA6987"/>
    <w:rsid w:val="00DA6B89"/>
    <w:rsid w:val="00DA6B91"/>
    <w:rsid w:val="00DA6EE2"/>
    <w:rsid w:val="00DA72D6"/>
    <w:rsid w:val="00DA7A96"/>
    <w:rsid w:val="00DA7AFC"/>
    <w:rsid w:val="00DB046C"/>
    <w:rsid w:val="00DB0682"/>
    <w:rsid w:val="00DB0B7E"/>
    <w:rsid w:val="00DB0D18"/>
    <w:rsid w:val="00DB0D47"/>
    <w:rsid w:val="00DB0F87"/>
    <w:rsid w:val="00DB104E"/>
    <w:rsid w:val="00DB1108"/>
    <w:rsid w:val="00DB11A3"/>
    <w:rsid w:val="00DB1216"/>
    <w:rsid w:val="00DB1271"/>
    <w:rsid w:val="00DB12B6"/>
    <w:rsid w:val="00DB1650"/>
    <w:rsid w:val="00DB1891"/>
    <w:rsid w:val="00DB1BE0"/>
    <w:rsid w:val="00DB1D98"/>
    <w:rsid w:val="00DB1DA6"/>
    <w:rsid w:val="00DB1E0E"/>
    <w:rsid w:val="00DB211E"/>
    <w:rsid w:val="00DB234D"/>
    <w:rsid w:val="00DB295C"/>
    <w:rsid w:val="00DB2B53"/>
    <w:rsid w:val="00DB2B56"/>
    <w:rsid w:val="00DB2BD0"/>
    <w:rsid w:val="00DB2CF9"/>
    <w:rsid w:val="00DB2DCD"/>
    <w:rsid w:val="00DB2E8F"/>
    <w:rsid w:val="00DB2F18"/>
    <w:rsid w:val="00DB34EE"/>
    <w:rsid w:val="00DB35F0"/>
    <w:rsid w:val="00DB362D"/>
    <w:rsid w:val="00DB3818"/>
    <w:rsid w:val="00DB39C3"/>
    <w:rsid w:val="00DB3C98"/>
    <w:rsid w:val="00DB3CAD"/>
    <w:rsid w:val="00DB3E18"/>
    <w:rsid w:val="00DB3F5F"/>
    <w:rsid w:val="00DB42B6"/>
    <w:rsid w:val="00DB42C0"/>
    <w:rsid w:val="00DB44C4"/>
    <w:rsid w:val="00DB452D"/>
    <w:rsid w:val="00DB47FD"/>
    <w:rsid w:val="00DB4841"/>
    <w:rsid w:val="00DB4CE9"/>
    <w:rsid w:val="00DB4E00"/>
    <w:rsid w:val="00DB50AA"/>
    <w:rsid w:val="00DB50B2"/>
    <w:rsid w:val="00DB552F"/>
    <w:rsid w:val="00DB58EE"/>
    <w:rsid w:val="00DB5C5C"/>
    <w:rsid w:val="00DB5C6A"/>
    <w:rsid w:val="00DB5E24"/>
    <w:rsid w:val="00DB5FE2"/>
    <w:rsid w:val="00DB637B"/>
    <w:rsid w:val="00DB64DD"/>
    <w:rsid w:val="00DB657D"/>
    <w:rsid w:val="00DB6888"/>
    <w:rsid w:val="00DB68B1"/>
    <w:rsid w:val="00DB69A0"/>
    <w:rsid w:val="00DB6D6B"/>
    <w:rsid w:val="00DB6F6A"/>
    <w:rsid w:val="00DB723E"/>
    <w:rsid w:val="00DB726E"/>
    <w:rsid w:val="00DB7383"/>
    <w:rsid w:val="00DB7527"/>
    <w:rsid w:val="00DB7683"/>
    <w:rsid w:val="00DB79B1"/>
    <w:rsid w:val="00DB7CF7"/>
    <w:rsid w:val="00DC069B"/>
    <w:rsid w:val="00DC06D8"/>
    <w:rsid w:val="00DC07A8"/>
    <w:rsid w:val="00DC07C4"/>
    <w:rsid w:val="00DC07CB"/>
    <w:rsid w:val="00DC090A"/>
    <w:rsid w:val="00DC09A7"/>
    <w:rsid w:val="00DC0C5F"/>
    <w:rsid w:val="00DC0CB0"/>
    <w:rsid w:val="00DC0D8C"/>
    <w:rsid w:val="00DC1024"/>
    <w:rsid w:val="00DC1242"/>
    <w:rsid w:val="00DC12CD"/>
    <w:rsid w:val="00DC1320"/>
    <w:rsid w:val="00DC1362"/>
    <w:rsid w:val="00DC138C"/>
    <w:rsid w:val="00DC1784"/>
    <w:rsid w:val="00DC181E"/>
    <w:rsid w:val="00DC1D3C"/>
    <w:rsid w:val="00DC224B"/>
    <w:rsid w:val="00DC27DC"/>
    <w:rsid w:val="00DC28E9"/>
    <w:rsid w:val="00DC2A31"/>
    <w:rsid w:val="00DC2AC1"/>
    <w:rsid w:val="00DC2B2F"/>
    <w:rsid w:val="00DC2D05"/>
    <w:rsid w:val="00DC2EBB"/>
    <w:rsid w:val="00DC2F18"/>
    <w:rsid w:val="00DC2FED"/>
    <w:rsid w:val="00DC306F"/>
    <w:rsid w:val="00DC3750"/>
    <w:rsid w:val="00DC39B3"/>
    <w:rsid w:val="00DC39C3"/>
    <w:rsid w:val="00DC3A25"/>
    <w:rsid w:val="00DC3AD4"/>
    <w:rsid w:val="00DC3B19"/>
    <w:rsid w:val="00DC3DEC"/>
    <w:rsid w:val="00DC3E35"/>
    <w:rsid w:val="00DC414B"/>
    <w:rsid w:val="00DC4AFB"/>
    <w:rsid w:val="00DC4B1E"/>
    <w:rsid w:val="00DC4DE7"/>
    <w:rsid w:val="00DC4F56"/>
    <w:rsid w:val="00DC50AA"/>
    <w:rsid w:val="00DC5159"/>
    <w:rsid w:val="00DC55D7"/>
    <w:rsid w:val="00DC5816"/>
    <w:rsid w:val="00DC5E34"/>
    <w:rsid w:val="00DC6302"/>
    <w:rsid w:val="00DC644A"/>
    <w:rsid w:val="00DC64BD"/>
    <w:rsid w:val="00DC65DC"/>
    <w:rsid w:val="00DC6763"/>
    <w:rsid w:val="00DC6A89"/>
    <w:rsid w:val="00DC6D6D"/>
    <w:rsid w:val="00DC6EEF"/>
    <w:rsid w:val="00DC726B"/>
    <w:rsid w:val="00DC7542"/>
    <w:rsid w:val="00DC7784"/>
    <w:rsid w:val="00DC7802"/>
    <w:rsid w:val="00DC780B"/>
    <w:rsid w:val="00DC79F7"/>
    <w:rsid w:val="00DC7C74"/>
    <w:rsid w:val="00DC7E63"/>
    <w:rsid w:val="00DD00C3"/>
    <w:rsid w:val="00DD038D"/>
    <w:rsid w:val="00DD069A"/>
    <w:rsid w:val="00DD0D53"/>
    <w:rsid w:val="00DD0F37"/>
    <w:rsid w:val="00DD106D"/>
    <w:rsid w:val="00DD132C"/>
    <w:rsid w:val="00DD176D"/>
    <w:rsid w:val="00DD17B0"/>
    <w:rsid w:val="00DD1CB6"/>
    <w:rsid w:val="00DD1F5B"/>
    <w:rsid w:val="00DD1FCF"/>
    <w:rsid w:val="00DD1FF5"/>
    <w:rsid w:val="00DD2121"/>
    <w:rsid w:val="00DD2196"/>
    <w:rsid w:val="00DD26A2"/>
    <w:rsid w:val="00DD2927"/>
    <w:rsid w:val="00DD2A33"/>
    <w:rsid w:val="00DD2C47"/>
    <w:rsid w:val="00DD3376"/>
    <w:rsid w:val="00DD3486"/>
    <w:rsid w:val="00DD355B"/>
    <w:rsid w:val="00DD35BD"/>
    <w:rsid w:val="00DD3676"/>
    <w:rsid w:val="00DD3A9F"/>
    <w:rsid w:val="00DD3C18"/>
    <w:rsid w:val="00DD3C86"/>
    <w:rsid w:val="00DD3E47"/>
    <w:rsid w:val="00DD4065"/>
    <w:rsid w:val="00DD4476"/>
    <w:rsid w:val="00DD4628"/>
    <w:rsid w:val="00DD4CBB"/>
    <w:rsid w:val="00DD4E25"/>
    <w:rsid w:val="00DD50EF"/>
    <w:rsid w:val="00DD50FE"/>
    <w:rsid w:val="00DD5496"/>
    <w:rsid w:val="00DD5551"/>
    <w:rsid w:val="00DD57C7"/>
    <w:rsid w:val="00DD57EC"/>
    <w:rsid w:val="00DD580B"/>
    <w:rsid w:val="00DD5E1B"/>
    <w:rsid w:val="00DD5F50"/>
    <w:rsid w:val="00DD626E"/>
    <w:rsid w:val="00DD630D"/>
    <w:rsid w:val="00DD65BF"/>
    <w:rsid w:val="00DD6C23"/>
    <w:rsid w:val="00DD6E70"/>
    <w:rsid w:val="00DD6EB2"/>
    <w:rsid w:val="00DD73FE"/>
    <w:rsid w:val="00DD7494"/>
    <w:rsid w:val="00DD7E89"/>
    <w:rsid w:val="00DE01EE"/>
    <w:rsid w:val="00DE029C"/>
    <w:rsid w:val="00DE02E8"/>
    <w:rsid w:val="00DE0796"/>
    <w:rsid w:val="00DE0803"/>
    <w:rsid w:val="00DE09F1"/>
    <w:rsid w:val="00DE0EEF"/>
    <w:rsid w:val="00DE1092"/>
    <w:rsid w:val="00DE13F7"/>
    <w:rsid w:val="00DE153A"/>
    <w:rsid w:val="00DE1624"/>
    <w:rsid w:val="00DE168E"/>
    <w:rsid w:val="00DE16CC"/>
    <w:rsid w:val="00DE1788"/>
    <w:rsid w:val="00DE1AF8"/>
    <w:rsid w:val="00DE1AFE"/>
    <w:rsid w:val="00DE22D7"/>
    <w:rsid w:val="00DE2745"/>
    <w:rsid w:val="00DE29D5"/>
    <w:rsid w:val="00DE2A42"/>
    <w:rsid w:val="00DE2BF7"/>
    <w:rsid w:val="00DE2CB6"/>
    <w:rsid w:val="00DE2CBB"/>
    <w:rsid w:val="00DE2CF3"/>
    <w:rsid w:val="00DE2D03"/>
    <w:rsid w:val="00DE2E50"/>
    <w:rsid w:val="00DE2EE6"/>
    <w:rsid w:val="00DE2F3F"/>
    <w:rsid w:val="00DE2FD4"/>
    <w:rsid w:val="00DE3249"/>
    <w:rsid w:val="00DE361D"/>
    <w:rsid w:val="00DE3728"/>
    <w:rsid w:val="00DE37CD"/>
    <w:rsid w:val="00DE3880"/>
    <w:rsid w:val="00DE3F34"/>
    <w:rsid w:val="00DE4693"/>
    <w:rsid w:val="00DE46AA"/>
    <w:rsid w:val="00DE4766"/>
    <w:rsid w:val="00DE49BA"/>
    <w:rsid w:val="00DE4DCE"/>
    <w:rsid w:val="00DE4F84"/>
    <w:rsid w:val="00DE5034"/>
    <w:rsid w:val="00DE5088"/>
    <w:rsid w:val="00DE56D4"/>
    <w:rsid w:val="00DE5772"/>
    <w:rsid w:val="00DE59A5"/>
    <w:rsid w:val="00DE5AAA"/>
    <w:rsid w:val="00DE5DD5"/>
    <w:rsid w:val="00DE5F56"/>
    <w:rsid w:val="00DE5F82"/>
    <w:rsid w:val="00DE647A"/>
    <w:rsid w:val="00DE67CB"/>
    <w:rsid w:val="00DE6CF6"/>
    <w:rsid w:val="00DE6D56"/>
    <w:rsid w:val="00DE6DC0"/>
    <w:rsid w:val="00DE6F51"/>
    <w:rsid w:val="00DE7073"/>
    <w:rsid w:val="00DE77FA"/>
    <w:rsid w:val="00DE7AA7"/>
    <w:rsid w:val="00DE7B73"/>
    <w:rsid w:val="00DF00DE"/>
    <w:rsid w:val="00DF0241"/>
    <w:rsid w:val="00DF027E"/>
    <w:rsid w:val="00DF03F2"/>
    <w:rsid w:val="00DF05C1"/>
    <w:rsid w:val="00DF068C"/>
    <w:rsid w:val="00DF07CC"/>
    <w:rsid w:val="00DF099A"/>
    <w:rsid w:val="00DF09C9"/>
    <w:rsid w:val="00DF0DC2"/>
    <w:rsid w:val="00DF103F"/>
    <w:rsid w:val="00DF1143"/>
    <w:rsid w:val="00DF1148"/>
    <w:rsid w:val="00DF11B3"/>
    <w:rsid w:val="00DF1551"/>
    <w:rsid w:val="00DF1781"/>
    <w:rsid w:val="00DF186F"/>
    <w:rsid w:val="00DF18D8"/>
    <w:rsid w:val="00DF1BA1"/>
    <w:rsid w:val="00DF1D97"/>
    <w:rsid w:val="00DF1E01"/>
    <w:rsid w:val="00DF2137"/>
    <w:rsid w:val="00DF213A"/>
    <w:rsid w:val="00DF2169"/>
    <w:rsid w:val="00DF2360"/>
    <w:rsid w:val="00DF26D3"/>
    <w:rsid w:val="00DF2B18"/>
    <w:rsid w:val="00DF2F47"/>
    <w:rsid w:val="00DF36A0"/>
    <w:rsid w:val="00DF393A"/>
    <w:rsid w:val="00DF3B3B"/>
    <w:rsid w:val="00DF3CF1"/>
    <w:rsid w:val="00DF3DD4"/>
    <w:rsid w:val="00DF40D8"/>
    <w:rsid w:val="00DF42A6"/>
    <w:rsid w:val="00DF4410"/>
    <w:rsid w:val="00DF4443"/>
    <w:rsid w:val="00DF4464"/>
    <w:rsid w:val="00DF47A1"/>
    <w:rsid w:val="00DF4A7D"/>
    <w:rsid w:val="00DF4AE9"/>
    <w:rsid w:val="00DF4AFB"/>
    <w:rsid w:val="00DF4B1B"/>
    <w:rsid w:val="00DF4E19"/>
    <w:rsid w:val="00DF4FC1"/>
    <w:rsid w:val="00DF4FC5"/>
    <w:rsid w:val="00DF523D"/>
    <w:rsid w:val="00DF55D0"/>
    <w:rsid w:val="00DF563B"/>
    <w:rsid w:val="00DF5809"/>
    <w:rsid w:val="00DF59A4"/>
    <w:rsid w:val="00DF5A7D"/>
    <w:rsid w:val="00DF5F05"/>
    <w:rsid w:val="00DF5F49"/>
    <w:rsid w:val="00DF5FA6"/>
    <w:rsid w:val="00DF60A7"/>
    <w:rsid w:val="00DF6102"/>
    <w:rsid w:val="00DF62F1"/>
    <w:rsid w:val="00DF6CF7"/>
    <w:rsid w:val="00DF6FD4"/>
    <w:rsid w:val="00DF700C"/>
    <w:rsid w:val="00DF764C"/>
    <w:rsid w:val="00DF780E"/>
    <w:rsid w:val="00DF78CB"/>
    <w:rsid w:val="00DF7BA9"/>
    <w:rsid w:val="00E0018C"/>
    <w:rsid w:val="00E00684"/>
    <w:rsid w:val="00E007B8"/>
    <w:rsid w:val="00E0083E"/>
    <w:rsid w:val="00E009DF"/>
    <w:rsid w:val="00E00AA4"/>
    <w:rsid w:val="00E00E65"/>
    <w:rsid w:val="00E00EA4"/>
    <w:rsid w:val="00E00F34"/>
    <w:rsid w:val="00E01148"/>
    <w:rsid w:val="00E01729"/>
    <w:rsid w:val="00E018A6"/>
    <w:rsid w:val="00E019FE"/>
    <w:rsid w:val="00E01CB9"/>
    <w:rsid w:val="00E01E38"/>
    <w:rsid w:val="00E01ED7"/>
    <w:rsid w:val="00E02058"/>
    <w:rsid w:val="00E0209A"/>
    <w:rsid w:val="00E023C0"/>
    <w:rsid w:val="00E023CC"/>
    <w:rsid w:val="00E0281E"/>
    <w:rsid w:val="00E02B84"/>
    <w:rsid w:val="00E0313D"/>
    <w:rsid w:val="00E0315E"/>
    <w:rsid w:val="00E03494"/>
    <w:rsid w:val="00E03510"/>
    <w:rsid w:val="00E035FB"/>
    <w:rsid w:val="00E036F8"/>
    <w:rsid w:val="00E03E90"/>
    <w:rsid w:val="00E04035"/>
    <w:rsid w:val="00E04496"/>
    <w:rsid w:val="00E045B2"/>
    <w:rsid w:val="00E048A0"/>
    <w:rsid w:val="00E048D8"/>
    <w:rsid w:val="00E04A4F"/>
    <w:rsid w:val="00E052FA"/>
    <w:rsid w:val="00E0546E"/>
    <w:rsid w:val="00E055C7"/>
    <w:rsid w:val="00E055D5"/>
    <w:rsid w:val="00E056CF"/>
    <w:rsid w:val="00E05830"/>
    <w:rsid w:val="00E05A23"/>
    <w:rsid w:val="00E05C00"/>
    <w:rsid w:val="00E05CCE"/>
    <w:rsid w:val="00E05D2F"/>
    <w:rsid w:val="00E05F41"/>
    <w:rsid w:val="00E061AC"/>
    <w:rsid w:val="00E06453"/>
    <w:rsid w:val="00E06458"/>
    <w:rsid w:val="00E06B69"/>
    <w:rsid w:val="00E06DFC"/>
    <w:rsid w:val="00E06EB4"/>
    <w:rsid w:val="00E07339"/>
    <w:rsid w:val="00E07479"/>
    <w:rsid w:val="00E07731"/>
    <w:rsid w:val="00E077CA"/>
    <w:rsid w:val="00E07953"/>
    <w:rsid w:val="00E07D06"/>
    <w:rsid w:val="00E07E0A"/>
    <w:rsid w:val="00E07E96"/>
    <w:rsid w:val="00E07FAE"/>
    <w:rsid w:val="00E07FC6"/>
    <w:rsid w:val="00E07FCB"/>
    <w:rsid w:val="00E07FF7"/>
    <w:rsid w:val="00E1044B"/>
    <w:rsid w:val="00E1045A"/>
    <w:rsid w:val="00E104B0"/>
    <w:rsid w:val="00E1059B"/>
    <w:rsid w:val="00E105CF"/>
    <w:rsid w:val="00E10D72"/>
    <w:rsid w:val="00E11187"/>
    <w:rsid w:val="00E11238"/>
    <w:rsid w:val="00E1135D"/>
    <w:rsid w:val="00E115DA"/>
    <w:rsid w:val="00E115E6"/>
    <w:rsid w:val="00E11CE2"/>
    <w:rsid w:val="00E12233"/>
    <w:rsid w:val="00E124DB"/>
    <w:rsid w:val="00E125BC"/>
    <w:rsid w:val="00E12632"/>
    <w:rsid w:val="00E12656"/>
    <w:rsid w:val="00E1296C"/>
    <w:rsid w:val="00E12B12"/>
    <w:rsid w:val="00E12E4C"/>
    <w:rsid w:val="00E12F27"/>
    <w:rsid w:val="00E12F92"/>
    <w:rsid w:val="00E1323B"/>
    <w:rsid w:val="00E13322"/>
    <w:rsid w:val="00E13365"/>
    <w:rsid w:val="00E13423"/>
    <w:rsid w:val="00E13497"/>
    <w:rsid w:val="00E135C6"/>
    <w:rsid w:val="00E135FC"/>
    <w:rsid w:val="00E136D2"/>
    <w:rsid w:val="00E14231"/>
    <w:rsid w:val="00E14277"/>
    <w:rsid w:val="00E1438A"/>
    <w:rsid w:val="00E14401"/>
    <w:rsid w:val="00E1457B"/>
    <w:rsid w:val="00E14A0F"/>
    <w:rsid w:val="00E14C0C"/>
    <w:rsid w:val="00E14F53"/>
    <w:rsid w:val="00E150B3"/>
    <w:rsid w:val="00E1536A"/>
    <w:rsid w:val="00E15834"/>
    <w:rsid w:val="00E15AA2"/>
    <w:rsid w:val="00E15ABB"/>
    <w:rsid w:val="00E15B2F"/>
    <w:rsid w:val="00E15D9B"/>
    <w:rsid w:val="00E15E88"/>
    <w:rsid w:val="00E160FF"/>
    <w:rsid w:val="00E16193"/>
    <w:rsid w:val="00E1625B"/>
    <w:rsid w:val="00E16274"/>
    <w:rsid w:val="00E16570"/>
    <w:rsid w:val="00E16968"/>
    <w:rsid w:val="00E16A67"/>
    <w:rsid w:val="00E16ACB"/>
    <w:rsid w:val="00E16C23"/>
    <w:rsid w:val="00E16D80"/>
    <w:rsid w:val="00E16E1F"/>
    <w:rsid w:val="00E16F51"/>
    <w:rsid w:val="00E16FAD"/>
    <w:rsid w:val="00E17449"/>
    <w:rsid w:val="00E1755C"/>
    <w:rsid w:val="00E1771D"/>
    <w:rsid w:val="00E17BE2"/>
    <w:rsid w:val="00E17EC3"/>
    <w:rsid w:val="00E206AC"/>
    <w:rsid w:val="00E20979"/>
    <w:rsid w:val="00E20A64"/>
    <w:rsid w:val="00E20B89"/>
    <w:rsid w:val="00E20C6A"/>
    <w:rsid w:val="00E20C6B"/>
    <w:rsid w:val="00E20CE7"/>
    <w:rsid w:val="00E20D20"/>
    <w:rsid w:val="00E20DA6"/>
    <w:rsid w:val="00E21240"/>
    <w:rsid w:val="00E21256"/>
    <w:rsid w:val="00E2129D"/>
    <w:rsid w:val="00E21B05"/>
    <w:rsid w:val="00E21C15"/>
    <w:rsid w:val="00E21E09"/>
    <w:rsid w:val="00E21E29"/>
    <w:rsid w:val="00E220C3"/>
    <w:rsid w:val="00E2210A"/>
    <w:rsid w:val="00E2218B"/>
    <w:rsid w:val="00E22403"/>
    <w:rsid w:val="00E2241B"/>
    <w:rsid w:val="00E224D3"/>
    <w:rsid w:val="00E22619"/>
    <w:rsid w:val="00E2277B"/>
    <w:rsid w:val="00E229F2"/>
    <w:rsid w:val="00E22CB6"/>
    <w:rsid w:val="00E22D5B"/>
    <w:rsid w:val="00E22F1A"/>
    <w:rsid w:val="00E23032"/>
    <w:rsid w:val="00E231BC"/>
    <w:rsid w:val="00E232DE"/>
    <w:rsid w:val="00E2348A"/>
    <w:rsid w:val="00E23565"/>
    <w:rsid w:val="00E23573"/>
    <w:rsid w:val="00E237BF"/>
    <w:rsid w:val="00E238F2"/>
    <w:rsid w:val="00E23D52"/>
    <w:rsid w:val="00E24151"/>
    <w:rsid w:val="00E241A1"/>
    <w:rsid w:val="00E24354"/>
    <w:rsid w:val="00E244B6"/>
    <w:rsid w:val="00E248E7"/>
    <w:rsid w:val="00E24ACC"/>
    <w:rsid w:val="00E24D10"/>
    <w:rsid w:val="00E24D45"/>
    <w:rsid w:val="00E24D78"/>
    <w:rsid w:val="00E25160"/>
    <w:rsid w:val="00E2523B"/>
    <w:rsid w:val="00E25346"/>
    <w:rsid w:val="00E25546"/>
    <w:rsid w:val="00E256B6"/>
    <w:rsid w:val="00E257D1"/>
    <w:rsid w:val="00E260C3"/>
    <w:rsid w:val="00E2621F"/>
    <w:rsid w:val="00E26276"/>
    <w:rsid w:val="00E263BB"/>
    <w:rsid w:val="00E26504"/>
    <w:rsid w:val="00E2652B"/>
    <w:rsid w:val="00E267BB"/>
    <w:rsid w:val="00E26863"/>
    <w:rsid w:val="00E26B13"/>
    <w:rsid w:val="00E26E96"/>
    <w:rsid w:val="00E27255"/>
    <w:rsid w:val="00E274E8"/>
    <w:rsid w:val="00E27638"/>
    <w:rsid w:val="00E27B75"/>
    <w:rsid w:val="00E27BBB"/>
    <w:rsid w:val="00E27C5C"/>
    <w:rsid w:val="00E302A9"/>
    <w:rsid w:val="00E308DE"/>
    <w:rsid w:val="00E30B1C"/>
    <w:rsid w:val="00E30FF5"/>
    <w:rsid w:val="00E310BB"/>
    <w:rsid w:val="00E31663"/>
    <w:rsid w:val="00E31862"/>
    <w:rsid w:val="00E318FE"/>
    <w:rsid w:val="00E31A64"/>
    <w:rsid w:val="00E31BE9"/>
    <w:rsid w:val="00E31DC7"/>
    <w:rsid w:val="00E31DEF"/>
    <w:rsid w:val="00E32430"/>
    <w:rsid w:val="00E324E3"/>
    <w:rsid w:val="00E32991"/>
    <w:rsid w:val="00E32EF8"/>
    <w:rsid w:val="00E332BE"/>
    <w:rsid w:val="00E332E8"/>
    <w:rsid w:val="00E334DA"/>
    <w:rsid w:val="00E33580"/>
    <w:rsid w:val="00E339FF"/>
    <w:rsid w:val="00E33D81"/>
    <w:rsid w:val="00E33F39"/>
    <w:rsid w:val="00E3400B"/>
    <w:rsid w:val="00E34042"/>
    <w:rsid w:val="00E340F0"/>
    <w:rsid w:val="00E3422D"/>
    <w:rsid w:val="00E3426E"/>
    <w:rsid w:val="00E3463C"/>
    <w:rsid w:val="00E3487A"/>
    <w:rsid w:val="00E348AF"/>
    <w:rsid w:val="00E34BAE"/>
    <w:rsid w:val="00E34CB3"/>
    <w:rsid w:val="00E34FD6"/>
    <w:rsid w:val="00E35028"/>
    <w:rsid w:val="00E35048"/>
    <w:rsid w:val="00E354B8"/>
    <w:rsid w:val="00E355F1"/>
    <w:rsid w:val="00E35C76"/>
    <w:rsid w:val="00E35D22"/>
    <w:rsid w:val="00E35D96"/>
    <w:rsid w:val="00E35E0B"/>
    <w:rsid w:val="00E35E75"/>
    <w:rsid w:val="00E35F35"/>
    <w:rsid w:val="00E35FB7"/>
    <w:rsid w:val="00E360BB"/>
    <w:rsid w:val="00E36211"/>
    <w:rsid w:val="00E362F0"/>
    <w:rsid w:val="00E3655F"/>
    <w:rsid w:val="00E3656B"/>
    <w:rsid w:val="00E3688B"/>
    <w:rsid w:val="00E36BB4"/>
    <w:rsid w:val="00E36CC4"/>
    <w:rsid w:val="00E36E03"/>
    <w:rsid w:val="00E37035"/>
    <w:rsid w:val="00E3710F"/>
    <w:rsid w:val="00E374F1"/>
    <w:rsid w:val="00E376BB"/>
    <w:rsid w:val="00E3798D"/>
    <w:rsid w:val="00E37C69"/>
    <w:rsid w:val="00E37C75"/>
    <w:rsid w:val="00E37DAB"/>
    <w:rsid w:val="00E37EE7"/>
    <w:rsid w:val="00E37EEC"/>
    <w:rsid w:val="00E40082"/>
    <w:rsid w:val="00E4016D"/>
    <w:rsid w:val="00E40340"/>
    <w:rsid w:val="00E4087F"/>
    <w:rsid w:val="00E40A23"/>
    <w:rsid w:val="00E40A4A"/>
    <w:rsid w:val="00E40BCE"/>
    <w:rsid w:val="00E40EB8"/>
    <w:rsid w:val="00E40F0A"/>
    <w:rsid w:val="00E40FD1"/>
    <w:rsid w:val="00E40FFE"/>
    <w:rsid w:val="00E41355"/>
    <w:rsid w:val="00E4150C"/>
    <w:rsid w:val="00E415F0"/>
    <w:rsid w:val="00E4178F"/>
    <w:rsid w:val="00E41960"/>
    <w:rsid w:val="00E41C31"/>
    <w:rsid w:val="00E41E96"/>
    <w:rsid w:val="00E41F0F"/>
    <w:rsid w:val="00E41FC5"/>
    <w:rsid w:val="00E420C2"/>
    <w:rsid w:val="00E42246"/>
    <w:rsid w:val="00E422A4"/>
    <w:rsid w:val="00E424F3"/>
    <w:rsid w:val="00E42695"/>
    <w:rsid w:val="00E42BF6"/>
    <w:rsid w:val="00E42C2D"/>
    <w:rsid w:val="00E42D5F"/>
    <w:rsid w:val="00E42DAF"/>
    <w:rsid w:val="00E43019"/>
    <w:rsid w:val="00E43110"/>
    <w:rsid w:val="00E4318D"/>
    <w:rsid w:val="00E431DD"/>
    <w:rsid w:val="00E4330D"/>
    <w:rsid w:val="00E4369D"/>
    <w:rsid w:val="00E43780"/>
    <w:rsid w:val="00E43876"/>
    <w:rsid w:val="00E43949"/>
    <w:rsid w:val="00E43BA6"/>
    <w:rsid w:val="00E43E02"/>
    <w:rsid w:val="00E44131"/>
    <w:rsid w:val="00E44340"/>
    <w:rsid w:val="00E444C1"/>
    <w:rsid w:val="00E44796"/>
    <w:rsid w:val="00E44FF4"/>
    <w:rsid w:val="00E4562F"/>
    <w:rsid w:val="00E4574E"/>
    <w:rsid w:val="00E45989"/>
    <w:rsid w:val="00E459E9"/>
    <w:rsid w:val="00E45C90"/>
    <w:rsid w:val="00E45E5F"/>
    <w:rsid w:val="00E46541"/>
    <w:rsid w:val="00E46738"/>
    <w:rsid w:val="00E4696C"/>
    <w:rsid w:val="00E46B9B"/>
    <w:rsid w:val="00E46CCD"/>
    <w:rsid w:val="00E46D2E"/>
    <w:rsid w:val="00E47345"/>
    <w:rsid w:val="00E477A0"/>
    <w:rsid w:val="00E47970"/>
    <w:rsid w:val="00E47A10"/>
    <w:rsid w:val="00E47B45"/>
    <w:rsid w:val="00E47C61"/>
    <w:rsid w:val="00E47D5C"/>
    <w:rsid w:val="00E500AF"/>
    <w:rsid w:val="00E50106"/>
    <w:rsid w:val="00E501B2"/>
    <w:rsid w:val="00E50247"/>
    <w:rsid w:val="00E503D1"/>
    <w:rsid w:val="00E50864"/>
    <w:rsid w:val="00E50B5E"/>
    <w:rsid w:val="00E50B60"/>
    <w:rsid w:val="00E50EF0"/>
    <w:rsid w:val="00E50F9D"/>
    <w:rsid w:val="00E50FD0"/>
    <w:rsid w:val="00E51016"/>
    <w:rsid w:val="00E51027"/>
    <w:rsid w:val="00E5122A"/>
    <w:rsid w:val="00E51392"/>
    <w:rsid w:val="00E51936"/>
    <w:rsid w:val="00E51C18"/>
    <w:rsid w:val="00E51C27"/>
    <w:rsid w:val="00E51E22"/>
    <w:rsid w:val="00E52866"/>
    <w:rsid w:val="00E529B4"/>
    <w:rsid w:val="00E52D1A"/>
    <w:rsid w:val="00E53A46"/>
    <w:rsid w:val="00E53A5C"/>
    <w:rsid w:val="00E53CCA"/>
    <w:rsid w:val="00E5422F"/>
    <w:rsid w:val="00E54595"/>
    <w:rsid w:val="00E546C3"/>
    <w:rsid w:val="00E54727"/>
    <w:rsid w:val="00E55044"/>
    <w:rsid w:val="00E55233"/>
    <w:rsid w:val="00E55611"/>
    <w:rsid w:val="00E55690"/>
    <w:rsid w:val="00E55790"/>
    <w:rsid w:val="00E55834"/>
    <w:rsid w:val="00E55BD9"/>
    <w:rsid w:val="00E56143"/>
    <w:rsid w:val="00E565B4"/>
    <w:rsid w:val="00E56C97"/>
    <w:rsid w:val="00E570CF"/>
    <w:rsid w:val="00E5727E"/>
    <w:rsid w:val="00E573B5"/>
    <w:rsid w:val="00E573F0"/>
    <w:rsid w:val="00E57668"/>
    <w:rsid w:val="00E57770"/>
    <w:rsid w:val="00E57B20"/>
    <w:rsid w:val="00E57C5A"/>
    <w:rsid w:val="00E57C99"/>
    <w:rsid w:val="00E57E31"/>
    <w:rsid w:val="00E60554"/>
    <w:rsid w:val="00E6077E"/>
    <w:rsid w:val="00E60888"/>
    <w:rsid w:val="00E608B5"/>
    <w:rsid w:val="00E608EC"/>
    <w:rsid w:val="00E60BAC"/>
    <w:rsid w:val="00E60BF7"/>
    <w:rsid w:val="00E60D24"/>
    <w:rsid w:val="00E60DB0"/>
    <w:rsid w:val="00E6103C"/>
    <w:rsid w:val="00E617A4"/>
    <w:rsid w:val="00E61992"/>
    <w:rsid w:val="00E61B5B"/>
    <w:rsid w:val="00E61C94"/>
    <w:rsid w:val="00E62179"/>
    <w:rsid w:val="00E62232"/>
    <w:rsid w:val="00E622F3"/>
    <w:rsid w:val="00E6292C"/>
    <w:rsid w:val="00E62CBF"/>
    <w:rsid w:val="00E62D9C"/>
    <w:rsid w:val="00E62F09"/>
    <w:rsid w:val="00E631D6"/>
    <w:rsid w:val="00E632E4"/>
    <w:rsid w:val="00E6339B"/>
    <w:rsid w:val="00E639B6"/>
    <w:rsid w:val="00E63C66"/>
    <w:rsid w:val="00E63EF6"/>
    <w:rsid w:val="00E64061"/>
    <w:rsid w:val="00E64390"/>
    <w:rsid w:val="00E646C4"/>
    <w:rsid w:val="00E646D8"/>
    <w:rsid w:val="00E648ED"/>
    <w:rsid w:val="00E64AFB"/>
    <w:rsid w:val="00E64C25"/>
    <w:rsid w:val="00E64F00"/>
    <w:rsid w:val="00E65346"/>
    <w:rsid w:val="00E65A7C"/>
    <w:rsid w:val="00E65E92"/>
    <w:rsid w:val="00E65FE8"/>
    <w:rsid w:val="00E6602F"/>
    <w:rsid w:val="00E66184"/>
    <w:rsid w:val="00E662E4"/>
    <w:rsid w:val="00E66619"/>
    <w:rsid w:val="00E666F8"/>
    <w:rsid w:val="00E66768"/>
    <w:rsid w:val="00E66A36"/>
    <w:rsid w:val="00E66D1C"/>
    <w:rsid w:val="00E670F9"/>
    <w:rsid w:val="00E67314"/>
    <w:rsid w:val="00E67441"/>
    <w:rsid w:val="00E679F4"/>
    <w:rsid w:val="00E67B53"/>
    <w:rsid w:val="00E67BFA"/>
    <w:rsid w:val="00E67D0E"/>
    <w:rsid w:val="00E67F55"/>
    <w:rsid w:val="00E67FF7"/>
    <w:rsid w:val="00E7007A"/>
    <w:rsid w:val="00E70250"/>
    <w:rsid w:val="00E70292"/>
    <w:rsid w:val="00E7037E"/>
    <w:rsid w:val="00E70404"/>
    <w:rsid w:val="00E70533"/>
    <w:rsid w:val="00E705D0"/>
    <w:rsid w:val="00E70642"/>
    <w:rsid w:val="00E70655"/>
    <w:rsid w:val="00E707DB"/>
    <w:rsid w:val="00E70920"/>
    <w:rsid w:val="00E70E93"/>
    <w:rsid w:val="00E713B4"/>
    <w:rsid w:val="00E71582"/>
    <w:rsid w:val="00E7182C"/>
    <w:rsid w:val="00E718D4"/>
    <w:rsid w:val="00E71A42"/>
    <w:rsid w:val="00E71AF4"/>
    <w:rsid w:val="00E71C10"/>
    <w:rsid w:val="00E71C32"/>
    <w:rsid w:val="00E71C4D"/>
    <w:rsid w:val="00E71D06"/>
    <w:rsid w:val="00E71E04"/>
    <w:rsid w:val="00E7214D"/>
    <w:rsid w:val="00E721B7"/>
    <w:rsid w:val="00E7220F"/>
    <w:rsid w:val="00E7254B"/>
    <w:rsid w:val="00E72579"/>
    <w:rsid w:val="00E725CE"/>
    <w:rsid w:val="00E7267E"/>
    <w:rsid w:val="00E72870"/>
    <w:rsid w:val="00E72ED4"/>
    <w:rsid w:val="00E72F1F"/>
    <w:rsid w:val="00E72FEE"/>
    <w:rsid w:val="00E7300A"/>
    <w:rsid w:val="00E73176"/>
    <w:rsid w:val="00E7329B"/>
    <w:rsid w:val="00E7342D"/>
    <w:rsid w:val="00E73569"/>
    <w:rsid w:val="00E73713"/>
    <w:rsid w:val="00E7375F"/>
    <w:rsid w:val="00E737A0"/>
    <w:rsid w:val="00E738E3"/>
    <w:rsid w:val="00E7390A"/>
    <w:rsid w:val="00E73B7E"/>
    <w:rsid w:val="00E74049"/>
    <w:rsid w:val="00E740C7"/>
    <w:rsid w:val="00E74239"/>
    <w:rsid w:val="00E74271"/>
    <w:rsid w:val="00E742A2"/>
    <w:rsid w:val="00E7462D"/>
    <w:rsid w:val="00E749B9"/>
    <w:rsid w:val="00E74EC4"/>
    <w:rsid w:val="00E752AD"/>
    <w:rsid w:val="00E753D8"/>
    <w:rsid w:val="00E755BF"/>
    <w:rsid w:val="00E75AA1"/>
    <w:rsid w:val="00E75ABB"/>
    <w:rsid w:val="00E75C47"/>
    <w:rsid w:val="00E75D3B"/>
    <w:rsid w:val="00E75D5F"/>
    <w:rsid w:val="00E75DDE"/>
    <w:rsid w:val="00E76059"/>
    <w:rsid w:val="00E760B7"/>
    <w:rsid w:val="00E760E5"/>
    <w:rsid w:val="00E762E9"/>
    <w:rsid w:val="00E763FC"/>
    <w:rsid w:val="00E7651D"/>
    <w:rsid w:val="00E7663B"/>
    <w:rsid w:val="00E767ED"/>
    <w:rsid w:val="00E76AC0"/>
    <w:rsid w:val="00E76F74"/>
    <w:rsid w:val="00E7714E"/>
    <w:rsid w:val="00E77240"/>
    <w:rsid w:val="00E7738F"/>
    <w:rsid w:val="00E77521"/>
    <w:rsid w:val="00E776BF"/>
    <w:rsid w:val="00E77AB0"/>
    <w:rsid w:val="00E77C0E"/>
    <w:rsid w:val="00E77C33"/>
    <w:rsid w:val="00E77C8C"/>
    <w:rsid w:val="00E77D49"/>
    <w:rsid w:val="00E80298"/>
    <w:rsid w:val="00E8064F"/>
    <w:rsid w:val="00E80C14"/>
    <w:rsid w:val="00E80F7D"/>
    <w:rsid w:val="00E810C1"/>
    <w:rsid w:val="00E814D7"/>
    <w:rsid w:val="00E815D6"/>
    <w:rsid w:val="00E8182D"/>
    <w:rsid w:val="00E81948"/>
    <w:rsid w:val="00E81B41"/>
    <w:rsid w:val="00E81CFA"/>
    <w:rsid w:val="00E81E86"/>
    <w:rsid w:val="00E81F2A"/>
    <w:rsid w:val="00E82273"/>
    <w:rsid w:val="00E8228F"/>
    <w:rsid w:val="00E82308"/>
    <w:rsid w:val="00E82A05"/>
    <w:rsid w:val="00E82A2B"/>
    <w:rsid w:val="00E82B51"/>
    <w:rsid w:val="00E82DC7"/>
    <w:rsid w:val="00E82E34"/>
    <w:rsid w:val="00E82EB2"/>
    <w:rsid w:val="00E82EF8"/>
    <w:rsid w:val="00E82FC4"/>
    <w:rsid w:val="00E8321C"/>
    <w:rsid w:val="00E83265"/>
    <w:rsid w:val="00E83362"/>
    <w:rsid w:val="00E835AE"/>
    <w:rsid w:val="00E83C05"/>
    <w:rsid w:val="00E83E0A"/>
    <w:rsid w:val="00E83E4D"/>
    <w:rsid w:val="00E83EA3"/>
    <w:rsid w:val="00E83F06"/>
    <w:rsid w:val="00E83F5C"/>
    <w:rsid w:val="00E84154"/>
    <w:rsid w:val="00E84272"/>
    <w:rsid w:val="00E84608"/>
    <w:rsid w:val="00E847CB"/>
    <w:rsid w:val="00E849EF"/>
    <w:rsid w:val="00E84A49"/>
    <w:rsid w:val="00E84AA1"/>
    <w:rsid w:val="00E84AD0"/>
    <w:rsid w:val="00E84AD6"/>
    <w:rsid w:val="00E84AEC"/>
    <w:rsid w:val="00E84B17"/>
    <w:rsid w:val="00E84D0E"/>
    <w:rsid w:val="00E84D37"/>
    <w:rsid w:val="00E84D6C"/>
    <w:rsid w:val="00E84FC3"/>
    <w:rsid w:val="00E8546C"/>
    <w:rsid w:val="00E85531"/>
    <w:rsid w:val="00E85532"/>
    <w:rsid w:val="00E8558D"/>
    <w:rsid w:val="00E8564B"/>
    <w:rsid w:val="00E8598D"/>
    <w:rsid w:val="00E861C1"/>
    <w:rsid w:val="00E861C3"/>
    <w:rsid w:val="00E8639A"/>
    <w:rsid w:val="00E863C5"/>
    <w:rsid w:val="00E863EF"/>
    <w:rsid w:val="00E8645B"/>
    <w:rsid w:val="00E8653E"/>
    <w:rsid w:val="00E86572"/>
    <w:rsid w:val="00E86709"/>
    <w:rsid w:val="00E86959"/>
    <w:rsid w:val="00E86B33"/>
    <w:rsid w:val="00E86DB3"/>
    <w:rsid w:val="00E86EE7"/>
    <w:rsid w:val="00E87059"/>
    <w:rsid w:val="00E870BE"/>
    <w:rsid w:val="00E87147"/>
    <w:rsid w:val="00E871ED"/>
    <w:rsid w:val="00E8757B"/>
    <w:rsid w:val="00E8762C"/>
    <w:rsid w:val="00E87693"/>
    <w:rsid w:val="00E87AEA"/>
    <w:rsid w:val="00E87C39"/>
    <w:rsid w:val="00E9000C"/>
    <w:rsid w:val="00E902BC"/>
    <w:rsid w:val="00E9037A"/>
    <w:rsid w:val="00E903D8"/>
    <w:rsid w:val="00E90592"/>
    <w:rsid w:val="00E90693"/>
    <w:rsid w:val="00E9089D"/>
    <w:rsid w:val="00E90983"/>
    <w:rsid w:val="00E90A59"/>
    <w:rsid w:val="00E90B30"/>
    <w:rsid w:val="00E90DB4"/>
    <w:rsid w:val="00E90F44"/>
    <w:rsid w:val="00E90FF8"/>
    <w:rsid w:val="00E9107F"/>
    <w:rsid w:val="00E9165D"/>
    <w:rsid w:val="00E9166A"/>
    <w:rsid w:val="00E917CE"/>
    <w:rsid w:val="00E918FE"/>
    <w:rsid w:val="00E919F9"/>
    <w:rsid w:val="00E91B7D"/>
    <w:rsid w:val="00E91ECD"/>
    <w:rsid w:val="00E91F03"/>
    <w:rsid w:val="00E9210A"/>
    <w:rsid w:val="00E92301"/>
    <w:rsid w:val="00E92782"/>
    <w:rsid w:val="00E927C6"/>
    <w:rsid w:val="00E92808"/>
    <w:rsid w:val="00E92D75"/>
    <w:rsid w:val="00E92EB9"/>
    <w:rsid w:val="00E9319B"/>
    <w:rsid w:val="00E933CE"/>
    <w:rsid w:val="00E936F3"/>
    <w:rsid w:val="00E9370E"/>
    <w:rsid w:val="00E93764"/>
    <w:rsid w:val="00E9385A"/>
    <w:rsid w:val="00E9396B"/>
    <w:rsid w:val="00E939C2"/>
    <w:rsid w:val="00E93AB5"/>
    <w:rsid w:val="00E93DD7"/>
    <w:rsid w:val="00E93EF9"/>
    <w:rsid w:val="00E9404B"/>
    <w:rsid w:val="00E9409C"/>
    <w:rsid w:val="00E9428B"/>
    <w:rsid w:val="00E943A8"/>
    <w:rsid w:val="00E943E3"/>
    <w:rsid w:val="00E94506"/>
    <w:rsid w:val="00E9465C"/>
    <w:rsid w:val="00E94684"/>
    <w:rsid w:val="00E94690"/>
    <w:rsid w:val="00E94758"/>
    <w:rsid w:val="00E94791"/>
    <w:rsid w:val="00E94CDF"/>
    <w:rsid w:val="00E94F2A"/>
    <w:rsid w:val="00E95004"/>
    <w:rsid w:val="00E95041"/>
    <w:rsid w:val="00E95138"/>
    <w:rsid w:val="00E95315"/>
    <w:rsid w:val="00E95647"/>
    <w:rsid w:val="00E95655"/>
    <w:rsid w:val="00E95656"/>
    <w:rsid w:val="00E95760"/>
    <w:rsid w:val="00E95852"/>
    <w:rsid w:val="00E958EE"/>
    <w:rsid w:val="00E9591F"/>
    <w:rsid w:val="00E95B55"/>
    <w:rsid w:val="00E95FCA"/>
    <w:rsid w:val="00E9657B"/>
    <w:rsid w:val="00E96753"/>
    <w:rsid w:val="00E96BE4"/>
    <w:rsid w:val="00E96C7E"/>
    <w:rsid w:val="00E96D32"/>
    <w:rsid w:val="00E972B5"/>
    <w:rsid w:val="00E973B8"/>
    <w:rsid w:val="00E97546"/>
    <w:rsid w:val="00E97A9D"/>
    <w:rsid w:val="00E97C04"/>
    <w:rsid w:val="00E97CDD"/>
    <w:rsid w:val="00EA0200"/>
    <w:rsid w:val="00EA0251"/>
    <w:rsid w:val="00EA03C9"/>
    <w:rsid w:val="00EA056B"/>
    <w:rsid w:val="00EA0719"/>
    <w:rsid w:val="00EA0762"/>
    <w:rsid w:val="00EA0778"/>
    <w:rsid w:val="00EA0884"/>
    <w:rsid w:val="00EA0B41"/>
    <w:rsid w:val="00EA0C4C"/>
    <w:rsid w:val="00EA0C80"/>
    <w:rsid w:val="00EA0CBC"/>
    <w:rsid w:val="00EA0E82"/>
    <w:rsid w:val="00EA103A"/>
    <w:rsid w:val="00EA14F4"/>
    <w:rsid w:val="00EA15A9"/>
    <w:rsid w:val="00EA18AA"/>
    <w:rsid w:val="00EA1F73"/>
    <w:rsid w:val="00EA20F9"/>
    <w:rsid w:val="00EA21E2"/>
    <w:rsid w:val="00EA22E9"/>
    <w:rsid w:val="00EA23F9"/>
    <w:rsid w:val="00EA26B5"/>
    <w:rsid w:val="00EA278A"/>
    <w:rsid w:val="00EA2BB0"/>
    <w:rsid w:val="00EA2C60"/>
    <w:rsid w:val="00EA2CA3"/>
    <w:rsid w:val="00EA2DF1"/>
    <w:rsid w:val="00EA3286"/>
    <w:rsid w:val="00EA39A0"/>
    <w:rsid w:val="00EA3A44"/>
    <w:rsid w:val="00EA3AAF"/>
    <w:rsid w:val="00EA3CD1"/>
    <w:rsid w:val="00EA3D0C"/>
    <w:rsid w:val="00EA3ED7"/>
    <w:rsid w:val="00EA405B"/>
    <w:rsid w:val="00EA43FA"/>
    <w:rsid w:val="00EA4520"/>
    <w:rsid w:val="00EA45DA"/>
    <w:rsid w:val="00EA471A"/>
    <w:rsid w:val="00EA4B77"/>
    <w:rsid w:val="00EA4D19"/>
    <w:rsid w:val="00EA4F22"/>
    <w:rsid w:val="00EA5048"/>
    <w:rsid w:val="00EA51CD"/>
    <w:rsid w:val="00EA5445"/>
    <w:rsid w:val="00EA545B"/>
    <w:rsid w:val="00EA546E"/>
    <w:rsid w:val="00EA5730"/>
    <w:rsid w:val="00EA58E1"/>
    <w:rsid w:val="00EA598E"/>
    <w:rsid w:val="00EA59CE"/>
    <w:rsid w:val="00EA5AB1"/>
    <w:rsid w:val="00EA5AE5"/>
    <w:rsid w:val="00EA5D48"/>
    <w:rsid w:val="00EA5EFC"/>
    <w:rsid w:val="00EA6106"/>
    <w:rsid w:val="00EA68DE"/>
    <w:rsid w:val="00EA6AA0"/>
    <w:rsid w:val="00EA6D48"/>
    <w:rsid w:val="00EA6D4B"/>
    <w:rsid w:val="00EA6E46"/>
    <w:rsid w:val="00EA6F21"/>
    <w:rsid w:val="00EA7644"/>
    <w:rsid w:val="00EA7685"/>
    <w:rsid w:val="00EA7DF6"/>
    <w:rsid w:val="00EB018C"/>
    <w:rsid w:val="00EB01B5"/>
    <w:rsid w:val="00EB02F4"/>
    <w:rsid w:val="00EB06AA"/>
    <w:rsid w:val="00EB0A1C"/>
    <w:rsid w:val="00EB0C2E"/>
    <w:rsid w:val="00EB0E96"/>
    <w:rsid w:val="00EB0F34"/>
    <w:rsid w:val="00EB108C"/>
    <w:rsid w:val="00EB14F1"/>
    <w:rsid w:val="00EB162C"/>
    <w:rsid w:val="00EB1968"/>
    <w:rsid w:val="00EB1A05"/>
    <w:rsid w:val="00EB1AC3"/>
    <w:rsid w:val="00EB1CF9"/>
    <w:rsid w:val="00EB1E72"/>
    <w:rsid w:val="00EB1F3A"/>
    <w:rsid w:val="00EB21B9"/>
    <w:rsid w:val="00EB221E"/>
    <w:rsid w:val="00EB231A"/>
    <w:rsid w:val="00EB2325"/>
    <w:rsid w:val="00EB2618"/>
    <w:rsid w:val="00EB28F5"/>
    <w:rsid w:val="00EB2BC2"/>
    <w:rsid w:val="00EB2C2B"/>
    <w:rsid w:val="00EB3133"/>
    <w:rsid w:val="00EB380C"/>
    <w:rsid w:val="00EB38D0"/>
    <w:rsid w:val="00EB3DE4"/>
    <w:rsid w:val="00EB3E6F"/>
    <w:rsid w:val="00EB41F0"/>
    <w:rsid w:val="00EB43BB"/>
    <w:rsid w:val="00EB4697"/>
    <w:rsid w:val="00EB47ED"/>
    <w:rsid w:val="00EB47FF"/>
    <w:rsid w:val="00EB4832"/>
    <w:rsid w:val="00EB4ADE"/>
    <w:rsid w:val="00EB4CA8"/>
    <w:rsid w:val="00EB4D6C"/>
    <w:rsid w:val="00EB4EA5"/>
    <w:rsid w:val="00EB51A4"/>
    <w:rsid w:val="00EB52E4"/>
    <w:rsid w:val="00EB57B6"/>
    <w:rsid w:val="00EB57E1"/>
    <w:rsid w:val="00EB59ED"/>
    <w:rsid w:val="00EB5C6A"/>
    <w:rsid w:val="00EB5DC6"/>
    <w:rsid w:val="00EB5F83"/>
    <w:rsid w:val="00EB5FD3"/>
    <w:rsid w:val="00EB603A"/>
    <w:rsid w:val="00EB6130"/>
    <w:rsid w:val="00EB63C8"/>
    <w:rsid w:val="00EB68A8"/>
    <w:rsid w:val="00EB698C"/>
    <w:rsid w:val="00EB6ACD"/>
    <w:rsid w:val="00EB6F17"/>
    <w:rsid w:val="00EB7013"/>
    <w:rsid w:val="00EB7142"/>
    <w:rsid w:val="00EB7285"/>
    <w:rsid w:val="00EB75D9"/>
    <w:rsid w:val="00EB76A4"/>
    <w:rsid w:val="00EB7771"/>
    <w:rsid w:val="00EB7D52"/>
    <w:rsid w:val="00EB7DA0"/>
    <w:rsid w:val="00EB7EBB"/>
    <w:rsid w:val="00EC00D1"/>
    <w:rsid w:val="00EC0304"/>
    <w:rsid w:val="00EC0525"/>
    <w:rsid w:val="00EC0597"/>
    <w:rsid w:val="00EC0693"/>
    <w:rsid w:val="00EC083A"/>
    <w:rsid w:val="00EC0B64"/>
    <w:rsid w:val="00EC0F68"/>
    <w:rsid w:val="00EC1042"/>
    <w:rsid w:val="00EC1516"/>
    <w:rsid w:val="00EC1579"/>
    <w:rsid w:val="00EC16E7"/>
    <w:rsid w:val="00EC1791"/>
    <w:rsid w:val="00EC192B"/>
    <w:rsid w:val="00EC1984"/>
    <w:rsid w:val="00EC19CC"/>
    <w:rsid w:val="00EC1CDA"/>
    <w:rsid w:val="00EC221D"/>
    <w:rsid w:val="00EC223E"/>
    <w:rsid w:val="00EC24A1"/>
    <w:rsid w:val="00EC26AB"/>
    <w:rsid w:val="00EC2D02"/>
    <w:rsid w:val="00EC3068"/>
    <w:rsid w:val="00EC306E"/>
    <w:rsid w:val="00EC32AC"/>
    <w:rsid w:val="00EC32E2"/>
    <w:rsid w:val="00EC38FC"/>
    <w:rsid w:val="00EC3D9B"/>
    <w:rsid w:val="00EC4009"/>
    <w:rsid w:val="00EC4318"/>
    <w:rsid w:val="00EC4347"/>
    <w:rsid w:val="00EC44D6"/>
    <w:rsid w:val="00EC45BB"/>
    <w:rsid w:val="00EC482B"/>
    <w:rsid w:val="00EC4A9C"/>
    <w:rsid w:val="00EC4C9F"/>
    <w:rsid w:val="00EC4D1D"/>
    <w:rsid w:val="00EC4D9B"/>
    <w:rsid w:val="00EC4EE4"/>
    <w:rsid w:val="00EC4F21"/>
    <w:rsid w:val="00EC5173"/>
    <w:rsid w:val="00EC521C"/>
    <w:rsid w:val="00EC551C"/>
    <w:rsid w:val="00EC5F4D"/>
    <w:rsid w:val="00EC6485"/>
    <w:rsid w:val="00EC64B6"/>
    <w:rsid w:val="00EC66DE"/>
    <w:rsid w:val="00EC6706"/>
    <w:rsid w:val="00EC6D8E"/>
    <w:rsid w:val="00EC7097"/>
    <w:rsid w:val="00EC71B6"/>
    <w:rsid w:val="00EC71CB"/>
    <w:rsid w:val="00EC71D3"/>
    <w:rsid w:val="00EC729A"/>
    <w:rsid w:val="00EC72BE"/>
    <w:rsid w:val="00EC7421"/>
    <w:rsid w:val="00EC7583"/>
    <w:rsid w:val="00EC75F8"/>
    <w:rsid w:val="00EC7636"/>
    <w:rsid w:val="00EC7B15"/>
    <w:rsid w:val="00EC7C59"/>
    <w:rsid w:val="00EC7D6E"/>
    <w:rsid w:val="00EC7F35"/>
    <w:rsid w:val="00ED0464"/>
    <w:rsid w:val="00ED04DF"/>
    <w:rsid w:val="00ED06B3"/>
    <w:rsid w:val="00ED0865"/>
    <w:rsid w:val="00ED0E0B"/>
    <w:rsid w:val="00ED0FFB"/>
    <w:rsid w:val="00ED1180"/>
    <w:rsid w:val="00ED1412"/>
    <w:rsid w:val="00ED1B8E"/>
    <w:rsid w:val="00ED1D01"/>
    <w:rsid w:val="00ED1D73"/>
    <w:rsid w:val="00ED1E26"/>
    <w:rsid w:val="00ED212F"/>
    <w:rsid w:val="00ED24CE"/>
    <w:rsid w:val="00ED2557"/>
    <w:rsid w:val="00ED2A9A"/>
    <w:rsid w:val="00ED2D2C"/>
    <w:rsid w:val="00ED2E0D"/>
    <w:rsid w:val="00ED3318"/>
    <w:rsid w:val="00ED331F"/>
    <w:rsid w:val="00ED356C"/>
    <w:rsid w:val="00ED363E"/>
    <w:rsid w:val="00ED3697"/>
    <w:rsid w:val="00ED371B"/>
    <w:rsid w:val="00ED3A62"/>
    <w:rsid w:val="00ED3C46"/>
    <w:rsid w:val="00ED3D52"/>
    <w:rsid w:val="00ED3E30"/>
    <w:rsid w:val="00ED3E9B"/>
    <w:rsid w:val="00ED4124"/>
    <w:rsid w:val="00ED424A"/>
    <w:rsid w:val="00ED467D"/>
    <w:rsid w:val="00ED46A4"/>
    <w:rsid w:val="00ED48EA"/>
    <w:rsid w:val="00ED490F"/>
    <w:rsid w:val="00ED49F7"/>
    <w:rsid w:val="00ED4BF5"/>
    <w:rsid w:val="00ED4EF9"/>
    <w:rsid w:val="00ED50FE"/>
    <w:rsid w:val="00ED52EE"/>
    <w:rsid w:val="00ED55BD"/>
    <w:rsid w:val="00ED5650"/>
    <w:rsid w:val="00ED5720"/>
    <w:rsid w:val="00ED575C"/>
    <w:rsid w:val="00ED5A14"/>
    <w:rsid w:val="00ED601F"/>
    <w:rsid w:val="00ED61DC"/>
    <w:rsid w:val="00ED63F8"/>
    <w:rsid w:val="00ED64AD"/>
    <w:rsid w:val="00ED687C"/>
    <w:rsid w:val="00ED6987"/>
    <w:rsid w:val="00ED6A66"/>
    <w:rsid w:val="00ED7032"/>
    <w:rsid w:val="00ED7152"/>
    <w:rsid w:val="00ED72FD"/>
    <w:rsid w:val="00ED75C2"/>
    <w:rsid w:val="00ED77F9"/>
    <w:rsid w:val="00ED7A2F"/>
    <w:rsid w:val="00ED7A68"/>
    <w:rsid w:val="00ED7E38"/>
    <w:rsid w:val="00ED7FC4"/>
    <w:rsid w:val="00EE01EF"/>
    <w:rsid w:val="00EE03B8"/>
    <w:rsid w:val="00EE0411"/>
    <w:rsid w:val="00EE0601"/>
    <w:rsid w:val="00EE064A"/>
    <w:rsid w:val="00EE0793"/>
    <w:rsid w:val="00EE0945"/>
    <w:rsid w:val="00EE0B78"/>
    <w:rsid w:val="00EE0C85"/>
    <w:rsid w:val="00EE0C89"/>
    <w:rsid w:val="00EE0C90"/>
    <w:rsid w:val="00EE0F00"/>
    <w:rsid w:val="00EE0F5F"/>
    <w:rsid w:val="00EE103D"/>
    <w:rsid w:val="00EE118F"/>
    <w:rsid w:val="00EE119B"/>
    <w:rsid w:val="00EE1273"/>
    <w:rsid w:val="00EE14D2"/>
    <w:rsid w:val="00EE16A8"/>
    <w:rsid w:val="00EE175D"/>
    <w:rsid w:val="00EE18AF"/>
    <w:rsid w:val="00EE1914"/>
    <w:rsid w:val="00EE1AE6"/>
    <w:rsid w:val="00EE21A0"/>
    <w:rsid w:val="00EE2532"/>
    <w:rsid w:val="00EE265B"/>
    <w:rsid w:val="00EE287F"/>
    <w:rsid w:val="00EE2940"/>
    <w:rsid w:val="00EE29D0"/>
    <w:rsid w:val="00EE29E0"/>
    <w:rsid w:val="00EE2A67"/>
    <w:rsid w:val="00EE2AB2"/>
    <w:rsid w:val="00EE2C71"/>
    <w:rsid w:val="00EE2E23"/>
    <w:rsid w:val="00EE2EC5"/>
    <w:rsid w:val="00EE307E"/>
    <w:rsid w:val="00EE3369"/>
    <w:rsid w:val="00EE3687"/>
    <w:rsid w:val="00EE3830"/>
    <w:rsid w:val="00EE3883"/>
    <w:rsid w:val="00EE38AC"/>
    <w:rsid w:val="00EE3950"/>
    <w:rsid w:val="00EE3981"/>
    <w:rsid w:val="00EE3B4A"/>
    <w:rsid w:val="00EE4387"/>
    <w:rsid w:val="00EE43B8"/>
    <w:rsid w:val="00EE4624"/>
    <w:rsid w:val="00EE46A4"/>
    <w:rsid w:val="00EE47E1"/>
    <w:rsid w:val="00EE4E7A"/>
    <w:rsid w:val="00EE4F8D"/>
    <w:rsid w:val="00EE50F1"/>
    <w:rsid w:val="00EE52B8"/>
    <w:rsid w:val="00EE53E9"/>
    <w:rsid w:val="00EE57A9"/>
    <w:rsid w:val="00EE587B"/>
    <w:rsid w:val="00EE5A76"/>
    <w:rsid w:val="00EE5E68"/>
    <w:rsid w:val="00EE5F63"/>
    <w:rsid w:val="00EE6054"/>
    <w:rsid w:val="00EE606B"/>
    <w:rsid w:val="00EE6144"/>
    <w:rsid w:val="00EE630E"/>
    <w:rsid w:val="00EE64C7"/>
    <w:rsid w:val="00EE65D3"/>
    <w:rsid w:val="00EE67A8"/>
    <w:rsid w:val="00EE68F5"/>
    <w:rsid w:val="00EE6B34"/>
    <w:rsid w:val="00EE6BEC"/>
    <w:rsid w:val="00EE6CAB"/>
    <w:rsid w:val="00EE710D"/>
    <w:rsid w:val="00EE7198"/>
    <w:rsid w:val="00EE719D"/>
    <w:rsid w:val="00EE71BD"/>
    <w:rsid w:val="00EE7354"/>
    <w:rsid w:val="00EE7A10"/>
    <w:rsid w:val="00EE7B0A"/>
    <w:rsid w:val="00EF014F"/>
    <w:rsid w:val="00EF015E"/>
    <w:rsid w:val="00EF0241"/>
    <w:rsid w:val="00EF026A"/>
    <w:rsid w:val="00EF0722"/>
    <w:rsid w:val="00EF09A7"/>
    <w:rsid w:val="00EF114F"/>
    <w:rsid w:val="00EF1155"/>
    <w:rsid w:val="00EF1186"/>
    <w:rsid w:val="00EF1890"/>
    <w:rsid w:val="00EF197A"/>
    <w:rsid w:val="00EF1B76"/>
    <w:rsid w:val="00EF1BFA"/>
    <w:rsid w:val="00EF1D94"/>
    <w:rsid w:val="00EF1E4A"/>
    <w:rsid w:val="00EF2425"/>
    <w:rsid w:val="00EF24C9"/>
    <w:rsid w:val="00EF270B"/>
    <w:rsid w:val="00EF27DD"/>
    <w:rsid w:val="00EF29EF"/>
    <w:rsid w:val="00EF2B7F"/>
    <w:rsid w:val="00EF2D0D"/>
    <w:rsid w:val="00EF2D20"/>
    <w:rsid w:val="00EF2E68"/>
    <w:rsid w:val="00EF300B"/>
    <w:rsid w:val="00EF30D4"/>
    <w:rsid w:val="00EF311B"/>
    <w:rsid w:val="00EF358B"/>
    <w:rsid w:val="00EF35AF"/>
    <w:rsid w:val="00EF3A31"/>
    <w:rsid w:val="00EF3D31"/>
    <w:rsid w:val="00EF4071"/>
    <w:rsid w:val="00EF41A4"/>
    <w:rsid w:val="00EF43F1"/>
    <w:rsid w:val="00EF48BC"/>
    <w:rsid w:val="00EF48CC"/>
    <w:rsid w:val="00EF4B2F"/>
    <w:rsid w:val="00EF4E6E"/>
    <w:rsid w:val="00EF51F8"/>
    <w:rsid w:val="00EF53D9"/>
    <w:rsid w:val="00EF551C"/>
    <w:rsid w:val="00EF55E3"/>
    <w:rsid w:val="00EF57AD"/>
    <w:rsid w:val="00EF5A65"/>
    <w:rsid w:val="00EF5BDC"/>
    <w:rsid w:val="00EF5C8F"/>
    <w:rsid w:val="00EF5CED"/>
    <w:rsid w:val="00EF5D54"/>
    <w:rsid w:val="00EF5ECC"/>
    <w:rsid w:val="00EF602A"/>
    <w:rsid w:val="00EF619A"/>
    <w:rsid w:val="00EF63AF"/>
    <w:rsid w:val="00EF6615"/>
    <w:rsid w:val="00EF684D"/>
    <w:rsid w:val="00EF6A85"/>
    <w:rsid w:val="00EF6B60"/>
    <w:rsid w:val="00EF6DC6"/>
    <w:rsid w:val="00EF6DD8"/>
    <w:rsid w:val="00EF7024"/>
    <w:rsid w:val="00EF7188"/>
    <w:rsid w:val="00EF71C5"/>
    <w:rsid w:val="00EF73FA"/>
    <w:rsid w:val="00EF74E2"/>
    <w:rsid w:val="00EF754A"/>
    <w:rsid w:val="00EF762D"/>
    <w:rsid w:val="00EF772F"/>
    <w:rsid w:val="00EF7955"/>
    <w:rsid w:val="00EF7A09"/>
    <w:rsid w:val="00EF7CAF"/>
    <w:rsid w:val="00EF7CD5"/>
    <w:rsid w:val="00EF7E2F"/>
    <w:rsid w:val="00F00138"/>
    <w:rsid w:val="00F00501"/>
    <w:rsid w:val="00F005BE"/>
    <w:rsid w:val="00F0067F"/>
    <w:rsid w:val="00F006BD"/>
    <w:rsid w:val="00F00920"/>
    <w:rsid w:val="00F00DBC"/>
    <w:rsid w:val="00F0108E"/>
    <w:rsid w:val="00F010BC"/>
    <w:rsid w:val="00F011CF"/>
    <w:rsid w:val="00F0141F"/>
    <w:rsid w:val="00F01550"/>
    <w:rsid w:val="00F01622"/>
    <w:rsid w:val="00F0174C"/>
    <w:rsid w:val="00F0238C"/>
    <w:rsid w:val="00F0259D"/>
    <w:rsid w:val="00F02624"/>
    <w:rsid w:val="00F02C92"/>
    <w:rsid w:val="00F02E75"/>
    <w:rsid w:val="00F03168"/>
    <w:rsid w:val="00F034A4"/>
    <w:rsid w:val="00F03BD8"/>
    <w:rsid w:val="00F03E65"/>
    <w:rsid w:val="00F03EA7"/>
    <w:rsid w:val="00F0409D"/>
    <w:rsid w:val="00F040E6"/>
    <w:rsid w:val="00F04903"/>
    <w:rsid w:val="00F04B51"/>
    <w:rsid w:val="00F04B8B"/>
    <w:rsid w:val="00F04BF8"/>
    <w:rsid w:val="00F04C54"/>
    <w:rsid w:val="00F05249"/>
    <w:rsid w:val="00F054E1"/>
    <w:rsid w:val="00F0557F"/>
    <w:rsid w:val="00F0561B"/>
    <w:rsid w:val="00F058CE"/>
    <w:rsid w:val="00F059B7"/>
    <w:rsid w:val="00F05A09"/>
    <w:rsid w:val="00F05A89"/>
    <w:rsid w:val="00F05ABF"/>
    <w:rsid w:val="00F05AE8"/>
    <w:rsid w:val="00F05B18"/>
    <w:rsid w:val="00F05FB1"/>
    <w:rsid w:val="00F0645E"/>
    <w:rsid w:val="00F0666C"/>
    <w:rsid w:val="00F06A0A"/>
    <w:rsid w:val="00F06B47"/>
    <w:rsid w:val="00F07255"/>
    <w:rsid w:val="00F07319"/>
    <w:rsid w:val="00F07532"/>
    <w:rsid w:val="00F0776F"/>
    <w:rsid w:val="00F07A71"/>
    <w:rsid w:val="00F07C50"/>
    <w:rsid w:val="00F07C84"/>
    <w:rsid w:val="00F07E37"/>
    <w:rsid w:val="00F1011D"/>
    <w:rsid w:val="00F104C4"/>
    <w:rsid w:val="00F10852"/>
    <w:rsid w:val="00F10939"/>
    <w:rsid w:val="00F10AFA"/>
    <w:rsid w:val="00F10B93"/>
    <w:rsid w:val="00F10E85"/>
    <w:rsid w:val="00F10EB3"/>
    <w:rsid w:val="00F10EC0"/>
    <w:rsid w:val="00F10FAA"/>
    <w:rsid w:val="00F111A8"/>
    <w:rsid w:val="00F111DA"/>
    <w:rsid w:val="00F115DF"/>
    <w:rsid w:val="00F116C1"/>
    <w:rsid w:val="00F1174C"/>
    <w:rsid w:val="00F11779"/>
    <w:rsid w:val="00F11824"/>
    <w:rsid w:val="00F1185D"/>
    <w:rsid w:val="00F118D2"/>
    <w:rsid w:val="00F1192B"/>
    <w:rsid w:val="00F119DF"/>
    <w:rsid w:val="00F11ABE"/>
    <w:rsid w:val="00F1222E"/>
    <w:rsid w:val="00F12266"/>
    <w:rsid w:val="00F122C7"/>
    <w:rsid w:val="00F123FF"/>
    <w:rsid w:val="00F12412"/>
    <w:rsid w:val="00F125ED"/>
    <w:rsid w:val="00F12A73"/>
    <w:rsid w:val="00F12ADB"/>
    <w:rsid w:val="00F13401"/>
    <w:rsid w:val="00F13620"/>
    <w:rsid w:val="00F13877"/>
    <w:rsid w:val="00F13908"/>
    <w:rsid w:val="00F13C9B"/>
    <w:rsid w:val="00F13E7B"/>
    <w:rsid w:val="00F13EE0"/>
    <w:rsid w:val="00F13FF9"/>
    <w:rsid w:val="00F141A9"/>
    <w:rsid w:val="00F14375"/>
    <w:rsid w:val="00F143BE"/>
    <w:rsid w:val="00F145B1"/>
    <w:rsid w:val="00F1483E"/>
    <w:rsid w:val="00F148D0"/>
    <w:rsid w:val="00F14AEF"/>
    <w:rsid w:val="00F14C57"/>
    <w:rsid w:val="00F14C68"/>
    <w:rsid w:val="00F14D75"/>
    <w:rsid w:val="00F14E73"/>
    <w:rsid w:val="00F1547D"/>
    <w:rsid w:val="00F15532"/>
    <w:rsid w:val="00F161BF"/>
    <w:rsid w:val="00F161E1"/>
    <w:rsid w:val="00F16446"/>
    <w:rsid w:val="00F16921"/>
    <w:rsid w:val="00F16B89"/>
    <w:rsid w:val="00F16C2D"/>
    <w:rsid w:val="00F16D00"/>
    <w:rsid w:val="00F16FA4"/>
    <w:rsid w:val="00F1704F"/>
    <w:rsid w:val="00F17308"/>
    <w:rsid w:val="00F1741C"/>
    <w:rsid w:val="00F174A9"/>
    <w:rsid w:val="00F174E8"/>
    <w:rsid w:val="00F178E9"/>
    <w:rsid w:val="00F17BC1"/>
    <w:rsid w:val="00F17D20"/>
    <w:rsid w:val="00F17D32"/>
    <w:rsid w:val="00F17FFB"/>
    <w:rsid w:val="00F20199"/>
    <w:rsid w:val="00F20323"/>
    <w:rsid w:val="00F2034C"/>
    <w:rsid w:val="00F20458"/>
    <w:rsid w:val="00F2083C"/>
    <w:rsid w:val="00F20A08"/>
    <w:rsid w:val="00F20CFF"/>
    <w:rsid w:val="00F20D08"/>
    <w:rsid w:val="00F20D57"/>
    <w:rsid w:val="00F20D7F"/>
    <w:rsid w:val="00F20E45"/>
    <w:rsid w:val="00F20F0C"/>
    <w:rsid w:val="00F216B9"/>
    <w:rsid w:val="00F21943"/>
    <w:rsid w:val="00F21B28"/>
    <w:rsid w:val="00F21CD3"/>
    <w:rsid w:val="00F21DC9"/>
    <w:rsid w:val="00F22736"/>
    <w:rsid w:val="00F22809"/>
    <w:rsid w:val="00F22A29"/>
    <w:rsid w:val="00F22AA0"/>
    <w:rsid w:val="00F22F9C"/>
    <w:rsid w:val="00F2312A"/>
    <w:rsid w:val="00F232A5"/>
    <w:rsid w:val="00F2339A"/>
    <w:rsid w:val="00F23436"/>
    <w:rsid w:val="00F23BFC"/>
    <w:rsid w:val="00F23C09"/>
    <w:rsid w:val="00F23DE5"/>
    <w:rsid w:val="00F24109"/>
    <w:rsid w:val="00F24398"/>
    <w:rsid w:val="00F244C2"/>
    <w:rsid w:val="00F24754"/>
    <w:rsid w:val="00F247F2"/>
    <w:rsid w:val="00F248F3"/>
    <w:rsid w:val="00F2490C"/>
    <w:rsid w:val="00F2499A"/>
    <w:rsid w:val="00F249FA"/>
    <w:rsid w:val="00F24A6F"/>
    <w:rsid w:val="00F24C72"/>
    <w:rsid w:val="00F24D1D"/>
    <w:rsid w:val="00F24DFA"/>
    <w:rsid w:val="00F24E3D"/>
    <w:rsid w:val="00F24E63"/>
    <w:rsid w:val="00F24ECB"/>
    <w:rsid w:val="00F25319"/>
    <w:rsid w:val="00F25484"/>
    <w:rsid w:val="00F257BA"/>
    <w:rsid w:val="00F257EC"/>
    <w:rsid w:val="00F25909"/>
    <w:rsid w:val="00F25945"/>
    <w:rsid w:val="00F259CF"/>
    <w:rsid w:val="00F25D19"/>
    <w:rsid w:val="00F26005"/>
    <w:rsid w:val="00F260CE"/>
    <w:rsid w:val="00F260EA"/>
    <w:rsid w:val="00F2620F"/>
    <w:rsid w:val="00F2647E"/>
    <w:rsid w:val="00F26634"/>
    <w:rsid w:val="00F26885"/>
    <w:rsid w:val="00F26BBF"/>
    <w:rsid w:val="00F26C54"/>
    <w:rsid w:val="00F26CB7"/>
    <w:rsid w:val="00F26DA6"/>
    <w:rsid w:val="00F27197"/>
    <w:rsid w:val="00F27214"/>
    <w:rsid w:val="00F27503"/>
    <w:rsid w:val="00F27578"/>
    <w:rsid w:val="00F27A43"/>
    <w:rsid w:val="00F27B48"/>
    <w:rsid w:val="00F27DE0"/>
    <w:rsid w:val="00F300C6"/>
    <w:rsid w:val="00F302B7"/>
    <w:rsid w:val="00F3038F"/>
    <w:rsid w:val="00F30417"/>
    <w:rsid w:val="00F30694"/>
    <w:rsid w:val="00F30717"/>
    <w:rsid w:val="00F3084B"/>
    <w:rsid w:val="00F30B70"/>
    <w:rsid w:val="00F30C4E"/>
    <w:rsid w:val="00F312B1"/>
    <w:rsid w:val="00F31402"/>
    <w:rsid w:val="00F315FE"/>
    <w:rsid w:val="00F3175D"/>
    <w:rsid w:val="00F3183F"/>
    <w:rsid w:val="00F31C9F"/>
    <w:rsid w:val="00F31F66"/>
    <w:rsid w:val="00F320AB"/>
    <w:rsid w:val="00F32403"/>
    <w:rsid w:val="00F3258C"/>
    <w:rsid w:val="00F3273B"/>
    <w:rsid w:val="00F32B15"/>
    <w:rsid w:val="00F32D0E"/>
    <w:rsid w:val="00F3302D"/>
    <w:rsid w:val="00F3318B"/>
    <w:rsid w:val="00F33579"/>
    <w:rsid w:val="00F336B5"/>
    <w:rsid w:val="00F3371E"/>
    <w:rsid w:val="00F33893"/>
    <w:rsid w:val="00F33895"/>
    <w:rsid w:val="00F3395E"/>
    <w:rsid w:val="00F33A43"/>
    <w:rsid w:val="00F33AAC"/>
    <w:rsid w:val="00F33AC3"/>
    <w:rsid w:val="00F33E63"/>
    <w:rsid w:val="00F34273"/>
    <w:rsid w:val="00F342C4"/>
    <w:rsid w:val="00F34454"/>
    <w:rsid w:val="00F3445E"/>
    <w:rsid w:val="00F345ED"/>
    <w:rsid w:val="00F34607"/>
    <w:rsid w:val="00F347AA"/>
    <w:rsid w:val="00F34887"/>
    <w:rsid w:val="00F349CE"/>
    <w:rsid w:val="00F34A8A"/>
    <w:rsid w:val="00F3505A"/>
    <w:rsid w:val="00F351D3"/>
    <w:rsid w:val="00F35460"/>
    <w:rsid w:val="00F35CB0"/>
    <w:rsid w:val="00F35DEA"/>
    <w:rsid w:val="00F35E32"/>
    <w:rsid w:val="00F35EA0"/>
    <w:rsid w:val="00F35FE9"/>
    <w:rsid w:val="00F36001"/>
    <w:rsid w:val="00F36331"/>
    <w:rsid w:val="00F36683"/>
    <w:rsid w:val="00F366AE"/>
    <w:rsid w:val="00F3673D"/>
    <w:rsid w:val="00F36DAC"/>
    <w:rsid w:val="00F36E6B"/>
    <w:rsid w:val="00F36F72"/>
    <w:rsid w:val="00F3705F"/>
    <w:rsid w:val="00F3721B"/>
    <w:rsid w:val="00F372A7"/>
    <w:rsid w:val="00F373B2"/>
    <w:rsid w:val="00F3751D"/>
    <w:rsid w:val="00F37728"/>
    <w:rsid w:val="00F37AB4"/>
    <w:rsid w:val="00F37B17"/>
    <w:rsid w:val="00F37D04"/>
    <w:rsid w:val="00F37D88"/>
    <w:rsid w:val="00F401A9"/>
    <w:rsid w:val="00F4078A"/>
    <w:rsid w:val="00F409E7"/>
    <w:rsid w:val="00F40A5C"/>
    <w:rsid w:val="00F4110F"/>
    <w:rsid w:val="00F41537"/>
    <w:rsid w:val="00F41543"/>
    <w:rsid w:val="00F4158F"/>
    <w:rsid w:val="00F41AE1"/>
    <w:rsid w:val="00F42033"/>
    <w:rsid w:val="00F42437"/>
    <w:rsid w:val="00F428F7"/>
    <w:rsid w:val="00F42AAB"/>
    <w:rsid w:val="00F42B67"/>
    <w:rsid w:val="00F434EB"/>
    <w:rsid w:val="00F43BE6"/>
    <w:rsid w:val="00F43C37"/>
    <w:rsid w:val="00F4400E"/>
    <w:rsid w:val="00F44148"/>
    <w:rsid w:val="00F442C9"/>
    <w:rsid w:val="00F444DA"/>
    <w:rsid w:val="00F447DE"/>
    <w:rsid w:val="00F44AFE"/>
    <w:rsid w:val="00F44BC6"/>
    <w:rsid w:val="00F44C2B"/>
    <w:rsid w:val="00F44D07"/>
    <w:rsid w:val="00F44F9F"/>
    <w:rsid w:val="00F450EA"/>
    <w:rsid w:val="00F45264"/>
    <w:rsid w:val="00F455FB"/>
    <w:rsid w:val="00F459C7"/>
    <w:rsid w:val="00F45AE8"/>
    <w:rsid w:val="00F45AF8"/>
    <w:rsid w:val="00F45B54"/>
    <w:rsid w:val="00F46032"/>
    <w:rsid w:val="00F4614C"/>
    <w:rsid w:val="00F464BF"/>
    <w:rsid w:val="00F468BC"/>
    <w:rsid w:val="00F46A88"/>
    <w:rsid w:val="00F46AAA"/>
    <w:rsid w:val="00F46AC9"/>
    <w:rsid w:val="00F46F24"/>
    <w:rsid w:val="00F46FAD"/>
    <w:rsid w:val="00F47263"/>
    <w:rsid w:val="00F47442"/>
    <w:rsid w:val="00F4746E"/>
    <w:rsid w:val="00F475D2"/>
    <w:rsid w:val="00F47797"/>
    <w:rsid w:val="00F47859"/>
    <w:rsid w:val="00F47BCD"/>
    <w:rsid w:val="00F50088"/>
    <w:rsid w:val="00F5011F"/>
    <w:rsid w:val="00F505D3"/>
    <w:rsid w:val="00F50AF7"/>
    <w:rsid w:val="00F50BAE"/>
    <w:rsid w:val="00F50CE6"/>
    <w:rsid w:val="00F50D2F"/>
    <w:rsid w:val="00F50D87"/>
    <w:rsid w:val="00F5102A"/>
    <w:rsid w:val="00F5124B"/>
    <w:rsid w:val="00F5146B"/>
    <w:rsid w:val="00F515C5"/>
    <w:rsid w:val="00F517A0"/>
    <w:rsid w:val="00F5192B"/>
    <w:rsid w:val="00F51B45"/>
    <w:rsid w:val="00F52432"/>
    <w:rsid w:val="00F52DA8"/>
    <w:rsid w:val="00F52EE1"/>
    <w:rsid w:val="00F53201"/>
    <w:rsid w:val="00F5329F"/>
    <w:rsid w:val="00F532F5"/>
    <w:rsid w:val="00F53459"/>
    <w:rsid w:val="00F534F4"/>
    <w:rsid w:val="00F5357F"/>
    <w:rsid w:val="00F53A20"/>
    <w:rsid w:val="00F53C1E"/>
    <w:rsid w:val="00F53CA5"/>
    <w:rsid w:val="00F53D2C"/>
    <w:rsid w:val="00F53E65"/>
    <w:rsid w:val="00F53F46"/>
    <w:rsid w:val="00F53F6A"/>
    <w:rsid w:val="00F53F92"/>
    <w:rsid w:val="00F544B2"/>
    <w:rsid w:val="00F545F1"/>
    <w:rsid w:val="00F549FE"/>
    <w:rsid w:val="00F54B59"/>
    <w:rsid w:val="00F54F4D"/>
    <w:rsid w:val="00F55619"/>
    <w:rsid w:val="00F556B0"/>
    <w:rsid w:val="00F55827"/>
    <w:rsid w:val="00F558A7"/>
    <w:rsid w:val="00F55B94"/>
    <w:rsid w:val="00F55DC8"/>
    <w:rsid w:val="00F55EED"/>
    <w:rsid w:val="00F55F19"/>
    <w:rsid w:val="00F5655A"/>
    <w:rsid w:val="00F56915"/>
    <w:rsid w:val="00F56C6A"/>
    <w:rsid w:val="00F56D10"/>
    <w:rsid w:val="00F56F42"/>
    <w:rsid w:val="00F57088"/>
    <w:rsid w:val="00F57111"/>
    <w:rsid w:val="00F571BC"/>
    <w:rsid w:val="00F572CD"/>
    <w:rsid w:val="00F572D3"/>
    <w:rsid w:val="00F57451"/>
    <w:rsid w:val="00F5789F"/>
    <w:rsid w:val="00F578C9"/>
    <w:rsid w:val="00F579E3"/>
    <w:rsid w:val="00F57BDC"/>
    <w:rsid w:val="00F57C5C"/>
    <w:rsid w:val="00F57CFF"/>
    <w:rsid w:val="00F60152"/>
    <w:rsid w:val="00F6079C"/>
    <w:rsid w:val="00F609AB"/>
    <w:rsid w:val="00F60A52"/>
    <w:rsid w:val="00F60C86"/>
    <w:rsid w:val="00F60D5B"/>
    <w:rsid w:val="00F60DC5"/>
    <w:rsid w:val="00F610C5"/>
    <w:rsid w:val="00F612F1"/>
    <w:rsid w:val="00F6151C"/>
    <w:rsid w:val="00F61552"/>
    <w:rsid w:val="00F61573"/>
    <w:rsid w:val="00F61801"/>
    <w:rsid w:val="00F6180F"/>
    <w:rsid w:val="00F61A08"/>
    <w:rsid w:val="00F62193"/>
    <w:rsid w:val="00F622CD"/>
    <w:rsid w:val="00F622DE"/>
    <w:rsid w:val="00F62A56"/>
    <w:rsid w:val="00F62DFD"/>
    <w:rsid w:val="00F62FC2"/>
    <w:rsid w:val="00F63169"/>
    <w:rsid w:val="00F6348A"/>
    <w:rsid w:val="00F635F4"/>
    <w:rsid w:val="00F63737"/>
    <w:rsid w:val="00F6390E"/>
    <w:rsid w:val="00F63C80"/>
    <w:rsid w:val="00F63D01"/>
    <w:rsid w:val="00F63D1C"/>
    <w:rsid w:val="00F63E0E"/>
    <w:rsid w:val="00F63F35"/>
    <w:rsid w:val="00F64035"/>
    <w:rsid w:val="00F64123"/>
    <w:rsid w:val="00F6425E"/>
    <w:rsid w:val="00F648CD"/>
    <w:rsid w:val="00F65247"/>
    <w:rsid w:val="00F659C4"/>
    <w:rsid w:val="00F66055"/>
    <w:rsid w:val="00F66098"/>
    <w:rsid w:val="00F6619C"/>
    <w:rsid w:val="00F66340"/>
    <w:rsid w:val="00F664A5"/>
    <w:rsid w:val="00F669EF"/>
    <w:rsid w:val="00F66AD6"/>
    <w:rsid w:val="00F66BDD"/>
    <w:rsid w:val="00F66CB5"/>
    <w:rsid w:val="00F66DD3"/>
    <w:rsid w:val="00F6708A"/>
    <w:rsid w:val="00F67368"/>
    <w:rsid w:val="00F674B8"/>
    <w:rsid w:val="00F67655"/>
    <w:rsid w:val="00F67BC8"/>
    <w:rsid w:val="00F67D30"/>
    <w:rsid w:val="00F70220"/>
    <w:rsid w:val="00F702EC"/>
    <w:rsid w:val="00F7056E"/>
    <w:rsid w:val="00F70679"/>
    <w:rsid w:val="00F706A4"/>
    <w:rsid w:val="00F706BA"/>
    <w:rsid w:val="00F707CC"/>
    <w:rsid w:val="00F70914"/>
    <w:rsid w:val="00F70E39"/>
    <w:rsid w:val="00F70E44"/>
    <w:rsid w:val="00F70EBF"/>
    <w:rsid w:val="00F70F55"/>
    <w:rsid w:val="00F710EB"/>
    <w:rsid w:val="00F71236"/>
    <w:rsid w:val="00F71258"/>
    <w:rsid w:val="00F71495"/>
    <w:rsid w:val="00F714F6"/>
    <w:rsid w:val="00F71880"/>
    <w:rsid w:val="00F7192E"/>
    <w:rsid w:val="00F71955"/>
    <w:rsid w:val="00F71AE6"/>
    <w:rsid w:val="00F71B9E"/>
    <w:rsid w:val="00F71CE4"/>
    <w:rsid w:val="00F71E7D"/>
    <w:rsid w:val="00F71F01"/>
    <w:rsid w:val="00F72039"/>
    <w:rsid w:val="00F72348"/>
    <w:rsid w:val="00F7271F"/>
    <w:rsid w:val="00F7287A"/>
    <w:rsid w:val="00F72A45"/>
    <w:rsid w:val="00F72D3D"/>
    <w:rsid w:val="00F72EE9"/>
    <w:rsid w:val="00F72F01"/>
    <w:rsid w:val="00F72F14"/>
    <w:rsid w:val="00F7304E"/>
    <w:rsid w:val="00F73335"/>
    <w:rsid w:val="00F7365D"/>
    <w:rsid w:val="00F73821"/>
    <w:rsid w:val="00F73F99"/>
    <w:rsid w:val="00F741B4"/>
    <w:rsid w:val="00F7476A"/>
    <w:rsid w:val="00F74B4F"/>
    <w:rsid w:val="00F74B61"/>
    <w:rsid w:val="00F75240"/>
    <w:rsid w:val="00F753DA"/>
    <w:rsid w:val="00F753FD"/>
    <w:rsid w:val="00F7560E"/>
    <w:rsid w:val="00F75AAD"/>
    <w:rsid w:val="00F75C06"/>
    <w:rsid w:val="00F75D2B"/>
    <w:rsid w:val="00F75E2F"/>
    <w:rsid w:val="00F75F07"/>
    <w:rsid w:val="00F75F8D"/>
    <w:rsid w:val="00F76398"/>
    <w:rsid w:val="00F7644D"/>
    <w:rsid w:val="00F76831"/>
    <w:rsid w:val="00F76ACA"/>
    <w:rsid w:val="00F7721C"/>
    <w:rsid w:val="00F77282"/>
    <w:rsid w:val="00F77437"/>
    <w:rsid w:val="00F777EE"/>
    <w:rsid w:val="00F77BA0"/>
    <w:rsid w:val="00F8021C"/>
    <w:rsid w:val="00F80461"/>
    <w:rsid w:val="00F80858"/>
    <w:rsid w:val="00F809BC"/>
    <w:rsid w:val="00F80A94"/>
    <w:rsid w:val="00F80AD3"/>
    <w:rsid w:val="00F80CEC"/>
    <w:rsid w:val="00F810A8"/>
    <w:rsid w:val="00F81424"/>
    <w:rsid w:val="00F81543"/>
    <w:rsid w:val="00F816DF"/>
    <w:rsid w:val="00F817BD"/>
    <w:rsid w:val="00F8180C"/>
    <w:rsid w:val="00F8190D"/>
    <w:rsid w:val="00F81A28"/>
    <w:rsid w:val="00F81B5C"/>
    <w:rsid w:val="00F81C07"/>
    <w:rsid w:val="00F81F90"/>
    <w:rsid w:val="00F820BB"/>
    <w:rsid w:val="00F8215B"/>
    <w:rsid w:val="00F825A5"/>
    <w:rsid w:val="00F82655"/>
    <w:rsid w:val="00F82B0C"/>
    <w:rsid w:val="00F82CB8"/>
    <w:rsid w:val="00F82CC1"/>
    <w:rsid w:val="00F82CDE"/>
    <w:rsid w:val="00F82E66"/>
    <w:rsid w:val="00F82F69"/>
    <w:rsid w:val="00F82FED"/>
    <w:rsid w:val="00F830DE"/>
    <w:rsid w:val="00F83334"/>
    <w:rsid w:val="00F8349C"/>
    <w:rsid w:val="00F834EA"/>
    <w:rsid w:val="00F836E8"/>
    <w:rsid w:val="00F83824"/>
    <w:rsid w:val="00F83AEE"/>
    <w:rsid w:val="00F83B3D"/>
    <w:rsid w:val="00F83D88"/>
    <w:rsid w:val="00F83EA7"/>
    <w:rsid w:val="00F83F4E"/>
    <w:rsid w:val="00F84008"/>
    <w:rsid w:val="00F84101"/>
    <w:rsid w:val="00F8416F"/>
    <w:rsid w:val="00F842ED"/>
    <w:rsid w:val="00F8438A"/>
    <w:rsid w:val="00F84628"/>
    <w:rsid w:val="00F846EA"/>
    <w:rsid w:val="00F84D17"/>
    <w:rsid w:val="00F84E54"/>
    <w:rsid w:val="00F84E79"/>
    <w:rsid w:val="00F851CF"/>
    <w:rsid w:val="00F85360"/>
    <w:rsid w:val="00F8585E"/>
    <w:rsid w:val="00F85EEA"/>
    <w:rsid w:val="00F85F0C"/>
    <w:rsid w:val="00F85F22"/>
    <w:rsid w:val="00F85F51"/>
    <w:rsid w:val="00F85F90"/>
    <w:rsid w:val="00F8631E"/>
    <w:rsid w:val="00F863CC"/>
    <w:rsid w:val="00F864FD"/>
    <w:rsid w:val="00F86CE7"/>
    <w:rsid w:val="00F8712F"/>
    <w:rsid w:val="00F8755B"/>
    <w:rsid w:val="00F87593"/>
    <w:rsid w:val="00F875D8"/>
    <w:rsid w:val="00F875FC"/>
    <w:rsid w:val="00F87613"/>
    <w:rsid w:val="00F878E9"/>
    <w:rsid w:val="00F879DE"/>
    <w:rsid w:val="00F87A92"/>
    <w:rsid w:val="00F87B53"/>
    <w:rsid w:val="00F87BC4"/>
    <w:rsid w:val="00F87CC6"/>
    <w:rsid w:val="00F87F52"/>
    <w:rsid w:val="00F9050A"/>
    <w:rsid w:val="00F90700"/>
    <w:rsid w:val="00F908EE"/>
    <w:rsid w:val="00F90D99"/>
    <w:rsid w:val="00F90DA4"/>
    <w:rsid w:val="00F90EA2"/>
    <w:rsid w:val="00F90EB9"/>
    <w:rsid w:val="00F90EFA"/>
    <w:rsid w:val="00F90F07"/>
    <w:rsid w:val="00F9102A"/>
    <w:rsid w:val="00F91294"/>
    <w:rsid w:val="00F912CD"/>
    <w:rsid w:val="00F91339"/>
    <w:rsid w:val="00F91425"/>
    <w:rsid w:val="00F91778"/>
    <w:rsid w:val="00F9178D"/>
    <w:rsid w:val="00F917FC"/>
    <w:rsid w:val="00F9184A"/>
    <w:rsid w:val="00F92089"/>
    <w:rsid w:val="00F9216A"/>
    <w:rsid w:val="00F9243A"/>
    <w:rsid w:val="00F924CC"/>
    <w:rsid w:val="00F92931"/>
    <w:rsid w:val="00F92977"/>
    <w:rsid w:val="00F92AF3"/>
    <w:rsid w:val="00F92B41"/>
    <w:rsid w:val="00F92C5A"/>
    <w:rsid w:val="00F92C5C"/>
    <w:rsid w:val="00F92D87"/>
    <w:rsid w:val="00F92E41"/>
    <w:rsid w:val="00F92F09"/>
    <w:rsid w:val="00F92FD9"/>
    <w:rsid w:val="00F92FF0"/>
    <w:rsid w:val="00F9305D"/>
    <w:rsid w:val="00F9322C"/>
    <w:rsid w:val="00F932C8"/>
    <w:rsid w:val="00F938F1"/>
    <w:rsid w:val="00F93A17"/>
    <w:rsid w:val="00F9411A"/>
    <w:rsid w:val="00F941D9"/>
    <w:rsid w:val="00F941DE"/>
    <w:rsid w:val="00F944C5"/>
    <w:rsid w:val="00F945B2"/>
    <w:rsid w:val="00F94700"/>
    <w:rsid w:val="00F9494E"/>
    <w:rsid w:val="00F94A96"/>
    <w:rsid w:val="00F94DCD"/>
    <w:rsid w:val="00F94F61"/>
    <w:rsid w:val="00F9517C"/>
    <w:rsid w:val="00F95188"/>
    <w:rsid w:val="00F9535C"/>
    <w:rsid w:val="00F953FE"/>
    <w:rsid w:val="00F9549A"/>
    <w:rsid w:val="00F955BE"/>
    <w:rsid w:val="00F95745"/>
    <w:rsid w:val="00F95A28"/>
    <w:rsid w:val="00F95A34"/>
    <w:rsid w:val="00F95A5E"/>
    <w:rsid w:val="00F96311"/>
    <w:rsid w:val="00F9664F"/>
    <w:rsid w:val="00F9665F"/>
    <w:rsid w:val="00F96B31"/>
    <w:rsid w:val="00F96BFD"/>
    <w:rsid w:val="00F96D8F"/>
    <w:rsid w:val="00F96E61"/>
    <w:rsid w:val="00F9735C"/>
    <w:rsid w:val="00F97420"/>
    <w:rsid w:val="00F9753B"/>
    <w:rsid w:val="00F97560"/>
    <w:rsid w:val="00F97DCF"/>
    <w:rsid w:val="00F97F63"/>
    <w:rsid w:val="00F97FEA"/>
    <w:rsid w:val="00FA0153"/>
    <w:rsid w:val="00FA017B"/>
    <w:rsid w:val="00FA0225"/>
    <w:rsid w:val="00FA07EE"/>
    <w:rsid w:val="00FA0A01"/>
    <w:rsid w:val="00FA0BBD"/>
    <w:rsid w:val="00FA0DD8"/>
    <w:rsid w:val="00FA129E"/>
    <w:rsid w:val="00FA12D7"/>
    <w:rsid w:val="00FA1523"/>
    <w:rsid w:val="00FA19E0"/>
    <w:rsid w:val="00FA1A32"/>
    <w:rsid w:val="00FA1D5D"/>
    <w:rsid w:val="00FA1E15"/>
    <w:rsid w:val="00FA1E39"/>
    <w:rsid w:val="00FA2027"/>
    <w:rsid w:val="00FA2179"/>
    <w:rsid w:val="00FA25FC"/>
    <w:rsid w:val="00FA2C11"/>
    <w:rsid w:val="00FA2E29"/>
    <w:rsid w:val="00FA307F"/>
    <w:rsid w:val="00FA31CE"/>
    <w:rsid w:val="00FA3268"/>
    <w:rsid w:val="00FA34E6"/>
    <w:rsid w:val="00FA3669"/>
    <w:rsid w:val="00FA3C32"/>
    <w:rsid w:val="00FA3E20"/>
    <w:rsid w:val="00FA3F36"/>
    <w:rsid w:val="00FA413B"/>
    <w:rsid w:val="00FA4245"/>
    <w:rsid w:val="00FA435E"/>
    <w:rsid w:val="00FA4383"/>
    <w:rsid w:val="00FA439A"/>
    <w:rsid w:val="00FA45EF"/>
    <w:rsid w:val="00FA47F5"/>
    <w:rsid w:val="00FA4956"/>
    <w:rsid w:val="00FA4D73"/>
    <w:rsid w:val="00FA4DAC"/>
    <w:rsid w:val="00FA4EB7"/>
    <w:rsid w:val="00FA5073"/>
    <w:rsid w:val="00FA5253"/>
    <w:rsid w:val="00FA54D4"/>
    <w:rsid w:val="00FA5502"/>
    <w:rsid w:val="00FA5809"/>
    <w:rsid w:val="00FA58AB"/>
    <w:rsid w:val="00FA5A10"/>
    <w:rsid w:val="00FA5A1D"/>
    <w:rsid w:val="00FA5B16"/>
    <w:rsid w:val="00FA5B88"/>
    <w:rsid w:val="00FA615B"/>
    <w:rsid w:val="00FA6407"/>
    <w:rsid w:val="00FA643C"/>
    <w:rsid w:val="00FA67B9"/>
    <w:rsid w:val="00FA6981"/>
    <w:rsid w:val="00FA69B5"/>
    <w:rsid w:val="00FA6B2B"/>
    <w:rsid w:val="00FA6C57"/>
    <w:rsid w:val="00FA6C9C"/>
    <w:rsid w:val="00FA6E19"/>
    <w:rsid w:val="00FA6F14"/>
    <w:rsid w:val="00FA6F84"/>
    <w:rsid w:val="00FA72B5"/>
    <w:rsid w:val="00FA74B4"/>
    <w:rsid w:val="00FA7667"/>
    <w:rsid w:val="00FA7752"/>
    <w:rsid w:val="00FA77B9"/>
    <w:rsid w:val="00FA79F0"/>
    <w:rsid w:val="00FA7C00"/>
    <w:rsid w:val="00FA7C4D"/>
    <w:rsid w:val="00FA7F87"/>
    <w:rsid w:val="00FB0111"/>
    <w:rsid w:val="00FB0374"/>
    <w:rsid w:val="00FB0B96"/>
    <w:rsid w:val="00FB0E7F"/>
    <w:rsid w:val="00FB0E94"/>
    <w:rsid w:val="00FB1359"/>
    <w:rsid w:val="00FB14DD"/>
    <w:rsid w:val="00FB15F0"/>
    <w:rsid w:val="00FB181D"/>
    <w:rsid w:val="00FB1A8D"/>
    <w:rsid w:val="00FB1F60"/>
    <w:rsid w:val="00FB1FDC"/>
    <w:rsid w:val="00FB2091"/>
    <w:rsid w:val="00FB20FA"/>
    <w:rsid w:val="00FB2295"/>
    <w:rsid w:val="00FB26A9"/>
    <w:rsid w:val="00FB2965"/>
    <w:rsid w:val="00FB2BB0"/>
    <w:rsid w:val="00FB2C75"/>
    <w:rsid w:val="00FB2DBE"/>
    <w:rsid w:val="00FB2E90"/>
    <w:rsid w:val="00FB303B"/>
    <w:rsid w:val="00FB3667"/>
    <w:rsid w:val="00FB3668"/>
    <w:rsid w:val="00FB377D"/>
    <w:rsid w:val="00FB3A04"/>
    <w:rsid w:val="00FB3A7E"/>
    <w:rsid w:val="00FB3ED2"/>
    <w:rsid w:val="00FB3F91"/>
    <w:rsid w:val="00FB3FCC"/>
    <w:rsid w:val="00FB4098"/>
    <w:rsid w:val="00FB414F"/>
    <w:rsid w:val="00FB4822"/>
    <w:rsid w:val="00FB4B95"/>
    <w:rsid w:val="00FB50BB"/>
    <w:rsid w:val="00FB5114"/>
    <w:rsid w:val="00FB5239"/>
    <w:rsid w:val="00FB52CF"/>
    <w:rsid w:val="00FB53CA"/>
    <w:rsid w:val="00FB546B"/>
    <w:rsid w:val="00FB567D"/>
    <w:rsid w:val="00FB56B0"/>
    <w:rsid w:val="00FB582D"/>
    <w:rsid w:val="00FB59E4"/>
    <w:rsid w:val="00FB5A61"/>
    <w:rsid w:val="00FB5DEF"/>
    <w:rsid w:val="00FB5E6B"/>
    <w:rsid w:val="00FB5F6A"/>
    <w:rsid w:val="00FB5FF0"/>
    <w:rsid w:val="00FB62D8"/>
    <w:rsid w:val="00FB632E"/>
    <w:rsid w:val="00FB648A"/>
    <w:rsid w:val="00FB69A2"/>
    <w:rsid w:val="00FB6AE6"/>
    <w:rsid w:val="00FB6CF3"/>
    <w:rsid w:val="00FB6E90"/>
    <w:rsid w:val="00FB702E"/>
    <w:rsid w:val="00FB7682"/>
    <w:rsid w:val="00FB7932"/>
    <w:rsid w:val="00FB7BAE"/>
    <w:rsid w:val="00FB7E99"/>
    <w:rsid w:val="00FC0384"/>
    <w:rsid w:val="00FC0689"/>
    <w:rsid w:val="00FC096C"/>
    <w:rsid w:val="00FC0C7B"/>
    <w:rsid w:val="00FC0E68"/>
    <w:rsid w:val="00FC0FB3"/>
    <w:rsid w:val="00FC106F"/>
    <w:rsid w:val="00FC14BC"/>
    <w:rsid w:val="00FC16F2"/>
    <w:rsid w:val="00FC17B2"/>
    <w:rsid w:val="00FC18B2"/>
    <w:rsid w:val="00FC1BA0"/>
    <w:rsid w:val="00FC1CB8"/>
    <w:rsid w:val="00FC1F83"/>
    <w:rsid w:val="00FC230C"/>
    <w:rsid w:val="00FC26BA"/>
    <w:rsid w:val="00FC27D6"/>
    <w:rsid w:val="00FC2932"/>
    <w:rsid w:val="00FC2F5D"/>
    <w:rsid w:val="00FC2F92"/>
    <w:rsid w:val="00FC2FD4"/>
    <w:rsid w:val="00FC3189"/>
    <w:rsid w:val="00FC3331"/>
    <w:rsid w:val="00FC338F"/>
    <w:rsid w:val="00FC3565"/>
    <w:rsid w:val="00FC384F"/>
    <w:rsid w:val="00FC389F"/>
    <w:rsid w:val="00FC3FD8"/>
    <w:rsid w:val="00FC40F4"/>
    <w:rsid w:val="00FC4626"/>
    <w:rsid w:val="00FC4630"/>
    <w:rsid w:val="00FC4652"/>
    <w:rsid w:val="00FC4671"/>
    <w:rsid w:val="00FC4672"/>
    <w:rsid w:val="00FC4734"/>
    <w:rsid w:val="00FC49E9"/>
    <w:rsid w:val="00FC4A73"/>
    <w:rsid w:val="00FC4A9C"/>
    <w:rsid w:val="00FC4B12"/>
    <w:rsid w:val="00FC4D43"/>
    <w:rsid w:val="00FC4F3C"/>
    <w:rsid w:val="00FC537B"/>
    <w:rsid w:val="00FC5963"/>
    <w:rsid w:val="00FC5974"/>
    <w:rsid w:val="00FC5A28"/>
    <w:rsid w:val="00FC5A4B"/>
    <w:rsid w:val="00FC5EE5"/>
    <w:rsid w:val="00FC5EFB"/>
    <w:rsid w:val="00FC6554"/>
    <w:rsid w:val="00FC65F6"/>
    <w:rsid w:val="00FC66A5"/>
    <w:rsid w:val="00FC6856"/>
    <w:rsid w:val="00FC68B4"/>
    <w:rsid w:val="00FC69C6"/>
    <w:rsid w:val="00FC6A1A"/>
    <w:rsid w:val="00FC6D4F"/>
    <w:rsid w:val="00FC7097"/>
    <w:rsid w:val="00FC714B"/>
    <w:rsid w:val="00FC71DE"/>
    <w:rsid w:val="00FC72D3"/>
    <w:rsid w:val="00FC7431"/>
    <w:rsid w:val="00FC74EB"/>
    <w:rsid w:val="00FC7769"/>
    <w:rsid w:val="00FC7A80"/>
    <w:rsid w:val="00FC7AF4"/>
    <w:rsid w:val="00FC7C33"/>
    <w:rsid w:val="00FC7D40"/>
    <w:rsid w:val="00FC7DFF"/>
    <w:rsid w:val="00FC7FB0"/>
    <w:rsid w:val="00FD079C"/>
    <w:rsid w:val="00FD0BDE"/>
    <w:rsid w:val="00FD11CC"/>
    <w:rsid w:val="00FD11FF"/>
    <w:rsid w:val="00FD136C"/>
    <w:rsid w:val="00FD13A8"/>
    <w:rsid w:val="00FD13EA"/>
    <w:rsid w:val="00FD19DD"/>
    <w:rsid w:val="00FD1A20"/>
    <w:rsid w:val="00FD1ACC"/>
    <w:rsid w:val="00FD1AF8"/>
    <w:rsid w:val="00FD1BC1"/>
    <w:rsid w:val="00FD1DAE"/>
    <w:rsid w:val="00FD1DE6"/>
    <w:rsid w:val="00FD1E8A"/>
    <w:rsid w:val="00FD1EE5"/>
    <w:rsid w:val="00FD204A"/>
    <w:rsid w:val="00FD210F"/>
    <w:rsid w:val="00FD240C"/>
    <w:rsid w:val="00FD2424"/>
    <w:rsid w:val="00FD2665"/>
    <w:rsid w:val="00FD26C8"/>
    <w:rsid w:val="00FD2759"/>
    <w:rsid w:val="00FD28E1"/>
    <w:rsid w:val="00FD2900"/>
    <w:rsid w:val="00FD2BD2"/>
    <w:rsid w:val="00FD2C6C"/>
    <w:rsid w:val="00FD2DF4"/>
    <w:rsid w:val="00FD2E17"/>
    <w:rsid w:val="00FD3794"/>
    <w:rsid w:val="00FD37C7"/>
    <w:rsid w:val="00FD39B5"/>
    <w:rsid w:val="00FD39D3"/>
    <w:rsid w:val="00FD3B79"/>
    <w:rsid w:val="00FD3BCF"/>
    <w:rsid w:val="00FD3C0E"/>
    <w:rsid w:val="00FD3D53"/>
    <w:rsid w:val="00FD41C4"/>
    <w:rsid w:val="00FD442F"/>
    <w:rsid w:val="00FD48F6"/>
    <w:rsid w:val="00FD5066"/>
    <w:rsid w:val="00FD596A"/>
    <w:rsid w:val="00FD5BA2"/>
    <w:rsid w:val="00FD5C25"/>
    <w:rsid w:val="00FD5C37"/>
    <w:rsid w:val="00FD61B4"/>
    <w:rsid w:val="00FD62F6"/>
    <w:rsid w:val="00FD638E"/>
    <w:rsid w:val="00FD6500"/>
    <w:rsid w:val="00FD685B"/>
    <w:rsid w:val="00FD6957"/>
    <w:rsid w:val="00FD6AA9"/>
    <w:rsid w:val="00FD6C4C"/>
    <w:rsid w:val="00FD6CCA"/>
    <w:rsid w:val="00FD6EE3"/>
    <w:rsid w:val="00FD6FE4"/>
    <w:rsid w:val="00FD7434"/>
    <w:rsid w:val="00FD7535"/>
    <w:rsid w:val="00FD77CA"/>
    <w:rsid w:val="00FD7909"/>
    <w:rsid w:val="00FD7A47"/>
    <w:rsid w:val="00FD7B31"/>
    <w:rsid w:val="00FE018C"/>
    <w:rsid w:val="00FE01D9"/>
    <w:rsid w:val="00FE0231"/>
    <w:rsid w:val="00FE027A"/>
    <w:rsid w:val="00FE0437"/>
    <w:rsid w:val="00FE04DF"/>
    <w:rsid w:val="00FE08A5"/>
    <w:rsid w:val="00FE08D9"/>
    <w:rsid w:val="00FE0A73"/>
    <w:rsid w:val="00FE0AA4"/>
    <w:rsid w:val="00FE0B0D"/>
    <w:rsid w:val="00FE0B82"/>
    <w:rsid w:val="00FE0EF3"/>
    <w:rsid w:val="00FE0F0D"/>
    <w:rsid w:val="00FE10F7"/>
    <w:rsid w:val="00FE1440"/>
    <w:rsid w:val="00FE17BB"/>
    <w:rsid w:val="00FE18A2"/>
    <w:rsid w:val="00FE1AF6"/>
    <w:rsid w:val="00FE1EFC"/>
    <w:rsid w:val="00FE1FDC"/>
    <w:rsid w:val="00FE255F"/>
    <w:rsid w:val="00FE25E9"/>
    <w:rsid w:val="00FE2838"/>
    <w:rsid w:val="00FE2858"/>
    <w:rsid w:val="00FE285E"/>
    <w:rsid w:val="00FE29F3"/>
    <w:rsid w:val="00FE2D90"/>
    <w:rsid w:val="00FE2E92"/>
    <w:rsid w:val="00FE2F84"/>
    <w:rsid w:val="00FE2FC3"/>
    <w:rsid w:val="00FE31DB"/>
    <w:rsid w:val="00FE356D"/>
    <w:rsid w:val="00FE392B"/>
    <w:rsid w:val="00FE3A56"/>
    <w:rsid w:val="00FE3CC8"/>
    <w:rsid w:val="00FE3D66"/>
    <w:rsid w:val="00FE40B6"/>
    <w:rsid w:val="00FE4108"/>
    <w:rsid w:val="00FE444B"/>
    <w:rsid w:val="00FE474F"/>
    <w:rsid w:val="00FE4863"/>
    <w:rsid w:val="00FE4D6A"/>
    <w:rsid w:val="00FE5215"/>
    <w:rsid w:val="00FE529A"/>
    <w:rsid w:val="00FE55D7"/>
    <w:rsid w:val="00FE5601"/>
    <w:rsid w:val="00FE6162"/>
    <w:rsid w:val="00FE61CC"/>
    <w:rsid w:val="00FE62F6"/>
    <w:rsid w:val="00FE64DC"/>
    <w:rsid w:val="00FE65CF"/>
    <w:rsid w:val="00FE68FD"/>
    <w:rsid w:val="00FE6936"/>
    <w:rsid w:val="00FE6C41"/>
    <w:rsid w:val="00FE6E07"/>
    <w:rsid w:val="00FE6E67"/>
    <w:rsid w:val="00FE7132"/>
    <w:rsid w:val="00FE71BA"/>
    <w:rsid w:val="00FE71D6"/>
    <w:rsid w:val="00FE71F4"/>
    <w:rsid w:val="00FE731D"/>
    <w:rsid w:val="00FE73A7"/>
    <w:rsid w:val="00FE757E"/>
    <w:rsid w:val="00FE78AF"/>
    <w:rsid w:val="00FE7A03"/>
    <w:rsid w:val="00FE7A47"/>
    <w:rsid w:val="00FE7BC0"/>
    <w:rsid w:val="00FE7C0F"/>
    <w:rsid w:val="00FE7C13"/>
    <w:rsid w:val="00FE7D06"/>
    <w:rsid w:val="00FF0086"/>
    <w:rsid w:val="00FF00CC"/>
    <w:rsid w:val="00FF0266"/>
    <w:rsid w:val="00FF05AE"/>
    <w:rsid w:val="00FF0648"/>
    <w:rsid w:val="00FF0753"/>
    <w:rsid w:val="00FF08E0"/>
    <w:rsid w:val="00FF0CCA"/>
    <w:rsid w:val="00FF0D11"/>
    <w:rsid w:val="00FF0D4B"/>
    <w:rsid w:val="00FF0FD3"/>
    <w:rsid w:val="00FF1042"/>
    <w:rsid w:val="00FF11CD"/>
    <w:rsid w:val="00FF133E"/>
    <w:rsid w:val="00FF13DF"/>
    <w:rsid w:val="00FF1494"/>
    <w:rsid w:val="00FF15B8"/>
    <w:rsid w:val="00FF1648"/>
    <w:rsid w:val="00FF1823"/>
    <w:rsid w:val="00FF1886"/>
    <w:rsid w:val="00FF1921"/>
    <w:rsid w:val="00FF1960"/>
    <w:rsid w:val="00FF1E6D"/>
    <w:rsid w:val="00FF226B"/>
    <w:rsid w:val="00FF24F8"/>
    <w:rsid w:val="00FF2776"/>
    <w:rsid w:val="00FF27B7"/>
    <w:rsid w:val="00FF2CE6"/>
    <w:rsid w:val="00FF2FA6"/>
    <w:rsid w:val="00FF31A7"/>
    <w:rsid w:val="00FF336C"/>
    <w:rsid w:val="00FF33FA"/>
    <w:rsid w:val="00FF3417"/>
    <w:rsid w:val="00FF34D4"/>
    <w:rsid w:val="00FF3642"/>
    <w:rsid w:val="00FF4013"/>
    <w:rsid w:val="00FF4143"/>
    <w:rsid w:val="00FF417C"/>
    <w:rsid w:val="00FF4223"/>
    <w:rsid w:val="00FF4696"/>
    <w:rsid w:val="00FF4A19"/>
    <w:rsid w:val="00FF4C2B"/>
    <w:rsid w:val="00FF4E52"/>
    <w:rsid w:val="00FF52B5"/>
    <w:rsid w:val="00FF531D"/>
    <w:rsid w:val="00FF5618"/>
    <w:rsid w:val="00FF5773"/>
    <w:rsid w:val="00FF593C"/>
    <w:rsid w:val="00FF5B94"/>
    <w:rsid w:val="00FF5C0F"/>
    <w:rsid w:val="00FF5E19"/>
    <w:rsid w:val="00FF5F29"/>
    <w:rsid w:val="00FF5F45"/>
    <w:rsid w:val="00FF61F5"/>
    <w:rsid w:val="00FF6237"/>
    <w:rsid w:val="00FF6410"/>
    <w:rsid w:val="00FF64B6"/>
    <w:rsid w:val="00FF65AA"/>
    <w:rsid w:val="00FF68FC"/>
    <w:rsid w:val="00FF6BB0"/>
    <w:rsid w:val="00FF6C5A"/>
    <w:rsid w:val="00FF6D59"/>
    <w:rsid w:val="00FF6FCC"/>
    <w:rsid w:val="00FF7420"/>
    <w:rsid w:val="00FF7B5E"/>
    <w:rsid w:val="00FF7EF9"/>
    <w:rsid w:val="0138C7E0"/>
    <w:rsid w:val="0291ED20"/>
    <w:rsid w:val="04BEC476"/>
    <w:rsid w:val="05118C80"/>
    <w:rsid w:val="05C6AC94"/>
    <w:rsid w:val="06A6E54F"/>
    <w:rsid w:val="07FA4AD3"/>
    <w:rsid w:val="0990745A"/>
    <w:rsid w:val="0BD60D60"/>
    <w:rsid w:val="0CD02C05"/>
    <w:rsid w:val="0CE8411A"/>
    <w:rsid w:val="0D8A397B"/>
    <w:rsid w:val="0E95186B"/>
    <w:rsid w:val="0E997E88"/>
    <w:rsid w:val="0EE9995D"/>
    <w:rsid w:val="0F41170D"/>
    <w:rsid w:val="0FE0B04F"/>
    <w:rsid w:val="119E592C"/>
    <w:rsid w:val="1228D98D"/>
    <w:rsid w:val="1288CE4E"/>
    <w:rsid w:val="134FE28A"/>
    <w:rsid w:val="143F01F1"/>
    <w:rsid w:val="1506749A"/>
    <w:rsid w:val="16FD54DA"/>
    <w:rsid w:val="1703C116"/>
    <w:rsid w:val="17FDFE75"/>
    <w:rsid w:val="1890B843"/>
    <w:rsid w:val="1A212FBD"/>
    <w:rsid w:val="1A74DC5F"/>
    <w:rsid w:val="1AD01B41"/>
    <w:rsid w:val="1BA31B0B"/>
    <w:rsid w:val="1BE293C8"/>
    <w:rsid w:val="1C609E76"/>
    <w:rsid w:val="1CAB45D3"/>
    <w:rsid w:val="1CF71F0D"/>
    <w:rsid w:val="1D889E65"/>
    <w:rsid w:val="1EB8EECB"/>
    <w:rsid w:val="1FB64A21"/>
    <w:rsid w:val="1FC96B90"/>
    <w:rsid w:val="1FEBBDE1"/>
    <w:rsid w:val="204041A7"/>
    <w:rsid w:val="212FBF1A"/>
    <w:rsid w:val="2155E1A9"/>
    <w:rsid w:val="21BB7783"/>
    <w:rsid w:val="2299FD07"/>
    <w:rsid w:val="23B651CF"/>
    <w:rsid w:val="24E3E6C0"/>
    <w:rsid w:val="2636A651"/>
    <w:rsid w:val="283CBBCA"/>
    <w:rsid w:val="2906E343"/>
    <w:rsid w:val="29C9A80D"/>
    <w:rsid w:val="2AB9382F"/>
    <w:rsid w:val="2B6F38D7"/>
    <w:rsid w:val="2CA298BC"/>
    <w:rsid w:val="2DBDC97D"/>
    <w:rsid w:val="2F2441B7"/>
    <w:rsid w:val="2F30E5C6"/>
    <w:rsid w:val="2F74AA88"/>
    <w:rsid w:val="305EDC00"/>
    <w:rsid w:val="3066D4A0"/>
    <w:rsid w:val="3120DB56"/>
    <w:rsid w:val="313B63BE"/>
    <w:rsid w:val="32C9FA97"/>
    <w:rsid w:val="334496FE"/>
    <w:rsid w:val="35827420"/>
    <w:rsid w:val="360097E9"/>
    <w:rsid w:val="3653E83D"/>
    <w:rsid w:val="36A72C6E"/>
    <w:rsid w:val="36CC04AB"/>
    <w:rsid w:val="36D22400"/>
    <w:rsid w:val="372B621D"/>
    <w:rsid w:val="381F0B2E"/>
    <w:rsid w:val="39A9B827"/>
    <w:rsid w:val="3A40C140"/>
    <w:rsid w:val="4020BD61"/>
    <w:rsid w:val="40844C66"/>
    <w:rsid w:val="411332CE"/>
    <w:rsid w:val="415BE309"/>
    <w:rsid w:val="42312EED"/>
    <w:rsid w:val="42F751CB"/>
    <w:rsid w:val="4305EA4B"/>
    <w:rsid w:val="435ABC39"/>
    <w:rsid w:val="4366792F"/>
    <w:rsid w:val="436FB51D"/>
    <w:rsid w:val="44906A97"/>
    <w:rsid w:val="461745E6"/>
    <w:rsid w:val="4729EBB1"/>
    <w:rsid w:val="4934B046"/>
    <w:rsid w:val="4A0EB9BE"/>
    <w:rsid w:val="4A8048F9"/>
    <w:rsid w:val="4AB1B72D"/>
    <w:rsid w:val="4ABF2522"/>
    <w:rsid w:val="4BA74235"/>
    <w:rsid w:val="4C457BCC"/>
    <w:rsid w:val="4D14AEF5"/>
    <w:rsid w:val="4D249236"/>
    <w:rsid w:val="4D4041C6"/>
    <w:rsid w:val="4E54170A"/>
    <w:rsid w:val="4E9B246D"/>
    <w:rsid w:val="4EB26AD8"/>
    <w:rsid w:val="4EC3296A"/>
    <w:rsid w:val="4F376E4F"/>
    <w:rsid w:val="4F4AE694"/>
    <w:rsid w:val="4F553161"/>
    <w:rsid w:val="4FA92123"/>
    <w:rsid w:val="5008EC75"/>
    <w:rsid w:val="503E30BE"/>
    <w:rsid w:val="5249A2EF"/>
    <w:rsid w:val="5405CB82"/>
    <w:rsid w:val="54B68F4E"/>
    <w:rsid w:val="556ACCD7"/>
    <w:rsid w:val="55BDD491"/>
    <w:rsid w:val="5629AFDE"/>
    <w:rsid w:val="569A65A3"/>
    <w:rsid w:val="56B0F0CD"/>
    <w:rsid w:val="56F5B39A"/>
    <w:rsid w:val="579E03DF"/>
    <w:rsid w:val="582A83AE"/>
    <w:rsid w:val="58DB4A23"/>
    <w:rsid w:val="599F88D1"/>
    <w:rsid w:val="5A2D1C99"/>
    <w:rsid w:val="5A4A9D1B"/>
    <w:rsid w:val="5C8D2BD9"/>
    <w:rsid w:val="5CB30F42"/>
    <w:rsid w:val="5D54B92F"/>
    <w:rsid w:val="5DCD928A"/>
    <w:rsid w:val="5F2E6BBA"/>
    <w:rsid w:val="5FAA1389"/>
    <w:rsid w:val="62258271"/>
    <w:rsid w:val="63C1A438"/>
    <w:rsid w:val="64B209F9"/>
    <w:rsid w:val="64C91D02"/>
    <w:rsid w:val="67C60F00"/>
    <w:rsid w:val="69816A2E"/>
    <w:rsid w:val="69A5410E"/>
    <w:rsid w:val="69BEC25A"/>
    <w:rsid w:val="69C68655"/>
    <w:rsid w:val="69C7810F"/>
    <w:rsid w:val="6A9F75D7"/>
    <w:rsid w:val="6AC81D35"/>
    <w:rsid w:val="6AD35419"/>
    <w:rsid w:val="6B230798"/>
    <w:rsid w:val="6B9A7DC2"/>
    <w:rsid w:val="6D21B3A7"/>
    <w:rsid w:val="6D2B32A6"/>
    <w:rsid w:val="6D37EA49"/>
    <w:rsid w:val="6F432689"/>
    <w:rsid w:val="703F05B0"/>
    <w:rsid w:val="7134B6B8"/>
    <w:rsid w:val="716B4554"/>
    <w:rsid w:val="71C7329A"/>
    <w:rsid w:val="73C03639"/>
    <w:rsid w:val="73F7B053"/>
    <w:rsid w:val="75408539"/>
    <w:rsid w:val="769BEF5E"/>
    <w:rsid w:val="78A42E64"/>
    <w:rsid w:val="79D783BE"/>
    <w:rsid w:val="7AB80421"/>
    <w:rsid w:val="7B2CE830"/>
    <w:rsid w:val="7CFB2A4A"/>
    <w:rsid w:val="7D7A4ED4"/>
    <w:rsid w:val="7D7FC84C"/>
    <w:rsid w:val="7E24132C"/>
    <w:rsid w:val="7E90DB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011CCA"/>
  <w15:docId w15:val="{42243F16-37BD-4952-9600-618E1A3C1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entury Gothic" w:hAnsiTheme="minorHAnsi" w:cstheme="minorBidi"/>
        <w:lang w:val="en-AU" w:eastAsia="en-US" w:bidi="ar-SA"/>
      </w:rPr>
    </w:rPrDefault>
    <w:pPrDefault>
      <w:pPr>
        <w:spacing w:after="240"/>
      </w:pPr>
    </w:pPrDefault>
  </w:docDefaults>
  <w:latentStyles w:defLockedState="1" w:defUIPriority="99" w:defSemiHidden="0" w:defUnhideWhenUsed="0" w:defQFormat="0" w:count="376">
    <w:lsdException w:name="Normal" w:locked="0" w:uiPriority="1" w:qFormat="1"/>
    <w:lsdException w:name="heading 1" w:locked="0" w:uiPriority="9" w:qFormat="1"/>
    <w:lsdException w:name="heading 2" w:locked="0" w:semiHidden="1" w:uiPriority="2" w:unhideWhenUsed="1" w:qFormat="1"/>
    <w:lsdException w:name="heading 3" w:locked="0" w:semiHidden="1" w:uiPriority="9" w:unhideWhenUsed="1" w:qFormat="1"/>
    <w:lsdException w:name="heading 4" w:locked="0" w:semiHidden="1" w:uiPriority="9"/>
    <w:lsdException w:name="heading 5" w:locked="0" w:semiHidden="1" w:uiPriority="9" w:qFormat="1"/>
    <w:lsdException w:name="heading 6" w:locked="0" w:semiHidden="1"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5"/>
    <w:lsdException w:name="footnote text" w:semiHidden="1" w:unhideWhenUsed="1"/>
    <w:lsdException w:name="annotation text" w:locked="0" w:semiHidden="1" w:unhideWhenUsed="1"/>
    <w:lsdException w:name="header" w:locked="0" w:semiHidden="1" w:unhideWhenUsed="1"/>
    <w:lsdException w:name="footer" w:locked="0" w:semiHidden="1" w:uiPriority="10" w:unhideWhenUsed="1"/>
    <w:lsdException w:name="index heading" w:semiHidden="1" w:unhideWhenUsed="1"/>
    <w:lsdException w:name="caption" w:semiHidden="1" w:uiPriority="10" w:unhideWhenUsed="1" w:qFormat="1"/>
    <w:lsdException w:name="table of figures" w:semiHidden="1" w:unhideWhenUsed="1"/>
    <w:lsdException w:name="envelope address" w:semiHidden="1" w:uiPriority="98" w:unhideWhenUsed="1"/>
    <w:lsdException w:name="envelope return" w:semiHidden="1" w:uiPriority="98" w:unhideWhenUsed="1"/>
    <w:lsdException w:name="footnote reference" w:locked="0" w:semiHidden="1" w:unhideWhenUsed="1"/>
    <w:lsdException w:name="annotation reference" w:locked="0" w:semiHidden="1" w:uiPriority="0" w:unhideWhenUsed="1"/>
    <w:lsdException w:name="line number" w:semiHidden="1" w:unhideWhenUsed="1"/>
    <w:lsdException w:name="page number" w:semiHidden="1" w:uiPriority="10"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locked="0" w:uiPriority="4" w:unhideWhenUsed="1"/>
    <w:lsdException w:name="List Bullet" w:locked="0" w:semiHidden="1" w:uiPriority="3" w:unhideWhenUsed="1" w:qFormat="1"/>
    <w:lsdException w:name="List Number" w:locked="0" w:semiHidden="1" w:qFormat="1"/>
    <w:lsdException w:name="List 2" w:locked="0" w:semiHidden="1" w:uiPriority="4" w:unhideWhenUsed="1"/>
    <w:lsdException w:name="List 3" w:locked="0" w:semiHidden="1" w:uiPriority="4" w:unhideWhenUsed="1"/>
    <w:lsdException w:name="List 4" w:semiHidden="1" w:uiPriority="6" w:unhideWhenUsed="1"/>
    <w:lsdException w:name="List 5" w:semiHidden="1" w:uiPriority="6" w:unhideWhenUsed="1"/>
    <w:lsdException w:name="List Bullet 2" w:locked="0" w:semiHidden="1" w:uiPriority="3" w:unhideWhenUsed="1"/>
    <w:lsdException w:name="List Bullet 3" w:locked="0" w:semiHidden="1" w:uiPriority="3"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iPriority="98" w:unhideWhenUsed="1"/>
    <w:lsdException w:name="Signature" w:locked="0" w:semiHidden="1" w:unhideWhenUsed="1"/>
    <w:lsdException w:name="Default Paragraph Font" w:locked="0" w:semiHidden="1" w:uiPriority="1" w:unhideWhenUsed="1"/>
    <w:lsdException w:name="Body Text" w:locked="0" w:semiHidden="1" w:unhideWhenUsed="1" w:qFormat="1"/>
    <w:lsdException w:name="Body Text Indent" w:semiHidden="1" w:uiPriority="98"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uiPriority="11"/>
    <w:lsdException w:name="Salutation" w:semiHidden="1"/>
    <w:lsdException w:name="Date" w:locked="0" w:semiHidden="1"/>
    <w:lsdException w:name="Body Text First Indent" w:semiHidden="1" w:uiPriority="98"/>
    <w:lsdException w:name="Body Text First Indent 2" w:semiHidden="1" w:uiPriority="98" w:unhideWhenUsed="1"/>
    <w:lsdException w:name="Note Heading" w:semiHidden="1" w:unhideWhenUsed="1"/>
    <w:lsdException w:name="Body Text 2" w:locked="0" w:semiHidden="1" w:unhideWhenUsed="1"/>
    <w:lsdException w:name="Body Text 3" w:locked="0" w:semiHidden="1" w:unhideWhenUsed="1"/>
    <w:lsdException w:name="Body Text Indent 2" w:semiHidden="1" w:uiPriority="98" w:unhideWhenUsed="1"/>
    <w:lsdException w:name="Body Text Indent 3" w:semiHidden="1" w:uiPriority="98" w:unhideWhenUsed="1"/>
    <w:lsdException w:name="Block Text" w:semiHidden="1" w:uiPriority="98" w:unhideWhenUsed="1"/>
    <w:lsdException w:name="Hyperlink" w:locked="0" w:semiHidden="1" w:unhideWhenUsed="1"/>
    <w:lsdException w:name="FollowedHyperlink" w:locked="0" w:semiHidden="1" w:unhideWhenUsed="1"/>
    <w:lsdException w:name="Strong" w:semiHidden="1" w:uiPriority="98"/>
    <w:lsdException w:name="Emphasis" w:uiPriority="8"/>
    <w:lsdException w:name="Document Map" w:semiHidden="1" w:uiPriority="98" w:unhideWhenUsed="1"/>
    <w:lsdException w:name="Plain Text" w:semiHidden="1" w:unhideWhenUsed="1"/>
    <w:lsdException w:name="E-mail Signature" w:semiHidden="1" w:uiPriority="98"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uiPriority="21"/>
    <w:lsdException w:name="Subtle Reference" w:locked="0" w:uiPriority="31"/>
    <w:lsdException w:name="Intense Reference" w:locked="0" w:uiPriority="32"/>
    <w:lsdException w:name="Book Title" w:semiHidden="1" w:uiPriority="98"/>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5"/>
    <w:qFormat/>
    <w:rsid w:val="004F57D4"/>
    <w:pPr>
      <w:spacing w:after="120"/>
    </w:pPr>
    <w:rPr>
      <w:color w:val="000000" w:themeColor="text1"/>
      <w:sz w:val="22"/>
    </w:rPr>
  </w:style>
  <w:style w:type="paragraph" w:styleId="Heading1">
    <w:name w:val="heading 1"/>
    <w:next w:val="Normal"/>
    <w:link w:val="Heading1Char"/>
    <w:uiPriority w:val="1"/>
    <w:qFormat/>
    <w:rsid w:val="008014DD"/>
    <w:pPr>
      <w:keepNext/>
      <w:keepLines/>
      <w:numPr>
        <w:numId w:val="9"/>
      </w:numPr>
      <w:spacing w:before="190" w:after="190" w:line="280" w:lineRule="atLeast"/>
      <w:outlineLvl w:val="0"/>
    </w:pPr>
    <w:rPr>
      <w:rFonts w:asciiTheme="majorHAnsi" w:hAnsiTheme="majorHAnsi" w:cs="Century Gothic"/>
      <w:color w:val="931B2F" w:themeColor="background2"/>
      <w:sz w:val="54"/>
    </w:rPr>
  </w:style>
  <w:style w:type="paragraph" w:styleId="Heading2">
    <w:name w:val="heading 2"/>
    <w:basedOn w:val="Normal"/>
    <w:next w:val="Heading3Normal"/>
    <w:link w:val="Heading2Char"/>
    <w:uiPriority w:val="1"/>
    <w:qFormat/>
    <w:locked/>
    <w:rsid w:val="008014DD"/>
    <w:pPr>
      <w:numPr>
        <w:ilvl w:val="1"/>
        <w:numId w:val="9"/>
      </w:numPr>
      <w:spacing w:before="190" w:after="190"/>
      <w:outlineLvl w:val="1"/>
    </w:pPr>
    <w:rPr>
      <w:rFonts w:asciiTheme="majorHAnsi" w:hAnsiTheme="majorHAnsi"/>
      <w:color w:val="931B2F" w:themeColor="background2"/>
      <w:sz w:val="32"/>
    </w:rPr>
  </w:style>
  <w:style w:type="paragraph" w:styleId="Heading3">
    <w:name w:val="heading 3"/>
    <w:basedOn w:val="Normal"/>
    <w:next w:val="Normal"/>
    <w:link w:val="Heading3Char"/>
    <w:uiPriority w:val="1"/>
    <w:qFormat/>
    <w:locked/>
    <w:rsid w:val="00CD237C"/>
    <w:pPr>
      <w:numPr>
        <w:ilvl w:val="2"/>
        <w:numId w:val="9"/>
      </w:numPr>
      <w:spacing w:before="190" w:after="190"/>
      <w:outlineLvl w:val="2"/>
    </w:pPr>
    <w:rPr>
      <w:rFonts w:asciiTheme="majorHAnsi" w:hAnsiTheme="majorHAnsi"/>
      <w:b/>
      <w:color w:val="8C8686" w:themeColor="accent4"/>
    </w:rPr>
  </w:style>
  <w:style w:type="paragraph" w:styleId="Heading4">
    <w:name w:val="heading 4"/>
    <w:basedOn w:val="Normal"/>
    <w:next w:val="Normal"/>
    <w:link w:val="Heading4Char"/>
    <w:uiPriority w:val="3"/>
    <w:semiHidden/>
    <w:locked/>
    <w:rsid w:val="00656594"/>
    <w:pPr>
      <w:keepNext/>
      <w:keepLines/>
      <w:spacing w:before="200"/>
      <w:outlineLvl w:val="3"/>
    </w:pPr>
    <w:rPr>
      <w:rFonts w:eastAsiaTheme="majorEastAsia" w:cstheme="majorBidi"/>
      <w:b/>
      <w:i/>
      <w:iCs/>
    </w:rPr>
  </w:style>
  <w:style w:type="paragraph" w:styleId="Heading5">
    <w:name w:val="heading 5"/>
    <w:basedOn w:val="Heading4"/>
    <w:next w:val="Normal"/>
    <w:link w:val="Heading5Char"/>
    <w:uiPriority w:val="3"/>
    <w:semiHidden/>
    <w:qFormat/>
    <w:locked/>
    <w:rsid w:val="00656594"/>
    <w:pPr>
      <w:outlineLvl w:val="4"/>
    </w:pPr>
    <w:rPr>
      <w:i w:val="0"/>
    </w:rPr>
  </w:style>
  <w:style w:type="paragraph" w:styleId="Heading6">
    <w:name w:val="heading 6"/>
    <w:basedOn w:val="Heading4"/>
    <w:next w:val="Normal"/>
    <w:link w:val="Heading6Char"/>
    <w:uiPriority w:val="3"/>
    <w:semiHidden/>
    <w:qFormat/>
    <w:locked/>
    <w:rsid w:val="00656594"/>
    <w:pPr>
      <w:outlineLvl w:val="5"/>
    </w:pPr>
    <w:rPr>
      <w:i w:val="0"/>
    </w:rPr>
  </w:style>
  <w:style w:type="paragraph" w:styleId="Heading7">
    <w:name w:val="heading 7"/>
    <w:basedOn w:val="Heading4"/>
    <w:next w:val="Normal"/>
    <w:link w:val="Heading7Char"/>
    <w:uiPriority w:val="3"/>
    <w:semiHidden/>
    <w:qFormat/>
    <w:locked/>
    <w:rsid w:val="00656594"/>
    <w:pPr>
      <w:outlineLvl w:val="6"/>
    </w:pPr>
    <w:rPr>
      <w:i w:val="0"/>
      <w:iCs w:val="0"/>
    </w:rPr>
  </w:style>
  <w:style w:type="paragraph" w:styleId="Heading8">
    <w:name w:val="heading 8"/>
    <w:basedOn w:val="Heading4"/>
    <w:next w:val="Normal"/>
    <w:link w:val="Heading8Char"/>
    <w:uiPriority w:val="3"/>
    <w:semiHidden/>
    <w:qFormat/>
    <w:locked/>
    <w:rsid w:val="00656594"/>
    <w:pPr>
      <w:outlineLvl w:val="7"/>
    </w:pPr>
    <w:rPr>
      <w:i w:val="0"/>
      <w:color w:val="272727" w:themeColor="text1" w:themeTint="D8"/>
      <w:szCs w:val="21"/>
    </w:rPr>
  </w:style>
  <w:style w:type="paragraph" w:styleId="Heading9">
    <w:name w:val="heading 9"/>
    <w:basedOn w:val="Normal"/>
    <w:next w:val="Normal"/>
    <w:link w:val="Heading9Char"/>
    <w:uiPriority w:val="3"/>
    <w:semiHidden/>
    <w:qFormat/>
    <w:locked/>
    <w:rsid w:val="00656594"/>
    <w:pPr>
      <w:keepNext/>
      <w:keepLines/>
      <w:spacing w:before="20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locked/>
    <w:rsid w:val="002702DC"/>
    <w:pPr>
      <w:tabs>
        <w:tab w:val="left" w:pos="660"/>
        <w:tab w:val="right" w:leader="dot" w:pos="9638"/>
      </w:tabs>
      <w:spacing w:before="200"/>
      <w:ind w:left="709" w:hanging="709"/>
      <w:contextualSpacing/>
    </w:pPr>
    <w:rPr>
      <w:noProof/>
      <w:color w:val="931B2F" w:themeColor="background2"/>
    </w:rPr>
  </w:style>
  <w:style w:type="paragraph" w:styleId="TOC2">
    <w:name w:val="toc 2"/>
    <w:basedOn w:val="Normal"/>
    <w:next w:val="Normal"/>
    <w:autoRedefine/>
    <w:uiPriority w:val="39"/>
    <w:locked/>
    <w:rsid w:val="002702DC"/>
    <w:pPr>
      <w:tabs>
        <w:tab w:val="left" w:pos="660"/>
        <w:tab w:val="right" w:leader="dot" w:pos="9638"/>
      </w:tabs>
      <w:spacing w:after="100"/>
      <w:ind w:left="709" w:hanging="709"/>
      <w:contextualSpacing/>
    </w:pPr>
    <w:rPr>
      <w:noProof/>
    </w:rPr>
  </w:style>
  <w:style w:type="numbering" w:customStyle="1" w:styleId="Bullets">
    <w:name w:val="_Bullets"/>
    <w:uiPriority w:val="99"/>
    <w:rsid w:val="003D0711"/>
    <w:pPr>
      <w:numPr>
        <w:numId w:val="2"/>
      </w:numPr>
    </w:pPr>
  </w:style>
  <w:style w:type="character" w:styleId="Hyperlink">
    <w:name w:val="Hyperlink"/>
    <w:basedOn w:val="DefaultParagraphFont"/>
    <w:uiPriority w:val="99"/>
    <w:locked/>
    <w:rsid w:val="007160EF"/>
    <w:rPr>
      <w:b w:val="0"/>
      <w:color w:val="931B2F" w:themeColor="background2"/>
      <w:u w:val="single"/>
    </w:rPr>
  </w:style>
  <w:style w:type="paragraph" w:customStyle="1" w:styleId="SignOff">
    <w:name w:val="Sign Off"/>
    <w:basedOn w:val="Normal"/>
    <w:uiPriority w:val="10"/>
    <w:semiHidden/>
    <w:rsid w:val="00BC264E"/>
    <w:pPr>
      <w:spacing w:before="488"/>
      <w:contextualSpacing/>
    </w:pPr>
  </w:style>
  <w:style w:type="paragraph" w:customStyle="1" w:styleId="Address">
    <w:name w:val="Address"/>
    <w:basedOn w:val="Normal"/>
    <w:uiPriority w:val="10"/>
    <w:semiHidden/>
    <w:locked/>
    <w:rsid w:val="00792CB0"/>
    <w:pPr>
      <w:spacing w:before="1360" w:after="1000" w:line="180" w:lineRule="atLeast"/>
      <w:contextualSpacing/>
    </w:pPr>
  </w:style>
  <w:style w:type="character" w:customStyle="1" w:styleId="Heading1Char">
    <w:name w:val="Heading 1 Char"/>
    <w:link w:val="Heading1"/>
    <w:uiPriority w:val="1"/>
    <w:rsid w:val="008014DD"/>
    <w:rPr>
      <w:rFonts w:asciiTheme="majorHAnsi" w:hAnsiTheme="majorHAnsi" w:cs="Century Gothic"/>
      <w:color w:val="931B2F" w:themeColor="background2"/>
      <w:sz w:val="54"/>
    </w:rPr>
  </w:style>
  <w:style w:type="character" w:customStyle="1" w:styleId="Heading2Char">
    <w:name w:val="Heading 2 Char"/>
    <w:basedOn w:val="DefaultParagraphFont"/>
    <w:link w:val="Heading2"/>
    <w:uiPriority w:val="1"/>
    <w:rsid w:val="008014DD"/>
    <w:rPr>
      <w:rFonts w:asciiTheme="majorHAnsi" w:hAnsiTheme="majorHAnsi"/>
      <w:color w:val="931B2F" w:themeColor="background2"/>
      <w:sz w:val="32"/>
    </w:rPr>
  </w:style>
  <w:style w:type="character" w:customStyle="1" w:styleId="Heading3Char">
    <w:name w:val="Heading 3 Char"/>
    <w:basedOn w:val="DefaultParagraphFont"/>
    <w:link w:val="Heading3"/>
    <w:uiPriority w:val="1"/>
    <w:rsid w:val="00CD237C"/>
    <w:rPr>
      <w:rFonts w:asciiTheme="majorHAnsi" w:hAnsiTheme="majorHAnsi"/>
      <w:b/>
      <w:color w:val="8C8686" w:themeColor="accent4"/>
      <w:sz w:val="22"/>
    </w:rPr>
  </w:style>
  <w:style w:type="paragraph" w:styleId="CommentText">
    <w:name w:val="annotation text"/>
    <w:basedOn w:val="Normal"/>
    <w:link w:val="CommentTextChar"/>
    <w:uiPriority w:val="99"/>
    <w:locked/>
    <w:rsid w:val="00C9293F"/>
  </w:style>
  <w:style w:type="character" w:customStyle="1" w:styleId="CommentTextChar">
    <w:name w:val="Comment Text Char"/>
    <w:basedOn w:val="DefaultParagraphFont"/>
    <w:link w:val="CommentText"/>
    <w:uiPriority w:val="99"/>
    <w:rsid w:val="00684A2E"/>
    <w:rPr>
      <w:rFonts w:cs="Century Gothic"/>
      <w:color w:val="000000" w:themeColor="text1"/>
      <w:sz w:val="20"/>
      <w:szCs w:val="20"/>
      <w:lang w:eastAsia="en-AU"/>
    </w:rPr>
  </w:style>
  <w:style w:type="paragraph" w:styleId="Header">
    <w:name w:val="header"/>
    <w:basedOn w:val="Normal"/>
    <w:link w:val="HeaderChar"/>
    <w:uiPriority w:val="99"/>
    <w:semiHidden/>
    <w:locked/>
    <w:rsid w:val="00C9293F"/>
    <w:pPr>
      <w:tabs>
        <w:tab w:val="center" w:pos="4513"/>
        <w:tab w:val="right" w:pos="9026"/>
      </w:tabs>
    </w:pPr>
  </w:style>
  <w:style w:type="character" w:customStyle="1" w:styleId="HeaderChar">
    <w:name w:val="Header Char"/>
    <w:basedOn w:val="DefaultParagraphFont"/>
    <w:link w:val="Header"/>
    <w:uiPriority w:val="99"/>
    <w:semiHidden/>
    <w:rsid w:val="00C9293F"/>
    <w:rPr>
      <w:rFonts w:ascii="Century Gothic" w:eastAsia="Century Gothic" w:hAnsi="Century Gothic" w:cs="Century Gothic"/>
      <w:color w:val="490D17" w:themeColor="background2" w:themeShade="80"/>
      <w:sz w:val="18"/>
      <w:lang w:eastAsia="en-AU"/>
    </w:rPr>
  </w:style>
  <w:style w:type="paragraph" w:styleId="Footer">
    <w:name w:val="footer"/>
    <w:basedOn w:val="Normal"/>
    <w:link w:val="FooterChar"/>
    <w:uiPriority w:val="10"/>
    <w:semiHidden/>
    <w:locked/>
    <w:rsid w:val="0011199F"/>
    <w:pPr>
      <w:tabs>
        <w:tab w:val="center" w:pos="4513"/>
        <w:tab w:val="right" w:pos="9026"/>
      </w:tabs>
      <w:spacing w:after="0"/>
    </w:pPr>
    <w:rPr>
      <w:rFonts w:asciiTheme="majorHAnsi" w:hAnsiTheme="majorHAnsi"/>
      <w:sz w:val="18"/>
    </w:rPr>
  </w:style>
  <w:style w:type="character" w:customStyle="1" w:styleId="FooterChar">
    <w:name w:val="Footer Char"/>
    <w:basedOn w:val="DefaultParagraphFont"/>
    <w:link w:val="Footer"/>
    <w:uiPriority w:val="10"/>
    <w:semiHidden/>
    <w:rsid w:val="0011199F"/>
    <w:rPr>
      <w:rFonts w:asciiTheme="majorHAnsi" w:hAnsiTheme="majorHAnsi"/>
      <w:color w:val="000000" w:themeColor="text1"/>
      <w:sz w:val="18"/>
    </w:rPr>
  </w:style>
  <w:style w:type="character" w:styleId="CommentReference">
    <w:name w:val="annotation reference"/>
    <w:basedOn w:val="DefaultParagraphFont"/>
    <w:semiHidden/>
    <w:locked/>
    <w:rsid w:val="00C9293F"/>
    <w:rPr>
      <w:sz w:val="16"/>
      <w:szCs w:val="16"/>
    </w:rPr>
  </w:style>
  <w:style w:type="paragraph" w:styleId="Title">
    <w:name w:val="Title"/>
    <w:basedOn w:val="Normal"/>
    <w:next w:val="Normal"/>
    <w:link w:val="TitleChar"/>
    <w:uiPriority w:val="10"/>
    <w:semiHidden/>
    <w:locked/>
    <w:rsid w:val="00013DF3"/>
    <w:rPr>
      <w:rFonts w:asciiTheme="majorHAnsi" w:hAnsiTheme="majorHAnsi"/>
      <w:sz w:val="60"/>
    </w:rPr>
  </w:style>
  <w:style w:type="character" w:customStyle="1" w:styleId="TitleChar">
    <w:name w:val="Title Char"/>
    <w:basedOn w:val="DefaultParagraphFont"/>
    <w:link w:val="Title"/>
    <w:uiPriority w:val="10"/>
    <w:semiHidden/>
    <w:rsid w:val="00684A2E"/>
    <w:rPr>
      <w:rFonts w:asciiTheme="majorHAnsi" w:hAnsiTheme="majorHAnsi" w:cs="Century Gothic"/>
      <w:color w:val="000000" w:themeColor="text1"/>
      <w:sz w:val="60"/>
      <w:lang w:eastAsia="en-AU"/>
    </w:rPr>
  </w:style>
  <w:style w:type="paragraph" w:styleId="CommentSubject">
    <w:name w:val="annotation subject"/>
    <w:basedOn w:val="CommentText"/>
    <w:next w:val="CommentText"/>
    <w:link w:val="CommentSubjectChar"/>
    <w:uiPriority w:val="98"/>
    <w:semiHidden/>
    <w:locked/>
    <w:rsid w:val="00C9293F"/>
    <w:rPr>
      <w:b/>
      <w:bCs/>
    </w:rPr>
  </w:style>
  <w:style w:type="character" w:customStyle="1" w:styleId="CommentSubjectChar">
    <w:name w:val="Comment Subject Char"/>
    <w:basedOn w:val="CommentTextChar"/>
    <w:link w:val="CommentSubject"/>
    <w:uiPriority w:val="98"/>
    <w:semiHidden/>
    <w:rsid w:val="00684A2E"/>
    <w:rPr>
      <w:rFonts w:cs="Century Gothic"/>
      <w:b/>
      <w:bCs/>
      <w:color w:val="000000" w:themeColor="text1"/>
      <w:sz w:val="20"/>
      <w:szCs w:val="20"/>
      <w:lang w:eastAsia="en-AU"/>
    </w:rPr>
  </w:style>
  <w:style w:type="paragraph" w:styleId="BalloonText">
    <w:name w:val="Balloon Text"/>
    <w:basedOn w:val="Normal"/>
    <w:link w:val="BalloonTextChar"/>
    <w:uiPriority w:val="98"/>
    <w:semiHidden/>
    <w:locked/>
    <w:rsid w:val="002F546A"/>
    <w:rPr>
      <w:rFonts w:cs="Segoe UI"/>
      <w:szCs w:val="18"/>
    </w:rPr>
  </w:style>
  <w:style w:type="character" w:customStyle="1" w:styleId="BalloonTextChar">
    <w:name w:val="Balloon Text Char"/>
    <w:basedOn w:val="DefaultParagraphFont"/>
    <w:link w:val="BalloonText"/>
    <w:uiPriority w:val="98"/>
    <w:semiHidden/>
    <w:rsid w:val="00684A2E"/>
    <w:rPr>
      <w:rFonts w:cs="Segoe UI"/>
      <w:color w:val="000000" w:themeColor="text1"/>
      <w:sz w:val="20"/>
      <w:szCs w:val="18"/>
      <w:lang w:eastAsia="en-AU"/>
    </w:rPr>
  </w:style>
  <w:style w:type="table" w:styleId="TableGrid">
    <w:name w:val="Table Grid"/>
    <w:aliases w:val="DPS Table Grid"/>
    <w:basedOn w:val="TableNormal"/>
    <w:locked/>
    <w:rsid w:val="00180E19"/>
    <w:pPr>
      <w:spacing w:after="0"/>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NoSpacing">
    <w:name w:val="No Spacing"/>
    <w:basedOn w:val="Normal"/>
    <w:link w:val="NoSpacingChar"/>
    <w:uiPriority w:val="7"/>
    <w:semiHidden/>
    <w:qFormat/>
    <w:locked/>
    <w:rsid w:val="004C7F80"/>
    <w:rPr>
      <w:rFonts w:eastAsia="Calibri" w:cs="Calibri"/>
    </w:rPr>
  </w:style>
  <w:style w:type="paragraph" w:styleId="ListParagraph">
    <w:name w:val="List Paragraph"/>
    <w:aliases w:val="Dot Points,List Paragraph1,Recommendation,List Paragraph11,L,Bullet point,Bulletr List Paragraph,FooterText,List Paragraph Number,List Paragraph2,List Paragraph21,Listeafsnit1,NFP GP Bulleted List,Paragraphe de liste1,bullet point list,列"/>
    <w:basedOn w:val="Normal"/>
    <w:link w:val="ListParagraphChar"/>
    <w:uiPriority w:val="34"/>
    <w:qFormat/>
    <w:locked/>
    <w:rsid w:val="001F0BE3"/>
    <w:pPr>
      <w:numPr>
        <w:numId w:val="1"/>
      </w:numPr>
      <w:contextualSpacing/>
    </w:pPr>
  </w:style>
  <w:style w:type="paragraph" w:styleId="ListBullet">
    <w:name w:val="List Bullet"/>
    <w:basedOn w:val="Normal"/>
    <w:uiPriority w:val="6"/>
    <w:qFormat/>
    <w:rsid w:val="00525675"/>
    <w:pPr>
      <w:numPr>
        <w:numId w:val="27"/>
      </w:numPr>
      <w:ind w:left="924" w:hanging="357"/>
    </w:pPr>
  </w:style>
  <w:style w:type="paragraph" w:styleId="ListBullet2">
    <w:name w:val="List Bullet 2"/>
    <w:basedOn w:val="Normal"/>
    <w:uiPriority w:val="6"/>
    <w:locked/>
    <w:rsid w:val="003D0711"/>
    <w:pPr>
      <w:numPr>
        <w:numId w:val="28"/>
      </w:numPr>
      <w:tabs>
        <w:tab w:val="num" w:pos="714"/>
      </w:tabs>
      <w:spacing w:before="100" w:after="100"/>
    </w:pPr>
  </w:style>
  <w:style w:type="paragraph" w:styleId="ListBullet3">
    <w:name w:val="List Bullet 3"/>
    <w:basedOn w:val="Normal"/>
    <w:uiPriority w:val="6"/>
    <w:locked/>
    <w:rsid w:val="003D0711"/>
    <w:pPr>
      <w:tabs>
        <w:tab w:val="num" w:pos="1072"/>
      </w:tabs>
      <w:spacing w:before="100" w:after="100"/>
      <w:ind w:left="1071" w:hanging="357"/>
      <w:contextualSpacing/>
    </w:pPr>
  </w:style>
  <w:style w:type="paragraph" w:styleId="ListBullet4">
    <w:name w:val="List Bullet 4"/>
    <w:basedOn w:val="Normal"/>
    <w:uiPriority w:val="7"/>
    <w:semiHidden/>
    <w:unhideWhenUsed/>
    <w:locked/>
    <w:rsid w:val="00466414"/>
    <w:pPr>
      <w:numPr>
        <w:ilvl w:val="3"/>
        <w:numId w:val="5"/>
      </w:numPr>
      <w:contextualSpacing/>
    </w:pPr>
  </w:style>
  <w:style w:type="paragraph" w:styleId="ListBullet5">
    <w:name w:val="List Bullet 5"/>
    <w:basedOn w:val="Normal"/>
    <w:uiPriority w:val="7"/>
    <w:semiHidden/>
    <w:unhideWhenUsed/>
    <w:locked/>
    <w:rsid w:val="00466414"/>
    <w:pPr>
      <w:numPr>
        <w:ilvl w:val="4"/>
        <w:numId w:val="3"/>
      </w:numPr>
      <w:contextualSpacing/>
    </w:pPr>
  </w:style>
  <w:style w:type="numbering" w:customStyle="1" w:styleId="NumberedList">
    <w:name w:val="_Numbered List"/>
    <w:uiPriority w:val="99"/>
    <w:rsid w:val="003D0711"/>
    <w:pPr>
      <w:numPr>
        <w:numId w:val="4"/>
      </w:numPr>
    </w:pPr>
  </w:style>
  <w:style w:type="paragraph" w:styleId="Quote">
    <w:name w:val="Quote"/>
    <w:basedOn w:val="Normal"/>
    <w:next w:val="Normal"/>
    <w:link w:val="QuoteChar"/>
    <w:uiPriority w:val="10"/>
    <w:semiHidden/>
    <w:locked/>
    <w:rsid w:val="00C25003"/>
    <w:pPr>
      <w:pBdr>
        <w:top w:val="single" w:sz="8" w:space="10" w:color="808080" w:themeColor="background1" w:themeShade="80"/>
        <w:bottom w:val="single" w:sz="8" w:space="10" w:color="808080" w:themeColor="background1" w:themeShade="80"/>
      </w:pBdr>
      <w:spacing w:before="200" w:after="160"/>
    </w:pPr>
    <w:rPr>
      <w:i/>
      <w:iCs/>
      <w:color w:val="808080" w:themeColor="background1" w:themeShade="80"/>
    </w:rPr>
  </w:style>
  <w:style w:type="character" w:customStyle="1" w:styleId="QuoteChar">
    <w:name w:val="Quote Char"/>
    <w:basedOn w:val="DefaultParagraphFont"/>
    <w:link w:val="Quote"/>
    <w:uiPriority w:val="10"/>
    <w:semiHidden/>
    <w:rsid w:val="00082C4D"/>
    <w:rPr>
      <w:i/>
      <w:iCs/>
      <w:color w:val="808080" w:themeColor="background1" w:themeShade="80"/>
    </w:rPr>
  </w:style>
  <w:style w:type="paragraph" w:styleId="IntenseQuote">
    <w:name w:val="Intense Quote"/>
    <w:basedOn w:val="Normal"/>
    <w:next w:val="Normal"/>
    <w:link w:val="IntenseQuoteChar"/>
    <w:uiPriority w:val="98"/>
    <w:semiHidden/>
    <w:locked/>
    <w:rsid w:val="00D16EFF"/>
    <w:pPr>
      <w:pBdr>
        <w:top w:val="single" w:sz="4" w:space="10" w:color="931B2F" w:themeColor="accent1"/>
        <w:bottom w:val="single" w:sz="4" w:space="10" w:color="931B2F" w:themeColor="accent1"/>
      </w:pBdr>
      <w:spacing w:before="200"/>
      <w:jc w:val="center"/>
    </w:pPr>
    <w:rPr>
      <w:i/>
      <w:iCs/>
      <w:color w:val="931B2F" w:themeColor="accent1"/>
    </w:rPr>
  </w:style>
  <w:style w:type="character" w:customStyle="1" w:styleId="IntenseQuoteChar">
    <w:name w:val="Intense Quote Char"/>
    <w:basedOn w:val="DefaultParagraphFont"/>
    <w:link w:val="IntenseQuote"/>
    <w:uiPriority w:val="98"/>
    <w:semiHidden/>
    <w:rsid w:val="00AF7437"/>
    <w:rPr>
      <w:rFonts w:cs="Century Gothic"/>
      <w:i/>
      <w:iCs/>
      <w:color w:val="931B2F" w:themeColor="accent1"/>
      <w:sz w:val="20"/>
      <w:lang w:eastAsia="en-AU"/>
    </w:rPr>
  </w:style>
  <w:style w:type="paragraph" w:styleId="BodyText">
    <w:name w:val="Body Text"/>
    <w:basedOn w:val="Normal"/>
    <w:link w:val="BodyTextChar"/>
    <w:uiPriority w:val="98"/>
    <w:qFormat/>
    <w:locked/>
    <w:rsid w:val="00656594"/>
  </w:style>
  <w:style w:type="character" w:customStyle="1" w:styleId="BodyTextChar">
    <w:name w:val="Body Text Char"/>
    <w:basedOn w:val="DefaultParagraphFont"/>
    <w:link w:val="BodyText"/>
    <w:uiPriority w:val="98"/>
    <w:rsid w:val="00684A2E"/>
    <w:rPr>
      <w:rFonts w:cs="Century Gothic"/>
      <w:color w:val="000000" w:themeColor="text1"/>
      <w:sz w:val="20"/>
      <w:lang w:eastAsia="en-AU"/>
    </w:rPr>
  </w:style>
  <w:style w:type="paragraph" w:styleId="Date">
    <w:name w:val="Date"/>
    <w:basedOn w:val="Normal"/>
    <w:next w:val="Normal"/>
    <w:link w:val="DateChar"/>
    <w:uiPriority w:val="10"/>
    <w:semiHidden/>
    <w:locked/>
    <w:rsid w:val="00792CB0"/>
  </w:style>
  <w:style w:type="character" w:customStyle="1" w:styleId="DateChar">
    <w:name w:val="Date Char"/>
    <w:basedOn w:val="DefaultParagraphFont"/>
    <w:link w:val="Date"/>
    <w:uiPriority w:val="10"/>
    <w:semiHidden/>
    <w:rsid w:val="003B2A57"/>
    <w:rPr>
      <w:color w:val="000000" w:themeColor="text1"/>
      <w:sz w:val="22"/>
    </w:rPr>
  </w:style>
  <w:style w:type="character" w:customStyle="1" w:styleId="Heading4Char">
    <w:name w:val="Heading 4 Char"/>
    <w:basedOn w:val="DefaultParagraphFont"/>
    <w:link w:val="Heading4"/>
    <w:uiPriority w:val="3"/>
    <w:semiHidden/>
    <w:rsid w:val="001D3ADE"/>
    <w:rPr>
      <w:rFonts w:eastAsiaTheme="majorEastAsia" w:cstheme="majorBidi"/>
      <w:b/>
      <w:i/>
      <w:iCs/>
      <w:color w:val="000000" w:themeColor="text1"/>
      <w:sz w:val="19"/>
    </w:rPr>
  </w:style>
  <w:style w:type="character" w:customStyle="1" w:styleId="Heading5Char">
    <w:name w:val="Heading 5 Char"/>
    <w:basedOn w:val="DefaultParagraphFont"/>
    <w:link w:val="Heading5"/>
    <w:uiPriority w:val="3"/>
    <w:semiHidden/>
    <w:rsid w:val="001D3ADE"/>
    <w:rPr>
      <w:rFonts w:eastAsiaTheme="majorEastAsia" w:cstheme="majorBidi"/>
      <w:b/>
      <w:iCs/>
      <w:color w:val="000000" w:themeColor="text1"/>
      <w:sz w:val="19"/>
    </w:rPr>
  </w:style>
  <w:style w:type="character" w:customStyle="1" w:styleId="Heading6Char">
    <w:name w:val="Heading 6 Char"/>
    <w:basedOn w:val="DefaultParagraphFont"/>
    <w:link w:val="Heading6"/>
    <w:uiPriority w:val="3"/>
    <w:semiHidden/>
    <w:rsid w:val="001D3ADE"/>
    <w:rPr>
      <w:rFonts w:eastAsiaTheme="majorEastAsia" w:cstheme="majorBidi"/>
      <w:b/>
      <w:iCs/>
      <w:color w:val="000000" w:themeColor="text1"/>
      <w:sz w:val="19"/>
    </w:rPr>
  </w:style>
  <w:style w:type="character" w:customStyle="1" w:styleId="Heading7Char">
    <w:name w:val="Heading 7 Char"/>
    <w:basedOn w:val="DefaultParagraphFont"/>
    <w:link w:val="Heading7"/>
    <w:uiPriority w:val="3"/>
    <w:semiHidden/>
    <w:rsid w:val="001D3ADE"/>
    <w:rPr>
      <w:rFonts w:eastAsiaTheme="majorEastAsia" w:cstheme="majorBidi"/>
      <w:b/>
      <w:color w:val="000000" w:themeColor="text1"/>
      <w:sz w:val="19"/>
    </w:rPr>
  </w:style>
  <w:style w:type="character" w:customStyle="1" w:styleId="Heading8Char">
    <w:name w:val="Heading 8 Char"/>
    <w:basedOn w:val="DefaultParagraphFont"/>
    <w:link w:val="Heading8"/>
    <w:uiPriority w:val="3"/>
    <w:semiHidden/>
    <w:rsid w:val="001D3ADE"/>
    <w:rPr>
      <w:rFonts w:eastAsiaTheme="majorEastAsia" w:cstheme="majorBidi"/>
      <w:b/>
      <w:iCs/>
      <w:color w:val="272727" w:themeColor="text1" w:themeTint="D8"/>
      <w:sz w:val="19"/>
      <w:szCs w:val="21"/>
    </w:rPr>
  </w:style>
  <w:style w:type="character" w:customStyle="1" w:styleId="Heading9Char">
    <w:name w:val="Heading 9 Char"/>
    <w:basedOn w:val="DefaultParagraphFont"/>
    <w:link w:val="Heading9"/>
    <w:uiPriority w:val="3"/>
    <w:semiHidden/>
    <w:rsid w:val="001D3ADE"/>
    <w:rPr>
      <w:rFonts w:eastAsiaTheme="majorEastAsia" w:cstheme="majorBidi"/>
      <w:b/>
      <w:iCs/>
      <w:color w:val="272727" w:themeColor="text1" w:themeTint="D8"/>
      <w:sz w:val="19"/>
      <w:szCs w:val="21"/>
    </w:rPr>
  </w:style>
  <w:style w:type="paragraph" w:styleId="Subtitle">
    <w:name w:val="Subtitle"/>
    <w:next w:val="Normal"/>
    <w:link w:val="SubtitleChar"/>
    <w:uiPriority w:val="11"/>
    <w:semiHidden/>
    <w:locked/>
    <w:rsid w:val="00656594"/>
    <w:pPr>
      <w:numPr>
        <w:ilvl w:val="1"/>
      </w:numPr>
      <w:spacing w:after="0"/>
    </w:pPr>
    <w:rPr>
      <w:rFonts w:asciiTheme="majorHAnsi" w:eastAsiaTheme="minorEastAsia" w:hAnsiTheme="majorHAnsi"/>
      <w:color w:val="000000" w:themeColor="text1"/>
      <w:sz w:val="40"/>
      <w:lang w:eastAsia="en-AU"/>
    </w:rPr>
  </w:style>
  <w:style w:type="character" w:customStyle="1" w:styleId="SubtitleChar">
    <w:name w:val="Subtitle Char"/>
    <w:basedOn w:val="DefaultParagraphFont"/>
    <w:link w:val="Subtitle"/>
    <w:uiPriority w:val="11"/>
    <w:semiHidden/>
    <w:rsid w:val="00082C4D"/>
    <w:rPr>
      <w:rFonts w:asciiTheme="majorHAnsi" w:eastAsiaTheme="minorEastAsia" w:hAnsiTheme="majorHAnsi"/>
      <w:color w:val="000000" w:themeColor="text1"/>
      <w:sz w:val="40"/>
      <w:lang w:eastAsia="en-AU"/>
    </w:rPr>
  </w:style>
  <w:style w:type="paragraph" w:styleId="BodyText2">
    <w:name w:val="Body Text 2"/>
    <w:basedOn w:val="Normal"/>
    <w:link w:val="BodyText2Char"/>
    <w:uiPriority w:val="98"/>
    <w:semiHidden/>
    <w:locked/>
    <w:rsid w:val="00656594"/>
  </w:style>
  <w:style w:type="character" w:customStyle="1" w:styleId="BodyText2Char">
    <w:name w:val="Body Text 2 Char"/>
    <w:basedOn w:val="DefaultParagraphFont"/>
    <w:link w:val="BodyText2"/>
    <w:uiPriority w:val="98"/>
    <w:semiHidden/>
    <w:rsid w:val="00684A2E"/>
    <w:rPr>
      <w:rFonts w:cs="Century Gothic"/>
      <w:color w:val="000000" w:themeColor="text1"/>
      <w:sz w:val="20"/>
      <w:lang w:eastAsia="en-AU"/>
    </w:rPr>
  </w:style>
  <w:style w:type="paragraph" w:styleId="BodyText3">
    <w:name w:val="Body Text 3"/>
    <w:basedOn w:val="Normal"/>
    <w:link w:val="BodyText3Char"/>
    <w:uiPriority w:val="98"/>
    <w:semiHidden/>
    <w:locked/>
    <w:rsid w:val="00656594"/>
    <w:rPr>
      <w:szCs w:val="16"/>
    </w:rPr>
  </w:style>
  <w:style w:type="character" w:customStyle="1" w:styleId="BodyText3Char">
    <w:name w:val="Body Text 3 Char"/>
    <w:basedOn w:val="DefaultParagraphFont"/>
    <w:link w:val="BodyText3"/>
    <w:uiPriority w:val="98"/>
    <w:semiHidden/>
    <w:rsid w:val="00684A2E"/>
    <w:rPr>
      <w:rFonts w:cs="Century Gothic"/>
      <w:color w:val="000000" w:themeColor="text1"/>
      <w:sz w:val="20"/>
      <w:szCs w:val="16"/>
      <w:lang w:eastAsia="en-AU"/>
    </w:rPr>
  </w:style>
  <w:style w:type="character" w:styleId="Emphasis">
    <w:name w:val="Emphasis"/>
    <w:basedOn w:val="DefaultParagraphFont"/>
    <w:uiPriority w:val="8"/>
    <w:semiHidden/>
    <w:locked/>
    <w:rsid w:val="00656594"/>
    <w:rPr>
      <w:i/>
      <w:iCs/>
    </w:rPr>
  </w:style>
  <w:style w:type="character" w:styleId="IntenseEmphasis">
    <w:name w:val="Intense Emphasis"/>
    <w:basedOn w:val="DefaultParagraphFont"/>
    <w:uiPriority w:val="98"/>
    <w:semiHidden/>
    <w:locked/>
    <w:rsid w:val="00656594"/>
    <w:rPr>
      <w:i/>
      <w:iCs/>
      <w:color w:val="931B2F" w:themeColor="accent1"/>
    </w:rPr>
  </w:style>
  <w:style w:type="paragraph" w:styleId="TOCHeading">
    <w:name w:val="TOC Heading"/>
    <w:basedOn w:val="Heading1"/>
    <w:next w:val="Normal"/>
    <w:uiPriority w:val="39"/>
    <w:qFormat/>
    <w:locked/>
    <w:rsid w:val="004A34D8"/>
    <w:pPr>
      <w:pageBreakBefore/>
      <w:spacing w:before="400" w:after="1200"/>
      <w:ind w:left="0" w:firstLine="0"/>
      <w:outlineLvl w:val="9"/>
    </w:pPr>
    <w:rPr>
      <w:rFonts w:eastAsiaTheme="majorEastAsia" w:cstheme="majorBidi"/>
      <w:b/>
      <w:szCs w:val="32"/>
      <w:lang w:eastAsia="en-AU"/>
    </w:rPr>
  </w:style>
  <w:style w:type="paragraph" w:styleId="Index1">
    <w:name w:val="index 1"/>
    <w:basedOn w:val="Normal"/>
    <w:next w:val="Normal"/>
    <w:autoRedefine/>
    <w:uiPriority w:val="99"/>
    <w:semiHidden/>
    <w:locked/>
    <w:rsid w:val="002F546A"/>
    <w:pPr>
      <w:ind w:left="200" w:hanging="200"/>
    </w:pPr>
  </w:style>
  <w:style w:type="paragraph" w:styleId="MessageHeader">
    <w:name w:val="Message Header"/>
    <w:basedOn w:val="Normal"/>
    <w:link w:val="MessageHeaderChar"/>
    <w:uiPriority w:val="99"/>
    <w:semiHidden/>
    <w:locked/>
    <w:rsid w:val="0088736F"/>
    <w:pPr>
      <w:pBdr>
        <w:top w:val="single" w:sz="6" w:space="5" w:color="808080" w:themeColor="background1" w:themeShade="80"/>
        <w:left w:val="single" w:sz="6" w:space="5" w:color="808080" w:themeColor="background1" w:themeShade="80"/>
        <w:bottom w:val="single" w:sz="6" w:space="5" w:color="808080" w:themeColor="background1" w:themeShade="80"/>
        <w:right w:val="single" w:sz="6" w:space="5" w:color="808080" w:themeColor="background1" w:themeShade="80"/>
      </w:pBdr>
      <w:shd w:val="pct5" w:color="auto" w:fill="auto"/>
      <w:spacing w:before="40" w:after="40"/>
      <w:ind w:left="100" w:right="10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84A2E"/>
    <w:rPr>
      <w:rFonts w:asciiTheme="majorHAnsi" w:eastAsiaTheme="majorEastAsia" w:hAnsiTheme="majorHAnsi" w:cstheme="majorBidi"/>
      <w:color w:val="000000" w:themeColor="text1"/>
      <w:sz w:val="24"/>
      <w:szCs w:val="24"/>
      <w:shd w:val="pct5" w:color="auto" w:fill="auto"/>
      <w:lang w:eastAsia="en-AU"/>
    </w:rPr>
  </w:style>
  <w:style w:type="paragraph" w:styleId="Signature">
    <w:name w:val="Signature"/>
    <w:basedOn w:val="Normal"/>
    <w:link w:val="SignatureChar"/>
    <w:uiPriority w:val="10"/>
    <w:semiHidden/>
    <w:locked/>
    <w:rsid w:val="004C7F80"/>
    <w:pPr>
      <w:spacing w:before="624" w:after="1531"/>
    </w:pPr>
  </w:style>
  <w:style w:type="character" w:customStyle="1" w:styleId="SignatureChar">
    <w:name w:val="Signature Char"/>
    <w:basedOn w:val="DefaultParagraphFont"/>
    <w:link w:val="Signature"/>
    <w:uiPriority w:val="10"/>
    <w:semiHidden/>
    <w:rsid w:val="0088745D"/>
    <w:rPr>
      <w:color w:val="4D4D4D" w:themeColor="text2"/>
      <w:sz w:val="18"/>
    </w:rPr>
  </w:style>
  <w:style w:type="character" w:styleId="FollowedHyperlink">
    <w:name w:val="FollowedHyperlink"/>
    <w:basedOn w:val="DefaultParagraphFont"/>
    <w:uiPriority w:val="98"/>
    <w:semiHidden/>
    <w:locked/>
    <w:rsid w:val="0088736F"/>
    <w:rPr>
      <w:color w:val="000000" w:themeColor="text1"/>
      <w:u w:val="single"/>
    </w:rPr>
  </w:style>
  <w:style w:type="character" w:styleId="IntenseReference">
    <w:name w:val="Intense Reference"/>
    <w:basedOn w:val="DefaultParagraphFont"/>
    <w:uiPriority w:val="98"/>
    <w:semiHidden/>
    <w:locked/>
    <w:rsid w:val="0088736F"/>
    <w:rPr>
      <w:rFonts w:asciiTheme="minorHAnsi" w:hAnsiTheme="minorHAnsi"/>
      <w:b/>
      <w:bCs/>
      <w:i w:val="0"/>
      <w:caps w:val="0"/>
      <w:smallCaps/>
      <w:color w:val="000000" w:themeColor="text1"/>
      <w:spacing w:val="0"/>
    </w:rPr>
  </w:style>
  <w:style w:type="character" w:styleId="SubtleReference">
    <w:name w:val="Subtle Reference"/>
    <w:basedOn w:val="DefaultParagraphFont"/>
    <w:uiPriority w:val="98"/>
    <w:semiHidden/>
    <w:locked/>
    <w:rsid w:val="0088736F"/>
    <w:rPr>
      <w:smallCaps/>
      <w:color w:val="5A5A5A" w:themeColor="text1" w:themeTint="A5"/>
    </w:rPr>
  </w:style>
  <w:style w:type="paragraph" w:customStyle="1" w:styleId="spacer">
    <w:name w:val="spacer"/>
    <w:basedOn w:val="Footer"/>
    <w:uiPriority w:val="9"/>
    <w:semiHidden/>
    <w:locked/>
    <w:rsid w:val="00986606"/>
    <w:rPr>
      <w:sz w:val="2"/>
    </w:rPr>
  </w:style>
  <w:style w:type="character" w:styleId="FootnoteReference">
    <w:name w:val="footnote reference"/>
    <w:basedOn w:val="DefaultParagraphFont"/>
    <w:uiPriority w:val="99"/>
    <w:locked/>
    <w:rsid w:val="00AF7437"/>
    <w:rPr>
      <w:b/>
      <w:vertAlign w:val="superscript"/>
    </w:rPr>
  </w:style>
  <w:style w:type="paragraph" w:styleId="ListNumber4">
    <w:name w:val="List Number 4"/>
    <w:basedOn w:val="Normal"/>
    <w:uiPriority w:val="7"/>
    <w:semiHidden/>
    <w:locked/>
    <w:rsid w:val="003D0711"/>
    <w:pPr>
      <w:tabs>
        <w:tab w:val="num" w:pos="1429"/>
      </w:tabs>
      <w:ind w:left="1428" w:hanging="357"/>
      <w:contextualSpacing/>
    </w:pPr>
  </w:style>
  <w:style w:type="paragraph" w:styleId="ListNumber5">
    <w:name w:val="List Number 5"/>
    <w:basedOn w:val="Normal"/>
    <w:uiPriority w:val="7"/>
    <w:semiHidden/>
    <w:locked/>
    <w:rsid w:val="003D0711"/>
    <w:pPr>
      <w:tabs>
        <w:tab w:val="num" w:pos="1786"/>
      </w:tabs>
      <w:ind w:left="1785" w:hanging="357"/>
      <w:contextualSpacing/>
    </w:pPr>
  </w:style>
  <w:style w:type="numbering" w:customStyle="1" w:styleId="AlphaList">
    <w:name w:val="_Alpha List"/>
    <w:uiPriority w:val="99"/>
    <w:rsid w:val="003D0711"/>
    <w:pPr>
      <w:numPr>
        <w:numId w:val="6"/>
      </w:numPr>
    </w:pPr>
  </w:style>
  <w:style w:type="paragraph" w:styleId="List">
    <w:name w:val="List"/>
    <w:basedOn w:val="Normal"/>
    <w:uiPriority w:val="7"/>
    <w:rsid w:val="003D0711"/>
    <w:pPr>
      <w:spacing w:before="100" w:after="100"/>
      <w:ind w:left="357" w:hanging="357"/>
    </w:pPr>
  </w:style>
  <w:style w:type="paragraph" w:styleId="List2">
    <w:name w:val="List 2"/>
    <w:basedOn w:val="Normal"/>
    <w:uiPriority w:val="7"/>
    <w:locked/>
    <w:rsid w:val="003D0711"/>
    <w:pPr>
      <w:spacing w:before="100" w:after="100"/>
      <w:ind w:left="714" w:hanging="357"/>
    </w:pPr>
  </w:style>
  <w:style w:type="paragraph" w:customStyle="1" w:styleId="TableText">
    <w:name w:val="Table Text"/>
    <w:basedOn w:val="NoSpacing"/>
    <w:uiPriority w:val="9"/>
    <w:locked/>
    <w:rsid w:val="000E6877"/>
    <w:pPr>
      <w:spacing w:after="60"/>
      <w:contextualSpacing/>
    </w:pPr>
  </w:style>
  <w:style w:type="character" w:customStyle="1" w:styleId="NoSpacingChar">
    <w:name w:val="No Spacing Char"/>
    <w:basedOn w:val="DefaultParagraphFont"/>
    <w:link w:val="NoSpacing"/>
    <w:uiPriority w:val="7"/>
    <w:semiHidden/>
    <w:rsid w:val="000424A0"/>
    <w:rPr>
      <w:rFonts w:eastAsia="Calibri" w:cs="Calibri"/>
      <w:color w:val="000000" w:themeColor="text1"/>
    </w:rPr>
  </w:style>
  <w:style w:type="character" w:styleId="PlaceholderText">
    <w:name w:val="Placeholder Text"/>
    <w:basedOn w:val="DefaultParagraphFont"/>
    <w:uiPriority w:val="99"/>
    <w:semiHidden/>
    <w:locked/>
    <w:rsid w:val="003F7F67"/>
    <w:rPr>
      <w:color w:val="FF0000"/>
    </w:rPr>
  </w:style>
  <w:style w:type="paragraph" w:styleId="FootnoteText">
    <w:name w:val="footnote text"/>
    <w:basedOn w:val="Normal"/>
    <w:link w:val="FootnoteTextChar"/>
    <w:uiPriority w:val="99"/>
    <w:locked/>
    <w:rsid w:val="00261151"/>
    <w:pPr>
      <w:spacing w:after="60"/>
    </w:pPr>
    <w:rPr>
      <w:rFonts w:eastAsiaTheme="minorEastAsia" w:cs="Times New Roman"/>
      <w:sz w:val="16"/>
      <w:lang w:val="en-US"/>
    </w:rPr>
  </w:style>
  <w:style w:type="character" w:customStyle="1" w:styleId="FootnoteTextChar">
    <w:name w:val="Footnote Text Char"/>
    <w:basedOn w:val="DefaultParagraphFont"/>
    <w:link w:val="FootnoteText"/>
    <w:uiPriority w:val="99"/>
    <w:rsid w:val="00261151"/>
    <w:rPr>
      <w:rFonts w:eastAsiaTheme="minorEastAsia" w:cs="Times New Roman"/>
      <w:color w:val="000000" w:themeColor="text1"/>
      <w:sz w:val="16"/>
      <w:lang w:val="en-US"/>
    </w:rPr>
  </w:style>
  <w:style w:type="table" w:customStyle="1" w:styleId="StandardTable">
    <w:name w:val="Standard Table"/>
    <w:basedOn w:val="TableNormal"/>
    <w:uiPriority w:val="99"/>
    <w:semiHidden/>
    <w:rsid w:val="00A449FF"/>
    <w:pPr>
      <w:spacing w:after="0"/>
    </w:pPr>
    <w:rPr>
      <w:sz w:val="18"/>
    </w:rPr>
    <w:tblPr>
      <w:tblStyleRowBandSize w:val="1"/>
      <w:tblStyleColBandSize w:val="1"/>
      <w:tblBorders>
        <w:bottom w:val="single" w:sz="2" w:space="0" w:color="auto"/>
        <w:insideH w:val="single" w:sz="4" w:space="0" w:color="000000" w:themeColor="text1"/>
      </w:tblBorders>
      <w:tblCellMar>
        <w:top w:w="85" w:type="dxa"/>
        <w:left w:w="85" w:type="dxa"/>
        <w:bottom w:w="85" w:type="dxa"/>
        <w:right w:w="85" w:type="dxa"/>
      </w:tblCellMar>
    </w:tblPr>
    <w:tblStylePr w:type="firstRow">
      <w:pPr>
        <w:wordWrap/>
        <w:spacing w:beforeLines="0" w:before="0" w:beforeAutospacing="0" w:afterLines="0" w:after="0" w:afterAutospacing="0" w:line="240" w:lineRule="auto"/>
      </w:pPr>
      <w:rPr>
        <w:rFonts w:asciiTheme="majorHAnsi" w:hAnsiTheme="majorHAnsi"/>
        <w:b/>
        <w:color w:val="4D4D4D" w:themeColor="text2"/>
      </w:rPr>
      <w:tblPr/>
      <w:tcPr>
        <w:tcBorders>
          <w:bottom w:val="nil"/>
        </w:tcBorders>
      </w:tcPr>
    </w:tblStylePr>
    <w:tblStylePr w:type="lastRow">
      <w:tblPr/>
      <w:tcPr>
        <w:tcBorders>
          <w:top w:val="double" w:sz="4" w:space="0" w:color="4D4D4D" w:themeColor="text2"/>
        </w:tcBorders>
      </w:tcPr>
    </w:tblStylePr>
  </w:style>
  <w:style w:type="paragraph" w:customStyle="1" w:styleId="Header1">
    <w:name w:val="Header 1"/>
    <w:uiPriority w:val="9"/>
    <w:semiHidden/>
    <w:locked/>
    <w:rsid w:val="007338F0"/>
    <w:pPr>
      <w:spacing w:after="0"/>
      <w:ind w:right="28"/>
    </w:pPr>
    <w:rPr>
      <w:rFonts w:eastAsiaTheme="minorEastAsia" w:cs="Century Gothic"/>
      <w:caps/>
      <w:noProof/>
      <w:color w:val="000000" w:themeColor="text1"/>
      <w:sz w:val="16"/>
      <w:lang w:eastAsia="en-AU"/>
    </w:rPr>
  </w:style>
  <w:style w:type="paragraph" w:customStyle="1" w:styleId="BasicParagraph">
    <w:name w:val="[Basic Paragraph]"/>
    <w:basedOn w:val="Normal"/>
    <w:uiPriority w:val="99"/>
    <w:rsid w:val="00302D06"/>
    <w:pPr>
      <w:autoSpaceDE w:val="0"/>
      <w:autoSpaceDN w:val="0"/>
      <w:adjustRightInd w:val="0"/>
      <w:spacing w:line="288" w:lineRule="auto"/>
      <w:textAlignment w:val="center"/>
    </w:pPr>
    <w:rPr>
      <w:rFonts w:ascii="Minion Pro" w:hAnsi="Minion Pro" w:cs="Minion Pro"/>
      <w:color w:val="000000"/>
      <w:szCs w:val="24"/>
      <w:lang w:val="en-US"/>
    </w:rPr>
  </w:style>
  <w:style w:type="table" w:customStyle="1" w:styleId="TableGrid1">
    <w:name w:val="Table Grid1"/>
    <w:basedOn w:val="TableNormal"/>
    <w:next w:val="TableGrid"/>
    <w:semiHidden/>
    <w:rsid w:val="00ED0464"/>
    <w:rPr>
      <w:rFonts w:ascii="Times New Roman" w:eastAsia="Times New Roman" w:hAnsi="Times New Roman" w:cs="Times New Roman"/>
      <w:color w:val="848589"/>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uiPriority w:val="10"/>
    <w:qFormat/>
    <w:rsid w:val="003A2D95"/>
    <w:pPr>
      <w:keepNext/>
      <w:spacing w:after="0"/>
    </w:pPr>
    <w:rPr>
      <w:rFonts w:asciiTheme="majorHAnsi" w:hAnsiTheme="majorHAnsi"/>
      <w:b/>
      <w:color w:val="FFFFFF" w:themeColor="background1"/>
    </w:rPr>
  </w:style>
  <w:style w:type="table" w:styleId="ColorfulGrid">
    <w:name w:val="Colorful Grid"/>
    <w:basedOn w:val="TableNormal"/>
    <w:uiPriority w:val="73"/>
    <w:semiHidden/>
    <w:unhideWhenUsed/>
    <w:locked/>
    <w:rsid w:val="00C551E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C551E1"/>
    <w:pPr>
      <w:spacing w:after="0"/>
    </w:pPr>
    <w:rPr>
      <w:color w:val="000000" w:themeColor="text1"/>
    </w:rPr>
    <w:tblPr>
      <w:tblStyleRowBandSize w:val="1"/>
      <w:tblStyleColBandSize w:val="1"/>
      <w:tblBorders>
        <w:insideH w:val="single" w:sz="4" w:space="0" w:color="FFFFFF" w:themeColor="background1"/>
      </w:tblBorders>
    </w:tblPr>
    <w:tcPr>
      <w:shd w:val="clear" w:color="auto" w:fill="F4C6CD" w:themeFill="accent1" w:themeFillTint="33"/>
    </w:tcPr>
    <w:tblStylePr w:type="firstRow">
      <w:rPr>
        <w:b/>
        <w:bCs/>
      </w:rPr>
      <w:tblPr/>
      <w:tcPr>
        <w:shd w:val="clear" w:color="auto" w:fill="EA8D9C" w:themeFill="accent1" w:themeFillTint="66"/>
      </w:tcPr>
    </w:tblStylePr>
    <w:tblStylePr w:type="lastRow">
      <w:rPr>
        <w:b/>
        <w:bCs/>
        <w:color w:val="000000" w:themeColor="text1"/>
      </w:rPr>
      <w:tblPr/>
      <w:tcPr>
        <w:shd w:val="clear" w:color="auto" w:fill="EA8D9C" w:themeFill="accent1" w:themeFillTint="66"/>
      </w:tcPr>
    </w:tblStylePr>
    <w:tblStylePr w:type="firstCol">
      <w:rPr>
        <w:color w:val="FFFFFF" w:themeColor="background1"/>
      </w:rPr>
      <w:tblPr/>
      <w:tcPr>
        <w:shd w:val="clear" w:color="auto" w:fill="6D1423" w:themeFill="accent1" w:themeFillShade="BF"/>
      </w:tcPr>
    </w:tblStylePr>
    <w:tblStylePr w:type="lastCol">
      <w:rPr>
        <w:color w:val="FFFFFF" w:themeColor="background1"/>
      </w:rPr>
      <w:tblPr/>
      <w:tcPr>
        <w:shd w:val="clear" w:color="auto" w:fill="6D1423" w:themeFill="accent1" w:themeFillShade="BF"/>
      </w:tcPr>
    </w:tblStylePr>
    <w:tblStylePr w:type="band1Vert">
      <w:tblPr/>
      <w:tcPr>
        <w:shd w:val="clear" w:color="auto" w:fill="E57184" w:themeFill="accent1" w:themeFillTint="7F"/>
      </w:tcPr>
    </w:tblStylePr>
    <w:tblStylePr w:type="band1Horz">
      <w:tblPr/>
      <w:tcPr>
        <w:shd w:val="clear" w:color="auto" w:fill="E57184" w:themeFill="accent1" w:themeFillTint="7F"/>
      </w:tcPr>
    </w:tblStylePr>
  </w:style>
  <w:style w:type="table" w:styleId="ColorfulGrid-Accent2">
    <w:name w:val="Colorful Grid Accent 2"/>
    <w:basedOn w:val="TableNormal"/>
    <w:uiPriority w:val="73"/>
    <w:semiHidden/>
    <w:unhideWhenUsed/>
    <w:locked/>
    <w:rsid w:val="00C551E1"/>
    <w:pPr>
      <w:spacing w:after="0"/>
    </w:pPr>
    <w:rPr>
      <w:color w:val="000000" w:themeColor="text1"/>
    </w:rPr>
    <w:tblPr>
      <w:tblStyleRowBandSize w:val="1"/>
      <w:tblStyleColBandSize w:val="1"/>
      <w:tblBorders>
        <w:insideH w:val="single" w:sz="4" w:space="0" w:color="FFFFFF" w:themeColor="background1"/>
      </w:tblBorders>
    </w:tblPr>
    <w:tcPr>
      <w:shd w:val="clear" w:color="auto" w:fill="EFDEE1" w:themeFill="accent2" w:themeFillTint="33"/>
    </w:tcPr>
    <w:tblStylePr w:type="firstRow">
      <w:rPr>
        <w:b/>
        <w:bCs/>
      </w:rPr>
      <w:tblPr/>
      <w:tcPr>
        <w:shd w:val="clear" w:color="auto" w:fill="E0BEC4" w:themeFill="accent2" w:themeFillTint="66"/>
      </w:tcPr>
    </w:tblStylePr>
    <w:tblStylePr w:type="lastRow">
      <w:rPr>
        <w:b/>
        <w:bCs/>
        <w:color w:val="000000" w:themeColor="text1"/>
      </w:rPr>
      <w:tblPr/>
      <w:tcPr>
        <w:shd w:val="clear" w:color="auto" w:fill="E0BEC4" w:themeFill="accent2" w:themeFillTint="66"/>
      </w:tcPr>
    </w:tblStylePr>
    <w:tblStylePr w:type="firstCol">
      <w:rPr>
        <w:color w:val="FFFFFF" w:themeColor="background1"/>
      </w:rPr>
      <w:tblPr/>
      <w:tcPr>
        <w:shd w:val="clear" w:color="auto" w:fill="8A424E" w:themeFill="accent2" w:themeFillShade="BF"/>
      </w:tcPr>
    </w:tblStylePr>
    <w:tblStylePr w:type="lastCol">
      <w:rPr>
        <w:color w:val="FFFFFF" w:themeColor="background1"/>
      </w:rPr>
      <w:tblPr/>
      <w:tcPr>
        <w:shd w:val="clear" w:color="auto" w:fill="8A424E" w:themeFill="accent2" w:themeFillShade="BF"/>
      </w:tcPr>
    </w:tblStylePr>
    <w:tblStylePr w:type="band1Vert">
      <w:tblPr/>
      <w:tcPr>
        <w:shd w:val="clear" w:color="auto" w:fill="D9AFB6" w:themeFill="accent2" w:themeFillTint="7F"/>
      </w:tcPr>
    </w:tblStylePr>
    <w:tblStylePr w:type="band1Horz">
      <w:tblPr/>
      <w:tcPr>
        <w:shd w:val="clear" w:color="auto" w:fill="D9AFB6" w:themeFill="accent2" w:themeFillTint="7F"/>
      </w:tcPr>
    </w:tblStylePr>
  </w:style>
  <w:style w:type="table" w:styleId="ColorfulGrid-Accent3">
    <w:name w:val="Colorful Grid Accent 3"/>
    <w:basedOn w:val="TableNormal"/>
    <w:uiPriority w:val="73"/>
    <w:semiHidden/>
    <w:unhideWhenUsed/>
    <w:locked/>
    <w:rsid w:val="00C551E1"/>
    <w:pPr>
      <w:spacing w:after="0"/>
    </w:pPr>
    <w:rPr>
      <w:color w:val="000000" w:themeColor="text1"/>
    </w:rPr>
    <w:tblPr>
      <w:tblStyleRowBandSize w:val="1"/>
      <w:tblStyleColBandSize w:val="1"/>
      <w:tblBorders>
        <w:insideH w:val="single" w:sz="4" w:space="0" w:color="FFFFFF" w:themeColor="background1"/>
      </w:tblBorders>
    </w:tblPr>
    <w:tcPr>
      <w:shd w:val="clear" w:color="auto" w:fill="FAFAFA" w:themeFill="accent3" w:themeFillTint="33"/>
    </w:tcPr>
    <w:tblStylePr w:type="firstRow">
      <w:rPr>
        <w:b/>
        <w:bCs/>
      </w:rPr>
      <w:tblPr/>
      <w:tcPr>
        <w:shd w:val="clear" w:color="auto" w:fill="F5F5F5" w:themeFill="accent3" w:themeFillTint="66"/>
      </w:tcPr>
    </w:tblStylePr>
    <w:tblStylePr w:type="lastRow">
      <w:rPr>
        <w:b/>
        <w:bCs/>
        <w:color w:val="000000" w:themeColor="text1"/>
      </w:rPr>
      <w:tblPr/>
      <w:tcPr>
        <w:shd w:val="clear" w:color="auto" w:fill="F5F5F5" w:themeFill="accent3" w:themeFillTint="66"/>
      </w:tcPr>
    </w:tblStylePr>
    <w:tblStylePr w:type="firstCol">
      <w:rPr>
        <w:color w:val="FFFFFF" w:themeColor="background1"/>
      </w:rPr>
      <w:tblPr/>
      <w:tcPr>
        <w:shd w:val="clear" w:color="auto" w:fill="AFABAB" w:themeFill="accent3" w:themeFillShade="BF"/>
      </w:tcPr>
    </w:tblStylePr>
    <w:tblStylePr w:type="lastCol">
      <w:rPr>
        <w:color w:val="FFFFFF" w:themeColor="background1"/>
      </w:rPr>
      <w:tblPr/>
      <w:tcPr>
        <w:shd w:val="clear" w:color="auto" w:fill="AFABAB" w:themeFill="accent3" w:themeFillShade="BF"/>
      </w:tcPr>
    </w:tblStylePr>
    <w:tblStylePr w:type="band1Vert">
      <w:tblPr/>
      <w:tcPr>
        <w:shd w:val="clear" w:color="auto" w:fill="F3F2F2" w:themeFill="accent3" w:themeFillTint="7F"/>
      </w:tcPr>
    </w:tblStylePr>
    <w:tblStylePr w:type="band1Horz">
      <w:tblPr/>
      <w:tcPr>
        <w:shd w:val="clear" w:color="auto" w:fill="F3F2F2" w:themeFill="accent3" w:themeFillTint="7F"/>
      </w:tcPr>
    </w:tblStylePr>
  </w:style>
  <w:style w:type="table" w:styleId="ColorfulGrid-Accent4">
    <w:name w:val="Colorful Grid Accent 4"/>
    <w:basedOn w:val="TableNormal"/>
    <w:uiPriority w:val="73"/>
    <w:semiHidden/>
    <w:unhideWhenUsed/>
    <w:locked/>
    <w:rsid w:val="00C551E1"/>
    <w:pPr>
      <w:spacing w:after="0"/>
    </w:pPr>
    <w:rPr>
      <w:color w:val="000000" w:themeColor="text1"/>
    </w:rPr>
    <w:tblPr>
      <w:tblStyleRowBandSize w:val="1"/>
      <w:tblStyleColBandSize w:val="1"/>
      <w:tblBorders>
        <w:insideH w:val="single" w:sz="4" w:space="0" w:color="FFFFFF" w:themeColor="background1"/>
      </w:tblBorders>
    </w:tblPr>
    <w:tcPr>
      <w:shd w:val="clear" w:color="auto" w:fill="E8E6E6" w:themeFill="accent4" w:themeFillTint="33"/>
    </w:tcPr>
    <w:tblStylePr w:type="firstRow">
      <w:rPr>
        <w:b/>
        <w:bCs/>
      </w:rPr>
      <w:tblPr/>
      <w:tcPr>
        <w:shd w:val="clear" w:color="auto" w:fill="D1CECE" w:themeFill="accent4" w:themeFillTint="66"/>
      </w:tcPr>
    </w:tblStylePr>
    <w:tblStylePr w:type="lastRow">
      <w:rPr>
        <w:b/>
        <w:bCs/>
        <w:color w:val="000000" w:themeColor="text1"/>
      </w:rPr>
      <w:tblPr/>
      <w:tcPr>
        <w:shd w:val="clear" w:color="auto" w:fill="D1CECE" w:themeFill="accent4" w:themeFillTint="66"/>
      </w:tcPr>
    </w:tblStylePr>
    <w:tblStylePr w:type="firstCol">
      <w:rPr>
        <w:color w:val="FFFFFF" w:themeColor="background1"/>
      </w:rPr>
      <w:tblPr/>
      <w:tcPr>
        <w:shd w:val="clear" w:color="auto" w:fill="696464" w:themeFill="accent4" w:themeFillShade="BF"/>
      </w:tcPr>
    </w:tblStylePr>
    <w:tblStylePr w:type="lastCol">
      <w:rPr>
        <w:color w:val="FFFFFF" w:themeColor="background1"/>
      </w:rPr>
      <w:tblPr/>
      <w:tcPr>
        <w:shd w:val="clear" w:color="auto" w:fill="696464" w:themeFill="accent4" w:themeFillShade="BF"/>
      </w:tcPr>
    </w:tblStylePr>
    <w:tblStylePr w:type="band1Vert">
      <w:tblPr/>
      <w:tcPr>
        <w:shd w:val="clear" w:color="auto" w:fill="C5C2C2" w:themeFill="accent4" w:themeFillTint="7F"/>
      </w:tcPr>
    </w:tblStylePr>
    <w:tblStylePr w:type="band1Horz">
      <w:tblPr/>
      <w:tcPr>
        <w:shd w:val="clear" w:color="auto" w:fill="C5C2C2" w:themeFill="accent4" w:themeFillTint="7F"/>
      </w:tcPr>
    </w:tblStylePr>
  </w:style>
  <w:style w:type="table" w:styleId="ColorfulGrid-Accent5">
    <w:name w:val="Colorful Grid Accent 5"/>
    <w:basedOn w:val="TableNormal"/>
    <w:uiPriority w:val="73"/>
    <w:semiHidden/>
    <w:unhideWhenUsed/>
    <w:locked/>
    <w:rsid w:val="00C551E1"/>
    <w:pPr>
      <w:spacing w:after="0"/>
    </w:pPr>
    <w:rPr>
      <w:color w:val="000000" w:themeColor="text1"/>
    </w:rPr>
    <w:tblPr>
      <w:tblStyleRowBandSize w:val="1"/>
      <w:tblStyleColBandSize w:val="1"/>
      <w:tblBorders>
        <w:insideH w:val="single" w:sz="4" w:space="0" w:color="FFFFFF" w:themeColor="background1"/>
      </w:tblBorders>
    </w:tblPr>
    <w:tcPr>
      <w:shd w:val="clear" w:color="auto" w:fill="D5D3D3" w:themeFill="accent5" w:themeFillTint="33"/>
    </w:tcPr>
    <w:tblStylePr w:type="firstRow">
      <w:rPr>
        <w:b/>
        <w:bCs/>
      </w:rPr>
      <w:tblPr/>
      <w:tcPr>
        <w:shd w:val="clear" w:color="auto" w:fill="ACA8A8" w:themeFill="accent5" w:themeFillTint="66"/>
      </w:tcPr>
    </w:tblStylePr>
    <w:tblStylePr w:type="lastRow">
      <w:rPr>
        <w:b/>
        <w:bCs/>
        <w:color w:val="000000" w:themeColor="text1"/>
      </w:rPr>
      <w:tblPr/>
      <w:tcPr>
        <w:shd w:val="clear" w:color="auto" w:fill="ACA8A8" w:themeFill="accent5" w:themeFillTint="66"/>
      </w:tcPr>
    </w:tblStylePr>
    <w:tblStylePr w:type="firstCol">
      <w:rPr>
        <w:color w:val="FFFFFF" w:themeColor="background1"/>
      </w:rPr>
      <w:tblPr/>
      <w:tcPr>
        <w:shd w:val="clear" w:color="auto" w:fill="201F1F" w:themeFill="accent5" w:themeFillShade="BF"/>
      </w:tcPr>
    </w:tblStylePr>
    <w:tblStylePr w:type="lastCol">
      <w:rPr>
        <w:color w:val="FFFFFF" w:themeColor="background1"/>
      </w:rPr>
      <w:tblPr/>
      <w:tcPr>
        <w:shd w:val="clear" w:color="auto" w:fill="201F1F" w:themeFill="accent5" w:themeFillShade="BF"/>
      </w:tcPr>
    </w:tblStylePr>
    <w:tblStylePr w:type="band1Vert">
      <w:tblPr/>
      <w:tcPr>
        <w:shd w:val="clear" w:color="auto" w:fill="979292" w:themeFill="accent5" w:themeFillTint="7F"/>
      </w:tcPr>
    </w:tblStylePr>
    <w:tblStylePr w:type="band1Horz">
      <w:tblPr/>
      <w:tcPr>
        <w:shd w:val="clear" w:color="auto" w:fill="979292" w:themeFill="accent5" w:themeFillTint="7F"/>
      </w:tcPr>
    </w:tblStylePr>
  </w:style>
  <w:style w:type="table" w:styleId="ColorfulGrid-Accent6">
    <w:name w:val="Colorful Grid Accent 6"/>
    <w:basedOn w:val="TableNormal"/>
    <w:uiPriority w:val="73"/>
    <w:semiHidden/>
    <w:unhideWhenUsed/>
    <w:locked/>
    <w:rsid w:val="00C551E1"/>
    <w:pPr>
      <w:spacing w:after="0"/>
    </w:pPr>
    <w:rPr>
      <w:color w:val="000000" w:themeColor="text1"/>
    </w:rPr>
    <w:tblPr>
      <w:tblStyleRowBandSize w:val="1"/>
      <w:tblStyleColBandSize w:val="1"/>
      <w:tblBorders>
        <w:insideH w:val="single" w:sz="4" w:space="0" w:color="FFFFFF" w:themeColor="background1"/>
      </w:tblBorders>
    </w:tblPr>
    <w:tcPr>
      <w:shd w:val="clear" w:color="auto" w:fill="F1B7C1" w:themeFill="accent6" w:themeFillTint="33"/>
    </w:tcPr>
    <w:tblStylePr w:type="firstRow">
      <w:rPr>
        <w:b/>
        <w:bCs/>
      </w:rPr>
      <w:tblPr/>
      <w:tcPr>
        <w:shd w:val="clear" w:color="auto" w:fill="E47083" w:themeFill="accent6" w:themeFillTint="66"/>
      </w:tcPr>
    </w:tblStylePr>
    <w:tblStylePr w:type="lastRow">
      <w:rPr>
        <w:b/>
        <w:bCs/>
        <w:color w:val="000000" w:themeColor="text1"/>
      </w:rPr>
      <w:tblPr/>
      <w:tcPr>
        <w:shd w:val="clear" w:color="auto" w:fill="E47083" w:themeFill="accent6" w:themeFillTint="66"/>
      </w:tcPr>
    </w:tblStylePr>
    <w:tblStylePr w:type="firstCol">
      <w:rPr>
        <w:color w:val="FFFFFF" w:themeColor="background1"/>
      </w:rPr>
      <w:tblPr/>
      <w:tcPr>
        <w:shd w:val="clear" w:color="auto" w:fill="370A11" w:themeFill="accent6" w:themeFillShade="BF"/>
      </w:tcPr>
    </w:tblStylePr>
    <w:tblStylePr w:type="lastCol">
      <w:rPr>
        <w:color w:val="FFFFFF" w:themeColor="background1"/>
      </w:rPr>
      <w:tblPr/>
      <w:tcPr>
        <w:shd w:val="clear" w:color="auto" w:fill="370A11" w:themeFill="accent6" w:themeFillShade="BF"/>
      </w:tcPr>
    </w:tblStylePr>
    <w:tblStylePr w:type="band1Vert">
      <w:tblPr/>
      <w:tcPr>
        <w:shd w:val="clear" w:color="auto" w:fill="DD4E65" w:themeFill="accent6" w:themeFillTint="7F"/>
      </w:tcPr>
    </w:tblStylePr>
    <w:tblStylePr w:type="band1Horz">
      <w:tblPr/>
      <w:tcPr>
        <w:shd w:val="clear" w:color="auto" w:fill="DD4E65" w:themeFill="accent6" w:themeFillTint="7F"/>
      </w:tcPr>
    </w:tblStylePr>
  </w:style>
  <w:style w:type="table" w:styleId="ColorfulList">
    <w:name w:val="Colorful List"/>
    <w:basedOn w:val="TableNormal"/>
    <w:uiPriority w:val="72"/>
    <w:semiHidden/>
    <w:unhideWhenUsed/>
    <w:locked/>
    <w:rsid w:val="00C551E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44653" w:themeFill="accent2" w:themeFillShade="CC"/>
      </w:tcPr>
    </w:tblStylePr>
    <w:tblStylePr w:type="lastRow">
      <w:rPr>
        <w:b/>
        <w:bCs/>
        <w:color w:val="94465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C551E1"/>
    <w:pPr>
      <w:spacing w:after="0"/>
    </w:pPr>
    <w:rPr>
      <w:color w:val="000000" w:themeColor="text1"/>
    </w:rPr>
    <w:tblPr>
      <w:tblStyleRowBandSize w:val="1"/>
      <w:tblStyleColBandSize w:val="1"/>
    </w:tblPr>
    <w:tcPr>
      <w:shd w:val="clear" w:color="auto" w:fill="FAE3E6" w:themeFill="accent1" w:themeFillTint="19"/>
    </w:tcPr>
    <w:tblStylePr w:type="firstRow">
      <w:rPr>
        <w:b/>
        <w:bCs/>
        <w:color w:val="FFFFFF" w:themeColor="background1"/>
      </w:rPr>
      <w:tblPr/>
      <w:tcPr>
        <w:tcBorders>
          <w:bottom w:val="single" w:sz="12" w:space="0" w:color="FFFFFF" w:themeColor="background1"/>
        </w:tcBorders>
        <w:shd w:val="clear" w:color="auto" w:fill="944653" w:themeFill="accent2" w:themeFillShade="CC"/>
      </w:tcPr>
    </w:tblStylePr>
    <w:tblStylePr w:type="lastRow">
      <w:rPr>
        <w:b/>
        <w:bCs/>
        <w:color w:val="94465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B8C1" w:themeFill="accent1" w:themeFillTint="3F"/>
      </w:tcPr>
    </w:tblStylePr>
    <w:tblStylePr w:type="band1Horz">
      <w:tblPr/>
      <w:tcPr>
        <w:shd w:val="clear" w:color="auto" w:fill="F4C6CD" w:themeFill="accent1" w:themeFillTint="33"/>
      </w:tcPr>
    </w:tblStylePr>
  </w:style>
  <w:style w:type="table" w:styleId="ColorfulList-Accent2">
    <w:name w:val="Colorful List Accent 2"/>
    <w:basedOn w:val="TableNormal"/>
    <w:uiPriority w:val="72"/>
    <w:semiHidden/>
    <w:unhideWhenUsed/>
    <w:locked/>
    <w:rsid w:val="00C551E1"/>
    <w:pPr>
      <w:spacing w:after="0"/>
    </w:pPr>
    <w:rPr>
      <w:color w:val="000000" w:themeColor="text1"/>
    </w:rPr>
    <w:tblPr>
      <w:tblStyleRowBandSize w:val="1"/>
      <w:tblStyleColBandSize w:val="1"/>
    </w:tblPr>
    <w:tcPr>
      <w:shd w:val="clear" w:color="auto" w:fill="F7EFF0" w:themeFill="accent2" w:themeFillTint="19"/>
    </w:tcPr>
    <w:tblStylePr w:type="firstRow">
      <w:rPr>
        <w:b/>
        <w:bCs/>
        <w:color w:val="FFFFFF" w:themeColor="background1"/>
      </w:rPr>
      <w:tblPr/>
      <w:tcPr>
        <w:tcBorders>
          <w:bottom w:val="single" w:sz="12" w:space="0" w:color="FFFFFF" w:themeColor="background1"/>
        </w:tcBorders>
        <w:shd w:val="clear" w:color="auto" w:fill="944653" w:themeFill="accent2" w:themeFillShade="CC"/>
      </w:tcPr>
    </w:tblStylePr>
    <w:tblStylePr w:type="lastRow">
      <w:rPr>
        <w:b/>
        <w:bCs/>
        <w:color w:val="94465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A" w:themeFill="accent2" w:themeFillTint="3F"/>
      </w:tcPr>
    </w:tblStylePr>
    <w:tblStylePr w:type="band1Horz">
      <w:tblPr/>
      <w:tcPr>
        <w:shd w:val="clear" w:color="auto" w:fill="EFDEE1" w:themeFill="accent2" w:themeFillTint="33"/>
      </w:tcPr>
    </w:tblStylePr>
  </w:style>
  <w:style w:type="table" w:styleId="ColorfulList-Accent3">
    <w:name w:val="Colorful List Accent 3"/>
    <w:basedOn w:val="TableNormal"/>
    <w:uiPriority w:val="72"/>
    <w:semiHidden/>
    <w:unhideWhenUsed/>
    <w:locked/>
    <w:rsid w:val="00C551E1"/>
    <w:pPr>
      <w:spacing w:after="0"/>
    </w:pPr>
    <w:rPr>
      <w:color w:val="000000" w:themeColor="text1"/>
    </w:rPr>
    <w:tblPr>
      <w:tblStyleRowBandSize w:val="1"/>
      <w:tblStyleColBandSize w:val="1"/>
    </w:tblPr>
    <w:tcPr>
      <w:shd w:val="clear" w:color="auto" w:fill="FCFCFC" w:themeFill="accent3" w:themeFillTint="19"/>
    </w:tcPr>
    <w:tblStylePr w:type="firstRow">
      <w:rPr>
        <w:b/>
        <w:bCs/>
        <w:color w:val="FFFFFF" w:themeColor="background1"/>
      </w:rPr>
      <w:tblPr/>
      <w:tcPr>
        <w:tcBorders>
          <w:bottom w:val="single" w:sz="12" w:space="0" w:color="FFFFFF" w:themeColor="background1"/>
        </w:tcBorders>
        <w:shd w:val="clear" w:color="auto" w:fill="706A6A" w:themeFill="accent4" w:themeFillShade="CC"/>
      </w:tcPr>
    </w:tblStylePr>
    <w:tblStylePr w:type="lastRow">
      <w:rPr>
        <w:b/>
        <w:bCs/>
        <w:color w:val="706A6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9F9" w:themeFill="accent3" w:themeFillTint="3F"/>
      </w:tcPr>
    </w:tblStylePr>
    <w:tblStylePr w:type="band1Horz">
      <w:tblPr/>
      <w:tcPr>
        <w:shd w:val="clear" w:color="auto" w:fill="FAFAFA" w:themeFill="accent3" w:themeFillTint="33"/>
      </w:tcPr>
    </w:tblStylePr>
  </w:style>
  <w:style w:type="table" w:styleId="ColorfulList-Accent4">
    <w:name w:val="Colorful List Accent 4"/>
    <w:basedOn w:val="TableNormal"/>
    <w:uiPriority w:val="72"/>
    <w:semiHidden/>
    <w:unhideWhenUsed/>
    <w:locked/>
    <w:rsid w:val="00C551E1"/>
    <w:pPr>
      <w:spacing w:after="0"/>
    </w:pPr>
    <w:rPr>
      <w:color w:val="000000" w:themeColor="text1"/>
    </w:rPr>
    <w:tblPr>
      <w:tblStyleRowBandSize w:val="1"/>
      <w:tblStyleColBandSize w:val="1"/>
    </w:tblPr>
    <w:tcPr>
      <w:shd w:val="clear" w:color="auto" w:fill="F3F3F3" w:themeFill="accent4" w:themeFillTint="19"/>
    </w:tcPr>
    <w:tblStylePr w:type="firstRow">
      <w:rPr>
        <w:b/>
        <w:bCs/>
        <w:color w:val="FFFFFF" w:themeColor="background1"/>
      </w:rPr>
      <w:tblPr/>
      <w:tcPr>
        <w:tcBorders>
          <w:bottom w:val="single" w:sz="12" w:space="0" w:color="FFFFFF" w:themeColor="background1"/>
        </w:tcBorders>
        <w:shd w:val="clear" w:color="auto" w:fill="BAB7B7" w:themeFill="accent3" w:themeFillShade="CC"/>
      </w:tcPr>
    </w:tblStylePr>
    <w:tblStylePr w:type="lastRow">
      <w:rPr>
        <w:b/>
        <w:bCs/>
        <w:color w:val="BAB7B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1E1" w:themeFill="accent4" w:themeFillTint="3F"/>
      </w:tcPr>
    </w:tblStylePr>
    <w:tblStylePr w:type="band1Horz">
      <w:tblPr/>
      <w:tcPr>
        <w:shd w:val="clear" w:color="auto" w:fill="E8E6E6" w:themeFill="accent4" w:themeFillTint="33"/>
      </w:tcPr>
    </w:tblStylePr>
  </w:style>
  <w:style w:type="table" w:styleId="ColorfulList-Accent5">
    <w:name w:val="Colorful List Accent 5"/>
    <w:basedOn w:val="TableNormal"/>
    <w:uiPriority w:val="72"/>
    <w:semiHidden/>
    <w:unhideWhenUsed/>
    <w:locked/>
    <w:rsid w:val="00C551E1"/>
    <w:pPr>
      <w:spacing w:after="0"/>
    </w:pPr>
    <w:rPr>
      <w:color w:val="000000" w:themeColor="text1"/>
    </w:rPr>
    <w:tblPr>
      <w:tblStyleRowBandSize w:val="1"/>
      <w:tblStyleColBandSize w:val="1"/>
    </w:tblPr>
    <w:tcPr>
      <w:shd w:val="clear" w:color="auto" w:fill="EAE9E9" w:themeFill="accent5" w:themeFillTint="19"/>
    </w:tcPr>
    <w:tblStylePr w:type="firstRow">
      <w:rPr>
        <w:b/>
        <w:bCs/>
        <w:color w:val="FFFFFF" w:themeColor="background1"/>
      </w:rPr>
      <w:tblPr/>
      <w:tcPr>
        <w:tcBorders>
          <w:bottom w:val="single" w:sz="12" w:space="0" w:color="FFFFFF" w:themeColor="background1"/>
        </w:tcBorders>
        <w:shd w:val="clear" w:color="auto" w:fill="3B0B13" w:themeFill="accent6" w:themeFillShade="CC"/>
      </w:tcPr>
    </w:tblStylePr>
    <w:tblStylePr w:type="lastRow">
      <w:rPr>
        <w:b/>
        <w:bCs/>
        <w:color w:val="3B0B1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9C9" w:themeFill="accent5" w:themeFillTint="3F"/>
      </w:tcPr>
    </w:tblStylePr>
    <w:tblStylePr w:type="band1Horz">
      <w:tblPr/>
      <w:tcPr>
        <w:shd w:val="clear" w:color="auto" w:fill="D5D3D3" w:themeFill="accent5" w:themeFillTint="33"/>
      </w:tcPr>
    </w:tblStylePr>
  </w:style>
  <w:style w:type="table" w:styleId="ColorfulList-Accent6">
    <w:name w:val="Colorful List Accent 6"/>
    <w:basedOn w:val="TableNormal"/>
    <w:uiPriority w:val="72"/>
    <w:semiHidden/>
    <w:unhideWhenUsed/>
    <w:locked/>
    <w:rsid w:val="00C551E1"/>
    <w:pPr>
      <w:spacing w:after="0"/>
    </w:pPr>
    <w:rPr>
      <w:color w:val="000000" w:themeColor="text1"/>
    </w:rPr>
    <w:tblPr>
      <w:tblStyleRowBandSize w:val="1"/>
      <w:tblStyleColBandSize w:val="1"/>
    </w:tblPr>
    <w:tcPr>
      <w:shd w:val="clear" w:color="auto" w:fill="F8DBE0" w:themeFill="accent6" w:themeFillTint="19"/>
    </w:tcPr>
    <w:tblStylePr w:type="firstRow">
      <w:rPr>
        <w:b/>
        <w:bCs/>
        <w:color w:val="FFFFFF" w:themeColor="background1"/>
      </w:rPr>
      <w:tblPr/>
      <w:tcPr>
        <w:tcBorders>
          <w:bottom w:val="single" w:sz="12" w:space="0" w:color="FFFFFF" w:themeColor="background1"/>
        </w:tcBorders>
        <w:shd w:val="clear" w:color="auto" w:fill="232121" w:themeFill="accent5" w:themeFillShade="CC"/>
      </w:tcPr>
    </w:tblStylePr>
    <w:tblStylePr w:type="lastRow">
      <w:rPr>
        <w:b/>
        <w:bCs/>
        <w:color w:val="2321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A7B2" w:themeFill="accent6" w:themeFillTint="3F"/>
      </w:tcPr>
    </w:tblStylePr>
    <w:tblStylePr w:type="band1Horz">
      <w:tblPr/>
      <w:tcPr>
        <w:shd w:val="clear" w:color="auto" w:fill="F1B7C1" w:themeFill="accent6" w:themeFillTint="33"/>
      </w:tcPr>
    </w:tblStylePr>
  </w:style>
  <w:style w:type="table" w:styleId="ColorfulShading">
    <w:name w:val="Colorful Shading"/>
    <w:basedOn w:val="TableNormal"/>
    <w:uiPriority w:val="71"/>
    <w:semiHidden/>
    <w:unhideWhenUsed/>
    <w:locked/>
    <w:rsid w:val="00C551E1"/>
    <w:pPr>
      <w:spacing w:after="0"/>
    </w:pPr>
    <w:rPr>
      <w:color w:val="000000" w:themeColor="text1"/>
    </w:rPr>
    <w:tblPr>
      <w:tblStyleRowBandSize w:val="1"/>
      <w:tblStyleColBandSize w:val="1"/>
      <w:tblBorders>
        <w:top w:val="single" w:sz="24" w:space="0" w:color="B35F6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5F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C551E1"/>
    <w:pPr>
      <w:spacing w:after="0"/>
    </w:pPr>
    <w:rPr>
      <w:color w:val="000000" w:themeColor="text1"/>
    </w:rPr>
    <w:tblPr>
      <w:tblStyleRowBandSize w:val="1"/>
      <w:tblStyleColBandSize w:val="1"/>
      <w:tblBorders>
        <w:top w:val="single" w:sz="24" w:space="0" w:color="B35F6D" w:themeColor="accent2"/>
        <w:left w:val="single" w:sz="4" w:space="0" w:color="931B2F" w:themeColor="accent1"/>
        <w:bottom w:val="single" w:sz="4" w:space="0" w:color="931B2F" w:themeColor="accent1"/>
        <w:right w:val="single" w:sz="4" w:space="0" w:color="931B2F" w:themeColor="accent1"/>
        <w:insideH w:val="single" w:sz="4" w:space="0" w:color="FFFFFF" w:themeColor="background1"/>
        <w:insideV w:val="single" w:sz="4" w:space="0" w:color="FFFFFF" w:themeColor="background1"/>
      </w:tblBorders>
    </w:tblPr>
    <w:tcPr>
      <w:shd w:val="clear" w:color="auto" w:fill="FAE3E6" w:themeFill="accent1" w:themeFillTint="19"/>
    </w:tcPr>
    <w:tblStylePr w:type="firstRow">
      <w:rPr>
        <w:b/>
        <w:bCs/>
      </w:rPr>
      <w:tblPr/>
      <w:tcPr>
        <w:tcBorders>
          <w:top w:val="nil"/>
          <w:left w:val="nil"/>
          <w:bottom w:val="single" w:sz="24" w:space="0" w:color="B35F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101C" w:themeFill="accent1" w:themeFillShade="99"/>
      </w:tcPr>
    </w:tblStylePr>
    <w:tblStylePr w:type="firstCol">
      <w:rPr>
        <w:color w:val="FFFFFF" w:themeColor="background1"/>
      </w:rPr>
      <w:tblPr/>
      <w:tcPr>
        <w:tcBorders>
          <w:top w:val="nil"/>
          <w:left w:val="nil"/>
          <w:bottom w:val="nil"/>
          <w:right w:val="nil"/>
          <w:insideH w:val="single" w:sz="4" w:space="0" w:color="58101C" w:themeColor="accent1" w:themeShade="99"/>
          <w:insideV w:val="nil"/>
        </w:tcBorders>
        <w:shd w:val="clear" w:color="auto" w:fill="5810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8101C" w:themeFill="accent1" w:themeFillShade="99"/>
      </w:tcPr>
    </w:tblStylePr>
    <w:tblStylePr w:type="band1Vert">
      <w:tblPr/>
      <w:tcPr>
        <w:shd w:val="clear" w:color="auto" w:fill="EA8D9C" w:themeFill="accent1" w:themeFillTint="66"/>
      </w:tcPr>
    </w:tblStylePr>
    <w:tblStylePr w:type="band1Horz">
      <w:tblPr/>
      <w:tcPr>
        <w:shd w:val="clear" w:color="auto" w:fill="E5718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C551E1"/>
    <w:pPr>
      <w:spacing w:after="0"/>
    </w:pPr>
    <w:rPr>
      <w:color w:val="000000" w:themeColor="text1"/>
    </w:rPr>
    <w:tblPr>
      <w:tblStyleRowBandSize w:val="1"/>
      <w:tblStyleColBandSize w:val="1"/>
      <w:tblBorders>
        <w:top w:val="single" w:sz="24" w:space="0" w:color="B35F6D" w:themeColor="accent2"/>
        <w:left w:val="single" w:sz="4" w:space="0" w:color="B35F6D" w:themeColor="accent2"/>
        <w:bottom w:val="single" w:sz="4" w:space="0" w:color="B35F6D" w:themeColor="accent2"/>
        <w:right w:val="single" w:sz="4" w:space="0" w:color="B35F6D" w:themeColor="accent2"/>
        <w:insideH w:val="single" w:sz="4" w:space="0" w:color="FFFFFF" w:themeColor="background1"/>
        <w:insideV w:val="single" w:sz="4" w:space="0" w:color="FFFFFF" w:themeColor="background1"/>
      </w:tblBorders>
    </w:tblPr>
    <w:tcPr>
      <w:shd w:val="clear" w:color="auto" w:fill="F7EFF0" w:themeFill="accent2" w:themeFillTint="19"/>
    </w:tcPr>
    <w:tblStylePr w:type="firstRow">
      <w:rPr>
        <w:b/>
        <w:bCs/>
      </w:rPr>
      <w:tblPr/>
      <w:tcPr>
        <w:tcBorders>
          <w:top w:val="nil"/>
          <w:left w:val="nil"/>
          <w:bottom w:val="single" w:sz="24" w:space="0" w:color="B35F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353E" w:themeFill="accent2" w:themeFillShade="99"/>
      </w:tcPr>
    </w:tblStylePr>
    <w:tblStylePr w:type="firstCol">
      <w:rPr>
        <w:color w:val="FFFFFF" w:themeColor="background1"/>
      </w:rPr>
      <w:tblPr/>
      <w:tcPr>
        <w:tcBorders>
          <w:top w:val="nil"/>
          <w:left w:val="nil"/>
          <w:bottom w:val="nil"/>
          <w:right w:val="nil"/>
          <w:insideH w:val="single" w:sz="4" w:space="0" w:color="6F353E" w:themeColor="accent2" w:themeShade="99"/>
          <w:insideV w:val="nil"/>
        </w:tcBorders>
        <w:shd w:val="clear" w:color="auto" w:fill="6F353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F353E" w:themeFill="accent2" w:themeFillShade="99"/>
      </w:tcPr>
    </w:tblStylePr>
    <w:tblStylePr w:type="band1Vert">
      <w:tblPr/>
      <w:tcPr>
        <w:shd w:val="clear" w:color="auto" w:fill="E0BEC4" w:themeFill="accent2" w:themeFillTint="66"/>
      </w:tcPr>
    </w:tblStylePr>
    <w:tblStylePr w:type="band1Horz">
      <w:tblPr/>
      <w:tcPr>
        <w:shd w:val="clear" w:color="auto" w:fill="D9AFB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C551E1"/>
    <w:pPr>
      <w:spacing w:after="0"/>
    </w:pPr>
    <w:rPr>
      <w:color w:val="000000" w:themeColor="text1"/>
    </w:rPr>
    <w:tblPr>
      <w:tblStyleRowBandSize w:val="1"/>
      <w:tblStyleColBandSize w:val="1"/>
      <w:tblBorders>
        <w:top w:val="single" w:sz="24" w:space="0" w:color="8C8686" w:themeColor="accent4"/>
        <w:left w:val="single" w:sz="4" w:space="0" w:color="E8E7E7" w:themeColor="accent3"/>
        <w:bottom w:val="single" w:sz="4" w:space="0" w:color="E8E7E7" w:themeColor="accent3"/>
        <w:right w:val="single" w:sz="4" w:space="0" w:color="E8E7E7" w:themeColor="accent3"/>
        <w:insideH w:val="single" w:sz="4" w:space="0" w:color="FFFFFF" w:themeColor="background1"/>
        <w:insideV w:val="single" w:sz="4" w:space="0" w:color="FFFFFF" w:themeColor="background1"/>
      </w:tblBorders>
    </w:tblPr>
    <w:tcPr>
      <w:shd w:val="clear" w:color="auto" w:fill="FCFCFC" w:themeFill="accent3" w:themeFillTint="19"/>
    </w:tcPr>
    <w:tblStylePr w:type="firstRow">
      <w:rPr>
        <w:b/>
        <w:bCs/>
      </w:rPr>
      <w:tblPr/>
      <w:tcPr>
        <w:tcBorders>
          <w:top w:val="nil"/>
          <w:left w:val="nil"/>
          <w:bottom w:val="single" w:sz="24" w:space="0" w:color="8C868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8888" w:themeFill="accent3" w:themeFillShade="99"/>
      </w:tcPr>
    </w:tblStylePr>
    <w:tblStylePr w:type="firstCol">
      <w:rPr>
        <w:color w:val="FFFFFF" w:themeColor="background1"/>
      </w:rPr>
      <w:tblPr/>
      <w:tcPr>
        <w:tcBorders>
          <w:top w:val="nil"/>
          <w:left w:val="nil"/>
          <w:bottom w:val="nil"/>
          <w:right w:val="nil"/>
          <w:insideH w:val="single" w:sz="4" w:space="0" w:color="8D8888" w:themeColor="accent3" w:themeShade="99"/>
          <w:insideV w:val="nil"/>
        </w:tcBorders>
        <w:shd w:val="clear" w:color="auto" w:fill="8D88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D8888" w:themeFill="accent3" w:themeFillShade="99"/>
      </w:tcPr>
    </w:tblStylePr>
    <w:tblStylePr w:type="band1Vert">
      <w:tblPr/>
      <w:tcPr>
        <w:shd w:val="clear" w:color="auto" w:fill="F5F5F5" w:themeFill="accent3" w:themeFillTint="66"/>
      </w:tcPr>
    </w:tblStylePr>
    <w:tblStylePr w:type="band1Horz">
      <w:tblPr/>
      <w:tcPr>
        <w:shd w:val="clear" w:color="auto" w:fill="F3F2F2" w:themeFill="accent3" w:themeFillTint="7F"/>
      </w:tcPr>
    </w:tblStylePr>
  </w:style>
  <w:style w:type="table" w:styleId="ColorfulShading-Accent4">
    <w:name w:val="Colorful Shading Accent 4"/>
    <w:basedOn w:val="TableNormal"/>
    <w:uiPriority w:val="71"/>
    <w:semiHidden/>
    <w:unhideWhenUsed/>
    <w:locked/>
    <w:rsid w:val="00C551E1"/>
    <w:pPr>
      <w:spacing w:after="0"/>
    </w:pPr>
    <w:rPr>
      <w:color w:val="000000" w:themeColor="text1"/>
    </w:rPr>
    <w:tblPr>
      <w:tblStyleRowBandSize w:val="1"/>
      <w:tblStyleColBandSize w:val="1"/>
      <w:tblBorders>
        <w:top w:val="single" w:sz="24" w:space="0" w:color="E8E7E7" w:themeColor="accent3"/>
        <w:left w:val="single" w:sz="4" w:space="0" w:color="8C8686" w:themeColor="accent4"/>
        <w:bottom w:val="single" w:sz="4" w:space="0" w:color="8C8686" w:themeColor="accent4"/>
        <w:right w:val="single" w:sz="4" w:space="0" w:color="8C8686" w:themeColor="accent4"/>
        <w:insideH w:val="single" w:sz="4" w:space="0" w:color="FFFFFF" w:themeColor="background1"/>
        <w:insideV w:val="single" w:sz="4" w:space="0" w:color="FFFFFF" w:themeColor="background1"/>
      </w:tblBorders>
    </w:tblPr>
    <w:tcPr>
      <w:shd w:val="clear" w:color="auto" w:fill="F3F3F3" w:themeFill="accent4" w:themeFillTint="19"/>
    </w:tcPr>
    <w:tblStylePr w:type="firstRow">
      <w:rPr>
        <w:b/>
        <w:bCs/>
      </w:rPr>
      <w:tblPr/>
      <w:tcPr>
        <w:tcBorders>
          <w:top w:val="nil"/>
          <w:left w:val="nil"/>
          <w:bottom w:val="single" w:sz="24" w:space="0" w:color="E8E7E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5050" w:themeFill="accent4" w:themeFillShade="99"/>
      </w:tcPr>
    </w:tblStylePr>
    <w:tblStylePr w:type="firstCol">
      <w:rPr>
        <w:color w:val="FFFFFF" w:themeColor="background1"/>
      </w:rPr>
      <w:tblPr/>
      <w:tcPr>
        <w:tcBorders>
          <w:top w:val="nil"/>
          <w:left w:val="nil"/>
          <w:bottom w:val="nil"/>
          <w:right w:val="nil"/>
          <w:insideH w:val="single" w:sz="4" w:space="0" w:color="545050" w:themeColor="accent4" w:themeShade="99"/>
          <w:insideV w:val="nil"/>
        </w:tcBorders>
        <w:shd w:val="clear" w:color="auto" w:fill="54505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5050" w:themeFill="accent4" w:themeFillShade="99"/>
      </w:tcPr>
    </w:tblStylePr>
    <w:tblStylePr w:type="band1Vert">
      <w:tblPr/>
      <w:tcPr>
        <w:shd w:val="clear" w:color="auto" w:fill="D1CECE" w:themeFill="accent4" w:themeFillTint="66"/>
      </w:tcPr>
    </w:tblStylePr>
    <w:tblStylePr w:type="band1Horz">
      <w:tblPr/>
      <w:tcPr>
        <w:shd w:val="clear" w:color="auto" w:fill="C5C2C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C551E1"/>
    <w:pPr>
      <w:spacing w:after="0"/>
    </w:pPr>
    <w:rPr>
      <w:color w:val="000000" w:themeColor="text1"/>
    </w:rPr>
    <w:tblPr>
      <w:tblStyleRowBandSize w:val="1"/>
      <w:tblStyleColBandSize w:val="1"/>
      <w:tblBorders>
        <w:top w:val="single" w:sz="24" w:space="0" w:color="4A0E18" w:themeColor="accent6"/>
        <w:left w:val="single" w:sz="4" w:space="0" w:color="2C2A2A" w:themeColor="accent5"/>
        <w:bottom w:val="single" w:sz="4" w:space="0" w:color="2C2A2A" w:themeColor="accent5"/>
        <w:right w:val="single" w:sz="4" w:space="0" w:color="2C2A2A" w:themeColor="accent5"/>
        <w:insideH w:val="single" w:sz="4" w:space="0" w:color="FFFFFF" w:themeColor="background1"/>
        <w:insideV w:val="single" w:sz="4" w:space="0" w:color="FFFFFF" w:themeColor="background1"/>
      </w:tblBorders>
    </w:tblPr>
    <w:tcPr>
      <w:shd w:val="clear" w:color="auto" w:fill="EAE9E9" w:themeFill="accent5" w:themeFillTint="19"/>
    </w:tcPr>
    <w:tblStylePr w:type="firstRow">
      <w:rPr>
        <w:b/>
        <w:bCs/>
      </w:rPr>
      <w:tblPr/>
      <w:tcPr>
        <w:tcBorders>
          <w:top w:val="nil"/>
          <w:left w:val="nil"/>
          <w:bottom w:val="single" w:sz="24" w:space="0" w:color="4A0E1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919" w:themeFill="accent5" w:themeFillShade="99"/>
      </w:tcPr>
    </w:tblStylePr>
    <w:tblStylePr w:type="firstCol">
      <w:rPr>
        <w:color w:val="FFFFFF" w:themeColor="background1"/>
      </w:rPr>
      <w:tblPr/>
      <w:tcPr>
        <w:tcBorders>
          <w:top w:val="nil"/>
          <w:left w:val="nil"/>
          <w:bottom w:val="nil"/>
          <w:right w:val="nil"/>
          <w:insideH w:val="single" w:sz="4" w:space="0" w:color="1A1919" w:themeColor="accent5" w:themeShade="99"/>
          <w:insideV w:val="nil"/>
        </w:tcBorders>
        <w:shd w:val="clear" w:color="auto" w:fill="1A19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accent5" w:themeFillShade="99"/>
      </w:tcPr>
    </w:tblStylePr>
    <w:tblStylePr w:type="band1Vert">
      <w:tblPr/>
      <w:tcPr>
        <w:shd w:val="clear" w:color="auto" w:fill="ACA8A8" w:themeFill="accent5" w:themeFillTint="66"/>
      </w:tcPr>
    </w:tblStylePr>
    <w:tblStylePr w:type="band1Horz">
      <w:tblPr/>
      <w:tcPr>
        <w:shd w:val="clear" w:color="auto" w:fill="97929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C551E1"/>
    <w:pPr>
      <w:spacing w:after="0"/>
    </w:pPr>
    <w:rPr>
      <w:color w:val="000000" w:themeColor="text1"/>
    </w:rPr>
    <w:tblPr>
      <w:tblStyleRowBandSize w:val="1"/>
      <w:tblStyleColBandSize w:val="1"/>
      <w:tblBorders>
        <w:top w:val="single" w:sz="24" w:space="0" w:color="2C2A2A" w:themeColor="accent5"/>
        <w:left w:val="single" w:sz="4" w:space="0" w:color="4A0E18" w:themeColor="accent6"/>
        <w:bottom w:val="single" w:sz="4" w:space="0" w:color="4A0E18" w:themeColor="accent6"/>
        <w:right w:val="single" w:sz="4" w:space="0" w:color="4A0E18" w:themeColor="accent6"/>
        <w:insideH w:val="single" w:sz="4" w:space="0" w:color="FFFFFF" w:themeColor="background1"/>
        <w:insideV w:val="single" w:sz="4" w:space="0" w:color="FFFFFF" w:themeColor="background1"/>
      </w:tblBorders>
    </w:tblPr>
    <w:tcPr>
      <w:shd w:val="clear" w:color="auto" w:fill="F8DBE0" w:themeFill="accent6" w:themeFillTint="19"/>
    </w:tcPr>
    <w:tblStylePr w:type="firstRow">
      <w:rPr>
        <w:b/>
        <w:bCs/>
      </w:rPr>
      <w:tblPr/>
      <w:tcPr>
        <w:tcBorders>
          <w:top w:val="nil"/>
          <w:left w:val="nil"/>
          <w:bottom w:val="single" w:sz="24" w:space="0" w:color="2C2A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080E" w:themeFill="accent6" w:themeFillShade="99"/>
      </w:tcPr>
    </w:tblStylePr>
    <w:tblStylePr w:type="firstCol">
      <w:rPr>
        <w:color w:val="FFFFFF" w:themeColor="background1"/>
      </w:rPr>
      <w:tblPr/>
      <w:tcPr>
        <w:tcBorders>
          <w:top w:val="nil"/>
          <w:left w:val="nil"/>
          <w:bottom w:val="nil"/>
          <w:right w:val="nil"/>
          <w:insideH w:val="single" w:sz="4" w:space="0" w:color="2C080E" w:themeColor="accent6" w:themeShade="99"/>
          <w:insideV w:val="nil"/>
        </w:tcBorders>
        <w:shd w:val="clear" w:color="auto" w:fill="2C08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C080E" w:themeFill="accent6" w:themeFillShade="99"/>
      </w:tcPr>
    </w:tblStylePr>
    <w:tblStylePr w:type="band1Vert">
      <w:tblPr/>
      <w:tcPr>
        <w:shd w:val="clear" w:color="auto" w:fill="E47083" w:themeFill="accent6" w:themeFillTint="66"/>
      </w:tcPr>
    </w:tblStylePr>
    <w:tblStylePr w:type="band1Horz">
      <w:tblPr/>
      <w:tcPr>
        <w:shd w:val="clear" w:color="auto" w:fill="DD4E65"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C551E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C551E1"/>
    <w:pPr>
      <w:spacing w:after="0"/>
    </w:pPr>
    <w:rPr>
      <w:color w:val="FFFFFF" w:themeColor="background1"/>
    </w:rPr>
    <w:tblPr>
      <w:tblStyleRowBandSize w:val="1"/>
      <w:tblStyleColBandSize w:val="1"/>
    </w:tblPr>
    <w:tcPr>
      <w:shd w:val="clear" w:color="auto" w:fill="931B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0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D14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D1423" w:themeFill="accent1" w:themeFillShade="BF"/>
      </w:tcPr>
    </w:tblStylePr>
    <w:tblStylePr w:type="band1Vert">
      <w:tblPr/>
      <w:tcPr>
        <w:tcBorders>
          <w:top w:val="nil"/>
          <w:left w:val="nil"/>
          <w:bottom w:val="nil"/>
          <w:right w:val="nil"/>
          <w:insideH w:val="nil"/>
          <w:insideV w:val="nil"/>
        </w:tcBorders>
        <w:shd w:val="clear" w:color="auto" w:fill="6D1423" w:themeFill="accent1" w:themeFillShade="BF"/>
      </w:tcPr>
    </w:tblStylePr>
    <w:tblStylePr w:type="band1Horz">
      <w:tblPr/>
      <w:tcPr>
        <w:tcBorders>
          <w:top w:val="nil"/>
          <w:left w:val="nil"/>
          <w:bottom w:val="nil"/>
          <w:right w:val="nil"/>
          <w:insideH w:val="nil"/>
          <w:insideV w:val="nil"/>
        </w:tcBorders>
        <w:shd w:val="clear" w:color="auto" w:fill="6D1423" w:themeFill="accent1" w:themeFillShade="BF"/>
      </w:tcPr>
    </w:tblStylePr>
  </w:style>
  <w:style w:type="table" w:styleId="DarkList-Accent2">
    <w:name w:val="Dark List Accent 2"/>
    <w:basedOn w:val="TableNormal"/>
    <w:uiPriority w:val="70"/>
    <w:semiHidden/>
    <w:unhideWhenUsed/>
    <w:locked/>
    <w:rsid w:val="00C551E1"/>
    <w:pPr>
      <w:spacing w:after="0"/>
    </w:pPr>
    <w:rPr>
      <w:color w:val="FFFFFF" w:themeColor="background1"/>
    </w:rPr>
    <w:tblPr>
      <w:tblStyleRowBandSize w:val="1"/>
      <w:tblStyleColBandSize w:val="1"/>
    </w:tblPr>
    <w:tcPr>
      <w:shd w:val="clear" w:color="auto" w:fill="B35F6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C2C3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A424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A424E" w:themeFill="accent2" w:themeFillShade="BF"/>
      </w:tcPr>
    </w:tblStylePr>
    <w:tblStylePr w:type="band1Vert">
      <w:tblPr/>
      <w:tcPr>
        <w:tcBorders>
          <w:top w:val="nil"/>
          <w:left w:val="nil"/>
          <w:bottom w:val="nil"/>
          <w:right w:val="nil"/>
          <w:insideH w:val="nil"/>
          <w:insideV w:val="nil"/>
        </w:tcBorders>
        <w:shd w:val="clear" w:color="auto" w:fill="8A424E" w:themeFill="accent2" w:themeFillShade="BF"/>
      </w:tcPr>
    </w:tblStylePr>
    <w:tblStylePr w:type="band1Horz">
      <w:tblPr/>
      <w:tcPr>
        <w:tcBorders>
          <w:top w:val="nil"/>
          <w:left w:val="nil"/>
          <w:bottom w:val="nil"/>
          <w:right w:val="nil"/>
          <w:insideH w:val="nil"/>
          <w:insideV w:val="nil"/>
        </w:tcBorders>
        <w:shd w:val="clear" w:color="auto" w:fill="8A424E" w:themeFill="accent2" w:themeFillShade="BF"/>
      </w:tcPr>
    </w:tblStylePr>
  </w:style>
  <w:style w:type="table" w:styleId="DarkList-Accent3">
    <w:name w:val="Dark List Accent 3"/>
    <w:basedOn w:val="TableNormal"/>
    <w:uiPriority w:val="70"/>
    <w:semiHidden/>
    <w:unhideWhenUsed/>
    <w:locked/>
    <w:rsid w:val="00C551E1"/>
    <w:pPr>
      <w:spacing w:after="0"/>
    </w:pPr>
    <w:rPr>
      <w:color w:val="FFFFFF" w:themeColor="background1"/>
    </w:rPr>
    <w:tblPr>
      <w:tblStyleRowBandSize w:val="1"/>
      <w:tblStyleColBandSize w:val="1"/>
    </w:tblPr>
    <w:tcPr>
      <w:shd w:val="clear" w:color="auto" w:fill="E8E7E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707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FAB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FABAB" w:themeFill="accent3" w:themeFillShade="BF"/>
      </w:tcPr>
    </w:tblStylePr>
    <w:tblStylePr w:type="band1Vert">
      <w:tblPr/>
      <w:tcPr>
        <w:tcBorders>
          <w:top w:val="nil"/>
          <w:left w:val="nil"/>
          <w:bottom w:val="nil"/>
          <w:right w:val="nil"/>
          <w:insideH w:val="nil"/>
          <w:insideV w:val="nil"/>
        </w:tcBorders>
        <w:shd w:val="clear" w:color="auto" w:fill="AFABAB" w:themeFill="accent3" w:themeFillShade="BF"/>
      </w:tcPr>
    </w:tblStylePr>
    <w:tblStylePr w:type="band1Horz">
      <w:tblPr/>
      <w:tcPr>
        <w:tcBorders>
          <w:top w:val="nil"/>
          <w:left w:val="nil"/>
          <w:bottom w:val="nil"/>
          <w:right w:val="nil"/>
          <w:insideH w:val="nil"/>
          <w:insideV w:val="nil"/>
        </w:tcBorders>
        <w:shd w:val="clear" w:color="auto" w:fill="AFABAB" w:themeFill="accent3" w:themeFillShade="BF"/>
      </w:tcPr>
    </w:tblStylePr>
  </w:style>
  <w:style w:type="table" w:styleId="DarkList-Accent4">
    <w:name w:val="Dark List Accent 4"/>
    <w:basedOn w:val="TableNormal"/>
    <w:uiPriority w:val="70"/>
    <w:semiHidden/>
    <w:unhideWhenUsed/>
    <w:locked/>
    <w:rsid w:val="00C551E1"/>
    <w:pPr>
      <w:spacing w:after="0"/>
    </w:pPr>
    <w:rPr>
      <w:color w:val="FFFFFF" w:themeColor="background1"/>
    </w:rPr>
    <w:tblPr>
      <w:tblStyleRowBandSize w:val="1"/>
      <w:tblStyleColBandSize w:val="1"/>
    </w:tblPr>
    <w:tcPr>
      <w:shd w:val="clear" w:color="auto" w:fill="8C868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2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646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6464" w:themeFill="accent4" w:themeFillShade="BF"/>
      </w:tcPr>
    </w:tblStylePr>
    <w:tblStylePr w:type="band1Vert">
      <w:tblPr/>
      <w:tcPr>
        <w:tcBorders>
          <w:top w:val="nil"/>
          <w:left w:val="nil"/>
          <w:bottom w:val="nil"/>
          <w:right w:val="nil"/>
          <w:insideH w:val="nil"/>
          <w:insideV w:val="nil"/>
        </w:tcBorders>
        <w:shd w:val="clear" w:color="auto" w:fill="696464" w:themeFill="accent4" w:themeFillShade="BF"/>
      </w:tcPr>
    </w:tblStylePr>
    <w:tblStylePr w:type="band1Horz">
      <w:tblPr/>
      <w:tcPr>
        <w:tcBorders>
          <w:top w:val="nil"/>
          <w:left w:val="nil"/>
          <w:bottom w:val="nil"/>
          <w:right w:val="nil"/>
          <w:insideH w:val="nil"/>
          <w:insideV w:val="nil"/>
        </w:tcBorders>
        <w:shd w:val="clear" w:color="auto" w:fill="696464" w:themeFill="accent4" w:themeFillShade="BF"/>
      </w:tcPr>
    </w:tblStylePr>
  </w:style>
  <w:style w:type="table" w:styleId="DarkList-Accent5">
    <w:name w:val="Dark List Accent 5"/>
    <w:basedOn w:val="TableNormal"/>
    <w:uiPriority w:val="70"/>
    <w:semiHidden/>
    <w:unhideWhenUsed/>
    <w:locked/>
    <w:rsid w:val="00C551E1"/>
    <w:pPr>
      <w:spacing w:after="0"/>
    </w:pPr>
    <w:rPr>
      <w:color w:val="FFFFFF" w:themeColor="background1"/>
    </w:rPr>
    <w:tblPr>
      <w:tblStyleRowBandSize w:val="1"/>
      <w:tblStyleColBandSize w:val="1"/>
    </w:tblPr>
    <w:tcPr>
      <w:shd w:val="clear" w:color="auto" w:fill="2C2A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15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1F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1F1F" w:themeFill="accent5" w:themeFillShade="BF"/>
      </w:tcPr>
    </w:tblStylePr>
    <w:tblStylePr w:type="band1Vert">
      <w:tblPr/>
      <w:tcPr>
        <w:tcBorders>
          <w:top w:val="nil"/>
          <w:left w:val="nil"/>
          <w:bottom w:val="nil"/>
          <w:right w:val="nil"/>
          <w:insideH w:val="nil"/>
          <w:insideV w:val="nil"/>
        </w:tcBorders>
        <w:shd w:val="clear" w:color="auto" w:fill="201F1F" w:themeFill="accent5" w:themeFillShade="BF"/>
      </w:tcPr>
    </w:tblStylePr>
    <w:tblStylePr w:type="band1Horz">
      <w:tblPr/>
      <w:tcPr>
        <w:tcBorders>
          <w:top w:val="nil"/>
          <w:left w:val="nil"/>
          <w:bottom w:val="nil"/>
          <w:right w:val="nil"/>
          <w:insideH w:val="nil"/>
          <w:insideV w:val="nil"/>
        </w:tcBorders>
        <w:shd w:val="clear" w:color="auto" w:fill="201F1F" w:themeFill="accent5" w:themeFillShade="BF"/>
      </w:tcPr>
    </w:tblStylePr>
  </w:style>
  <w:style w:type="table" w:styleId="DarkList-Accent6">
    <w:name w:val="Dark List Accent 6"/>
    <w:basedOn w:val="TableNormal"/>
    <w:uiPriority w:val="70"/>
    <w:semiHidden/>
    <w:unhideWhenUsed/>
    <w:locked/>
    <w:rsid w:val="00C551E1"/>
    <w:pPr>
      <w:spacing w:after="0"/>
    </w:pPr>
    <w:rPr>
      <w:color w:val="FFFFFF" w:themeColor="background1"/>
    </w:rPr>
    <w:tblPr>
      <w:tblStyleRowBandSize w:val="1"/>
      <w:tblStyleColBandSize w:val="1"/>
    </w:tblPr>
    <w:tcPr>
      <w:shd w:val="clear" w:color="auto" w:fill="4A0E1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07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70A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70A11" w:themeFill="accent6" w:themeFillShade="BF"/>
      </w:tcPr>
    </w:tblStylePr>
    <w:tblStylePr w:type="band1Vert">
      <w:tblPr/>
      <w:tcPr>
        <w:tcBorders>
          <w:top w:val="nil"/>
          <w:left w:val="nil"/>
          <w:bottom w:val="nil"/>
          <w:right w:val="nil"/>
          <w:insideH w:val="nil"/>
          <w:insideV w:val="nil"/>
        </w:tcBorders>
        <w:shd w:val="clear" w:color="auto" w:fill="370A11" w:themeFill="accent6" w:themeFillShade="BF"/>
      </w:tcPr>
    </w:tblStylePr>
    <w:tblStylePr w:type="band1Horz">
      <w:tblPr/>
      <w:tcPr>
        <w:tcBorders>
          <w:top w:val="nil"/>
          <w:left w:val="nil"/>
          <w:bottom w:val="nil"/>
          <w:right w:val="nil"/>
          <w:insideH w:val="nil"/>
          <w:insideV w:val="nil"/>
        </w:tcBorders>
        <w:shd w:val="clear" w:color="auto" w:fill="370A11" w:themeFill="accent6" w:themeFillShade="BF"/>
      </w:tcPr>
    </w:tblStylePr>
  </w:style>
  <w:style w:type="table" w:customStyle="1" w:styleId="GridTable1Light1">
    <w:name w:val="Grid Table 1 Light1"/>
    <w:basedOn w:val="TableNormal"/>
    <w:uiPriority w:val="46"/>
    <w:semiHidden/>
    <w:rsid w:val="00C551E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C551E1"/>
    <w:pPr>
      <w:spacing w:after="0"/>
    </w:pPr>
    <w:tblPr>
      <w:tblStyleRowBandSize w:val="1"/>
      <w:tblStyleColBandSize w:val="1"/>
      <w:tblBorders>
        <w:top w:val="single" w:sz="4" w:space="0" w:color="EA8D9C" w:themeColor="accent1" w:themeTint="66"/>
        <w:left w:val="single" w:sz="4" w:space="0" w:color="EA8D9C" w:themeColor="accent1" w:themeTint="66"/>
        <w:bottom w:val="single" w:sz="4" w:space="0" w:color="EA8D9C" w:themeColor="accent1" w:themeTint="66"/>
        <w:right w:val="single" w:sz="4" w:space="0" w:color="EA8D9C" w:themeColor="accent1" w:themeTint="66"/>
        <w:insideH w:val="single" w:sz="4" w:space="0" w:color="EA8D9C" w:themeColor="accent1" w:themeTint="66"/>
        <w:insideV w:val="single" w:sz="4" w:space="0" w:color="EA8D9C" w:themeColor="accent1" w:themeTint="66"/>
      </w:tblBorders>
    </w:tblPr>
    <w:tblStylePr w:type="firstRow">
      <w:rPr>
        <w:b/>
        <w:bCs/>
      </w:rPr>
      <w:tblPr/>
      <w:tcPr>
        <w:tcBorders>
          <w:bottom w:val="single" w:sz="12" w:space="0" w:color="DF546B" w:themeColor="accent1" w:themeTint="99"/>
        </w:tcBorders>
      </w:tcPr>
    </w:tblStylePr>
    <w:tblStylePr w:type="lastRow">
      <w:rPr>
        <w:b/>
        <w:bCs/>
      </w:rPr>
      <w:tblPr/>
      <w:tcPr>
        <w:tcBorders>
          <w:top w:val="double" w:sz="2" w:space="0" w:color="DF546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C551E1"/>
    <w:pPr>
      <w:spacing w:after="0"/>
    </w:pPr>
    <w:tblPr>
      <w:tblStyleRowBandSize w:val="1"/>
      <w:tblStyleColBandSize w:val="1"/>
      <w:tblBorders>
        <w:top w:val="single" w:sz="4" w:space="0" w:color="E0BEC4" w:themeColor="accent2" w:themeTint="66"/>
        <w:left w:val="single" w:sz="4" w:space="0" w:color="E0BEC4" w:themeColor="accent2" w:themeTint="66"/>
        <w:bottom w:val="single" w:sz="4" w:space="0" w:color="E0BEC4" w:themeColor="accent2" w:themeTint="66"/>
        <w:right w:val="single" w:sz="4" w:space="0" w:color="E0BEC4" w:themeColor="accent2" w:themeTint="66"/>
        <w:insideH w:val="single" w:sz="4" w:space="0" w:color="E0BEC4" w:themeColor="accent2" w:themeTint="66"/>
        <w:insideV w:val="single" w:sz="4" w:space="0" w:color="E0BEC4" w:themeColor="accent2" w:themeTint="66"/>
      </w:tblBorders>
    </w:tblPr>
    <w:tblStylePr w:type="firstRow">
      <w:rPr>
        <w:b/>
        <w:bCs/>
      </w:rPr>
      <w:tblPr/>
      <w:tcPr>
        <w:tcBorders>
          <w:bottom w:val="single" w:sz="12" w:space="0" w:color="D19EA7" w:themeColor="accent2" w:themeTint="99"/>
        </w:tcBorders>
      </w:tcPr>
    </w:tblStylePr>
    <w:tblStylePr w:type="lastRow">
      <w:rPr>
        <w:b/>
        <w:bCs/>
      </w:rPr>
      <w:tblPr/>
      <w:tcPr>
        <w:tcBorders>
          <w:top w:val="double" w:sz="2" w:space="0" w:color="D19EA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C551E1"/>
    <w:pPr>
      <w:spacing w:after="0"/>
    </w:pPr>
    <w:tblPr>
      <w:tblStyleRowBandSize w:val="1"/>
      <w:tblStyleColBandSize w:val="1"/>
      <w:tblBorders>
        <w:top w:val="single" w:sz="4" w:space="0" w:color="F5F5F5" w:themeColor="accent3" w:themeTint="66"/>
        <w:left w:val="single" w:sz="4" w:space="0" w:color="F5F5F5" w:themeColor="accent3" w:themeTint="66"/>
        <w:bottom w:val="single" w:sz="4" w:space="0" w:color="F5F5F5" w:themeColor="accent3" w:themeTint="66"/>
        <w:right w:val="single" w:sz="4" w:space="0" w:color="F5F5F5" w:themeColor="accent3" w:themeTint="66"/>
        <w:insideH w:val="single" w:sz="4" w:space="0" w:color="F5F5F5" w:themeColor="accent3" w:themeTint="66"/>
        <w:insideV w:val="single" w:sz="4" w:space="0" w:color="F5F5F5" w:themeColor="accent3" w:themeTint="66"/>
      </w:tblBorders>
    </w:tblPr>
    <w:tblStylePr w:type="firstRow">
      <w:rPr>
        <w:b/>
        <w:bCs/>
      </w:rPr>
      <w:tblPr/>
      <w:tcPr>
        <w:tcBorders>
          <w:bottom w:val="single" w:sz="12" w:space="0" w:color="F1F0F0" w:themeColor="accent3" w:themeTint="99"/>
        </w:tcBorders>
      </w:tcPr>
    </w:tblStylePr>
    <w:tblStylePr w:type="lastRow">
      <w:rPr>
        <w:b/>
        <w:bCs/>
      </w:rPr>
      <w:tblPr/>
      <w:tcPr>
        <w:tcBorders>
          <w:top w:val="double" w:sz="2" w:space="0" w:color="F1F0F0"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C551E1"/>
    <w:pPr>
      <w:spacing w:after="0"/>
    </w:pPr>
    <w:tblPr>
      <w:tblStyleRowBandSize w:val="1"/>
      <w:tblStyleColBandSize w:val="1"/>
      <w:tblBorders>
        <w:top w:val="single" w:sz="4" w:space="0" w:color="D1CECE" w:themeColor="accent4" w:themeTint="66"/>
        <w:left w:val="single" w:sz="4" w:space="0" w:color="D1CECE" w:themeColor="accent4" w:themeTint="66"/>
        <w:bottom w:val="single" w:sz="4" w:space="0" w:color="D1CECE" w:themeColor="accent4" w:themeTint="66"/>
        <w:right w:val="single" w:sz="4" w:space="0" w:color="D1CECE" w:themeColor="accent4" w:themeTint="66"/>
        <w:insideH w:val="single" w:sz="4" w:space="0" w:color="D1CECE" w:themeColor="accent4" w:themeTint="66"/>
        <w:insideV w:val="single" w:sz="4" w:space="0" w:color="D1CECE" w:themeColor="accent4" w:themeTint="66"/>
      </w:tblBorders>
    </w:tblPr>
    <w:tblStylePr w:type="firstRow">
      <w:rPr>
        <w:b/>
        <w:bCs/>
      </w:rPr>
      <w:tblPr/>
      <w:tcPr>
        <w:tcBorders>
          <w:bottom w:val="single" w:sz="12" w:space="0" w:color="BAB6B6" w:themeColor="accent4" w:themeTint="99"/>
        </w:tcBorders>
      </w:tcPr>
    </w:tblStylePr>
    <w:tblStylePr w:type="lastRow">
      <w:rPr>
        <w:b/>
        <w:bCs/>
      </w:rPr>
      <w:tblPr/>
      <w:tcPr>
        <w:tcBorders>
          <w:top w:val="double" w:sz="2" w:space="0" w:color="BAB6B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C551E1"/>
    <w:pPr>
      <w:spacing w:after="0"/>
    </w:pPr>
    <w:tblPr>
      <w:tblStyleRowBandSize w:val="1"/>
      <w:tblStyleColBandSize w:val="1"/>
      <w:tblBorders>
        <w:top w:val="single" w:sz="4" w:space="0" w:color="ACA8A8" w:themeColor="accent5" w:themeTint="66"/>
        <w:left w:val="single" w:sz="4" w:space="0" w:color="ACA8A8" w:themeColor="accent5" w:themeTint="66"/>
        <w:bottom w:val="single" w:sz="4" w:space="0" w:color="ACA8A8" w:themeColor="accent5" w:themeTint="66"/>
        <w:right w:val="single" w:sz="4" w:space="0" w:color="ACA8A8" w:themeColor="accent5" w:themeTint="66"/>
        <w:insideH w:val="single" w:sz="4" w:space="0" w:color="ACA8A8" w:themeColor="accent5" w:themeTint="66"/>
        <w:insideV w:val="single" w:sz="4" w:space="0" w:color="ACA8A8" w:themeColor="accent5" w:themeTint="66"/>
      </w:tblBorders>
    </w:tblPr>
    <w:tblStylePr w:type="firstRow">
      <w:rPr>
        <w:b/>
        <w:bCs/>
      </w:rPr>
      <w:tblPr/>
      <w:tcPr>
        <w:tcBorders>
          <w:bottom w:val="single" w:sz="12" w:space="0" w:color="827C7C" w:themeColor="accent5" w:themeTint="99"/>
        </w:tcBorders>
      </w:tcPr>
    </w:tblStylePr>
    <w:tblStylePr w:type="lastRow">
      <w:rPr>
        <w:b/>
        <w:bCs/>
      </w:rPr>
      <w:tblPr/>
      <w:tcPr>
        <w:tcBorders>
          <w:top w:val="double" w:sz="2" w:space="0" w:color="827C7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C551E1"/>
    <w:pPr>
      <w:spacing w:after="0"/>
    </w:pPr>
    <w:tblPr>
      <w:tblStyleRowBandSize w:val="1"/>
      <w:tblStyleColBandSize w:val="1"/>
      <w:tblBorders>
        <w:top w:val="single" w:sz="4" w:space="0" w:color="E47083" w:themeColor="accent6" w:themeTint="66"/>
        <w:left w:val="single" w:sz="4" w:space="0" w:color="E47083" w:themeColor="accent6" w:themeTint="66"/>
        <w:bottom w:val="single" w:sz="4" w:space="0" w:color="E47083" w:themeColor="accent6" w:themeTint="66"/>
        <w:right w:val="single" w:sz="4" w:space="0" w:color="E47083" w:themeColor="accent6" w:themeTint="66"/>
        <w:insideH w:val="single" w:sz="4" w:space="0" w:color="E47083" w:themeColor="accent6" w:themeTint="66"/>
        <w:insideV w:val="single" w:sz="4" w:space="0" w:color="E47083" w:themeColor="accent6" w:themeTint="66"/>
      </w:tblBorders>
    </w:tblPr>
    <w:tblStylePr w:type="firstRow">
      <w:rPr>
        <w:b/>
        <w:bCs/>
      </w:rPr>
      <w:tblPr/>
      <w:tcPr>
        <w:tcBorders>
          <w:bottom w:val="single" w:sz="12" w:space="0" w:color="D62946" w:themeColor="accent6" w:themeTint="99"/>
        </w:tcBorders>
      </w:tcPr>
    </w:tblStylePr>
    <w:tblStylePr w:type="lastRow">
      <w:rPr>
        <w:b/>
        <w:bCs/>
      </w:rPr>
      <w:tblPr/>
      <w:tcPr>
        <w:tcBorders>
          <w:top w:val="double" w:sz="2" w:space="0" w:color="D62946"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C551E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C551E1"/>
    <w:pPr>
      <w:spacing w:after="0"/>
    </w:pPr>
    <w:tblPr>
      <w:tblStyleRowBandSize w:val="1"/>
      <w:tblStyleColBandSize w:val="1"/>
      <w:tblBorders>
        <w:top w:val="single" w:sz="2" w:space="0" w:color="DF546B" w:themeColor="accent1" w:themeTint="99"/>
        <w:bottom w:val="single" w:sz="2" w:space="0" w:color="DF546B" w:themeColor="accent1" w:themeTint="99"/>
        <w:insideH w:val="single" w:sz="2" w:space="0" w:color="DF546B" w:themeColor="accent1" w:themeTint="99"/>
        <w:insideV w:val="single" w:sz="2" w:space="0" w:color="DF546B" w:themeColor="accent1" w:themeTint="99"/>
      </w:tblBorders>
    </w:tblPr>
    <w:tblStylePr w:type="firstRow">
      <w:rPr>
        <w:b/>
        <w:bCs/>
      </w:rPr>
      <w:tblPr/>
      <w:tcPr>
        <w:tcBorders>
          <w:top w:val="nil"/>
          <w:bottom w:val="single" w:sz="12" w:space="0" w:color="DF546B" w:themeColor="accent1" w:themeTint="99"/>
          <w:insideH w:val="nil"/>
          <w:insideV w:val="nil"/>
        </w:tcBorders>
        <w:shd w:val="clear" w:color="auto" w:fill="FFFFFF" w:themeFill="background1"/>
      </w:tcPr>
    </w:tblStylePr>
    <w:tblStylePr w:type="lastRow">
      <w:rPr>
        <w:b/>
        <w:bCs/>
      </w:rPr>
      <w:tblPr/>
      <w:tcPr>
        <w:tcBorders>
          <w:top w:val="double" w:sz="2" w:space="0" w:color="DF5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customStyle="1" w:styleId="GridTable2-Accent21">
    <w:name w:val="Grid Table 2 - Accent 21"/>
    <w:basedOn w:val="TableNormal"/>
    <w:uiPriority w:val="47"/>
    <w:semiHidden/>
    <w:rsid w:val="00C551E1"/>
    <w:pPr>
      <w:spacing w:after="0"/>
    </w:pPr>
    <w:tblPr>
      <w:tblStyleRowBandSize w:val="1"/>
      <w:tblStyleColBandSize w:val="1"/>
      <w:tblBorders>
        <w:top w:val="single" w:sz="2" w:space="0" w:color="D19EA7" w:themeColor="accent2" w:themeTint="99"/>
        <w:bottom w:val="single" w:sz="2" w:space="0" w:color="D19EA7" w:themeColor="accent2" w:themeTint="99"/>
        <w:insideH w:val="single" w:sz="2" w:space="0" w:color="D19EA7" w:themeColor="accent2" w:themeTint="99"/>
        <w:insideV w:val="single" w:sz="2" w:space="0" w:color="D19EA7" w:themeColor="accent2" w:themeTint="99"/>
      </w:tblBorders>
    </w:tblPr>
    <w:tblStylePr w:type="firstRow">
      <w:rPr>
        <w:b/>
        <w:bCs/>
      </w:rPr>
      <w:tblPr/>
      <w:tcPr>
        <w:tcBorders>
          <w:top w:val="nil"/>
          <w:bottom w:val="single" w:sz="12" w:space="0" w:color="D19EA7" w:themeColor="accent2" w:themeTint="99"/>
          <w:insideH w:val="nil"/>
          <w:insideV w:val="nil"/>
        </w:tcBorders>
        <w:shd w:val="clear" w:color="auto" w:fill="FFFFFF" w:themeFill="background1"/>
      </w:tcPr>
    </w:tblStylePr>
    <w:tblStylePr w:type="lastRow">
      <w:rPr>
        <w:b/>
        <w:bCs/>
      </w:rPr>
      <w:tblPr/>
      <w:tcPr>
        <w:tcBorders>
          <w:top w:val="double" w:sz="2" w:space="0" w:color="D19EA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customStyle="1" w:styleId="GridTable2-Accent31">
    <w:name w:val="Grid Table 2 - Accent 31"/>
    <w:basedOn w:val="TableNormal"/>
    <w:uiPriority w:val="47"/>
    <w:semiHidden/>
    <w:rsid w:val="00C551E1"/>
    <w:pPr>
      <w:spacing w:after="0"/>
    </w:pPr>
    <w:tblPr>
      <w:tblStyleRowBandSize w:val="1"/>
      <w:tblStyleColBandSize w:val="1"/>
      <w:tblBorders>
        <w:top w:val="single" w:sz="2" w:space="0" w:color="F1F0F0" w:themeColor="accent3" w:themeTint="99"/>
        <w:bottom w:val="single" w:sz="2" w:space="0" w:color="F1F0F0" w:themeColor="accent3" w:themeTint="99"/>
        <w:insideH w:val="single" w:sz="2" w:space="0" w:color="F1F0F0" w:themeColor="accent3" w:themeTint="99"/>
        <w:insideV w:val="single" w:sz="2" w:space="0" w:color="F1F0F0" w:themeColor="accent3" w:themeTint="99"/>
      </w:tblBorders>
    </w:tblPr>
    <w:tblStylePr w:type="firstRow">
      <w:rPr>
        <w:b/>
        <w:bCs/>
      </w:rPr>
      <w:tblPr/>
      <w:tcPr>
        <w:tcBorders>
          <w:top w:val="nil"/>
          <w:bottom w:val="single" w:sz="12" w:space="0" w:color="F1F0F0" w:themeColor="accent3" w:themeTint="99"/>
          <w:insideH w:val="nil"/>
          <w:insideV w:val="nil"/>
        </w:tcBorders>
        <w:shd w:val="clear" w:color="auto" w:fill="FFFFFF" w:themeFill="background1"/>
      </w:tcPr>
    </w:tblStylePr>
    <w:tblStylePr w:type="lastRow">
      <w:rPr>
        <w:b/>
        <w:bCs/>
      </w:rPr>
      <w:tblPr/>
      <w:tcPr>
        <w:tcBorders>
          <w:top w:val="double" w:sz="2" w:space="0" w:color="F1F0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GridTable2-Accent41">
    <w:name w:val="Grid Table 2 - Accent 41"/>
    <w:basedOn w:val="TableNormal"/>
    <w:uiPriority w:val="47"/>
    <w:semiHidden/>
    <w:rsid w:val="00C551E1"/>
    <w:pPr>
      <w:spacing w:after="0"/>
    </w:pPr>
    <w:tblPr>
      <w:tblStyleRowBandSize w:val="1"/>
      <w:tblStyleColBandSize w:val="1"/>
      <w:tblBorders>
        <w:top w:val="single" w:sz="2" w:space="0" w:color="BAB6B6" w:themeColor="accent4" w:themeTint="99"/>
        <w:bottom w:val="single" w:sz="2" w:space="0" w:color="BAB6B6" w:themeColor="accent4" w:themeTint="99"/>
        <w:insideH w:val="single" w:sz="2" w:space="0" w:color="BAB6B6" w:themeColor="accent4" w:themeTint="99"/>
        <w:insideV w:val="single" w:sz="2" w:space="0" w:color="BAB6B6" w:themeColor="accent4" w:themeTint="99"/>
      </w:tblBorders>
    </w:tblPr>
    <w:tblStylePr w:type="firstRow">
      <w:rPr>
        <w:b/>
        <w:bCs/>
      </w:rPr>
      <w:tblPr/>
      <w:tcPr>
        <w:tcBorders>
          <w:top w:val="nil"/>
          <w:bottom w:val="single" w:sz="12" w:space="0" w:color="BAB6B6" w:themeColor="accent4" w:themeTint="99"/>
          <w:insideH w:val="nil"/>
          <w:insideV w:val="nil"/>
        </w:tcBorders>
        <w:shd w:val="clear" w:color="auto" w:fill="FFFFFF" w:themeFill="background1"/>
      </w:tcPr>
    </w:tblStylePr>
    <w:tblStylePr w:type="lastRow">
      <w:rPr>
        <w:b/>
        <w:bCs/>
      </w:rPr>
      <w:tblPr/>
      <w:tcPr>
        <w:tcBorders>
          <w:top w:val="double" w:sz="2" w:space="0" w:color="BAB6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customStyle="1" w:styleId="GridTable2-Accent51">
    <w:name w:val="Grid Table 2 - Accent 51"/>
    <w:basedOn w:val="TableNormal"/>
    <w:uiPriority w:val="47"/>
    <w:semiHidden/>
    <w:rsid w:val="00C551E1"/>
    <w:pPr>
      <w:spacing w:after="0"/>
    </w:pPr>
    <w:tblPr>
      <w:tblStyleRowBandSize w:val="1"/>
      <w:tblStyleColBandSize w:val="1"/>
      <w:tblBorders>
        <w:top w:val="single" w:sz="2" w:space="0" w:color="827C7C" w:themeColor="accent5" w:themeTint="99"/>
        <w:bottom w:val="single" w:sz="2" w:space="0" w:color="827C7C" w:themeColor="accent5" w:themeTint="99"/>
        <w:insideH w:val="single" w:sz="2" w:space="0" w:color="827C7C" w:themeColor="accent5" w:themeTint="99"/>
        <w:insideV w:val="single" w:sz="2" w:space="0" w:color="827C7C" w:themeColor="accent5" w:themeTint="99"/>
      </w:tblBorders>
    </w:tblPr>
    <w:tblStylePr w:type="firstRow">
      <w:rPr>
        <w:b/>
        <w:bCs/>
      </w:rPr>
      <w:tblPr/>
      <w:tcPr>
        <w:tcBorders>
          <w:top w:val="nil"/>
          <w:bottom w:val="single" w:sz="12" w:space="0" w:color="827C7C" w:themeColor="accent5" w:themeTint="99"/>
          <w:insideH w:val="nil"/>
          <w:insideV w:val="nil"/>
        </w:tcBorders>
        <w:shd w:val="clear" w:color="auto" w:fill="FFFFFF" w:themeFill="background1"/>
      </w:tcPr>
    </w:tblStylePr>
    <w:tblStylePr w:type="lastRow">
      <w:rPr>
        <w:b/>
        <w:bCs/>
      </w:rPr>
      <w:tblPr/>
      <w:tcPr>
        <w:tcBorders>
          <w:top w:val="double" w:sz="2" w:space="0" w:color="82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customStyle="1" w:styleId="GridTable2-Accent61">
    <w:name w:val="Grid Table 2 - Accent 61"/>
    <w:basedOn w:val="TableNormal"/>
    <w:uiPriority w:val="47"/>
    <w:semiHidden/>
    <w:rsid w:val="00C551E1"/>
    <w:pPr>
      <w:spacing w:after="0"/>
    </w:pPr>
    <w:tblPr>
      <w:tblStyleRowBandSize w:val="1"/>
      <w:tblStyleColBandSize w:val="1"/>
      <w:tblBorders>
        <w:top w:val="single" w:sz="2" w:space="0" w:color="D62946" w:themeColor="accent6" w:themeTint="99"/>
        <w:bottom w:val="single" w:sz="2" w:space="0" w:color="D62946" w:themeColor="accent6" w:themeTint="99"/>
        <w:insideH w:val="single" w:sz="2" w:space="0" w:color="D62946" w:themeColor="accent6" w:themeTint="99"/>
        <w:insideV w:val="single" w:sz="2" w:space="0" w:color="D62946" w:themeColor="accent6" w:themeTint="99"/>
      </w:tblBorders>
    </w:tblPr>
    <w:tblStylePr w:type="firstRow">
      <w:rPr>
        <w:b/>
        <w:bCs/>
      </w:rPr>
      <w:tblPr/>
      <w:tcPr>
        <w:tcBorders>
          <w:top w:val="nil"/>
          <w:bottom w:val="single" w:sz="12" w:space="0" w:color="D62946" w:themeColor="accent6" w:themeTint="99"/>
          <w:insideH w:val="nil"/>
          <w:insideV w:val="nil"/>
        </w:tcBorders>
        <w:shd w:val="clear" w:color="auto" w:fill="FFFFFF" w:themeFill="background1"/>
      </w:tcPr>
    </w:tblStylePr>
    <w:tblStylePr w:type="lastRow">
      <w:rPr>
        <w:b/>
        <w:bCs/>
      </w:rPr>
      <w:tblPr/>
      <w:tcPr>
        <w:tcBorders>
          <w:top w:val="double" w:sz="2" w:space="0" w:color="D6294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customStyle="1" w:styleId="GridTable31">
    <w:name w:val="Grid Table 31"/>
    <w:basedOn w:val="TableNormal"/>
    <w:uiPriority w:val="48"/>
    <w:semiHidden/>
    <w:rsid w:val="00C551E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C551E1"/>
    <w:pPr>
      <w:spacing w:after="0"/>
    </w:p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6CD" w:themeFill="accent1" w:themeFillTint="33"/>
      </w:tcPr>
    </w:tblStylePr>
    <w:tblStylePr w:type="band1Horz">
      <w:tblPr/>
      <w:tcPr>
        <w:shd w:val="clear" w:color="auto" w:fill="F4C6CD" w:themeFill="accent1" w:themeFillTint="33"/>
      </w:tcPr>
    </w:tblStylePr>
    <w:tblStylePr w:type="neCell">
      <w:tblPr/>
      <w:tcPr>
        <w:tcBorders>
          <w:bottom w:val="single" w:sz="4" w:space="0" w:color="DF546B" w:themeColor="accent1" w:themeTint="99"/>
        </w:tcBorders>
      </w:tcPr>
    </w:tblStylePr>
    <w:tblStylePr w:type="nwCell">
      <w:tblPr/>
      <w:tcPr>
        <w:tcBorders>
          <w:bottom w:val="single" w:sz="4" w:space="0" w:color="DF546B" w:themeColor="accent1" w:themeTint="99"/>
        </w:tcBorders>
      </w:tcPr>
    </w:tblStylePr>
    <w:tblStylePr w:type="seCell">
      <w:tblPr/>
      <w:tcPr>
        <w:tcBorders>
          <w:top w:val="single" w:sz="4" w:space="0" w:color="DF546B" w:themeColor="accent1" w:themeTint="99"/>
        </w:tcBorders>
      </w:tcPr>
    </w:tblStylePr>
    <w:tblStylePr w:type="swCell">
      <w:tblPr/>
      <w:tcPr>
        <w:tcBorders>
          <w:top w:val="single" w:sz="4" w:space="0" w:color="DF546B" w:themeColor="accent1" w:themeTint="99"/>
        </w:tcBorders>
      </w:tcPr>
    </w:tblStylePr>
  </w:style>
  <w:style w:type="table" w:customStyle="1" w:styleId="GridTable3-Accent21">
    <w:name w:val="Grid Table 3 - Accent 21"/>
    <w:basedOn w:val="TableNormal"/>
    <w:uiPriority w:val="48"/>
    <w:semiHidden/>
    <w:rsid w:val="00C551E1"/>
    <w:pPr>
      <w:spacing w:after="0"/>
    </w:p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EE1" w:themeFill="accent2" w:themeFillTint="33"/>
      </w:tcPr>
    </w:tblStylePr>
    <w:tblStylePr w:type="band1Horz">
      <w:tblPr/>
      <w:tcPr>
        <w:shd w:val="clear" w:color="auto" w:fill="EFDEE1" w:themeFill="accent2" w:themeFillTint="33"/>
      </w:tcPr>
    </w:tblStylePr>
    <w:tblStylePr w:type="neCell">
      <w:tblPr/>
      <w:tcPr>
        <w:tcBorders>
          <w:bottom w:val="single" w:sz="4" w:space="0" w:color="D19EA7" w:themeColor="accent2" w:themeTint="99"/>
        </w:tcBorders>
      </w:tcPr>
    </w:tblStylePr>
    <w:tblStylePr w:type="nwCell">
      <w:tblPr/>
      <w:tcPr>
        <w:tcBorders>
          <w:bottom w:val="single" w:sz="4" w:space="0" w:color="D19EA7" w:themeColor="accent2" w:themeTint="99"/>
        </w:tcBorders>
      </w:tcPr>
    </w:tblStylePr>
    <w:tblStylePr w:type="seCell">
      <w:tblPr/>
      <w:tcPr>
        <w:tcBorders>
          <w:top w:val="single" w:sz="4" w:space="0" w:color="D19EA7" w:themeColor="accent2" w:themeTint="99"/>
        </w:tcBorders>
      </w:tcPr>
    </w:tblStylePr>
    <w:tblStylePr w:type="swCell">
      <w:tblPr/>
      <w:tcPr>
        <w:tcBorders>
          <w:top w:val="single" w:sz="4" w:space="0" w:color="D19EA7" w:themeColor="accent2" w:themeTint="99"/>
        </w:tcBorders>
      </w:tcPr>
    </w:tblStylePr>
  </w:style>
  <w:style w:type="table" w:customStyle="1" w:styleId="GridTable3-Accent31">
    <w:name w:val="Grid Table 3 - Accent 31"/>
    <w:basedOn w:val="TableNormal"/>
    <w:uiPriority w:val="48"/>
    <w:semiHidden/>
    <w:rsid w:val="00C551E1"/>
    <w:pPr>
      <w:spacing w:after="0"/>
    </w:p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bottom w:val="single" w:sz="4" w:space="0" w:color="F1F0F0" w:themeColor="accent3" w:themeTint="99"/>
        </w:tcBorders>
      </w:tcPr>
    </w:tblStylePr>
    <w:tblStylePr w:type="nwCell">
      <w:tblPr/>
      <w:tcPr>
        <w:tcBorders>
          <w:bottom w:val="single" w:sz="4" w:space="0" w:color="F1F0F0" w:themeColor="accent3" w:themeTint="99"/>
        </w:tcBorders>
      </w:tcPr>
    </w:tblStylePr>
    <w:tblStylePr w:type="seCell">
      <w:tblPr/>
      <w:tcPr>
        <w:tcBorders>
          <w:top w:val="single" w:sz="4" w:space="0" w:color="F1F0F0" w:themeColor="accent3" w:themeTint="99"/>
        </w:tcBorders>
      </w:tcPr>
    </w:tblStylePr>
    <w:tblStylePr w:type="swCell">
      <w:tblPr/>
      <w:tcPr>
        <w:tcBorders>
          <w:top w:val="single" w:sz="4" w:space="0" w:color="F1F0F0" w:themeColor="accent3" w:themeTint="99"/>
        </w:tcBorders>
      </w:tcPr>
    </w:tblStylePr>
  </w:style>
  <w:style w:type="table" w:customStyle="1" w:styleId="GridTable3-Accent41">
    <w:name w:val="Grid Table 3 - Accent 41"/>
    <w:basedOn w:val="TableNormal"/>
    <w:uiPriority w:val="48"/>
    <w:semiHidden/>
    <w:rsid w:val="00C551E1"/>
    <w:pPr>
      <w:spacing w:after="0"/>
    </w:p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6E6" w:themeFill="accent4" w:themeFillTint="33"/>
      </w:tcPr>
    </w:tblStylePr>
    <w:tblStylePr w:type="band1Horz">
      <w:tblPr/>
      <w:tcPr>
        <w:shd w:val="clear" w:color="auto" w:fill="E8E6E6" w:themeFill="accent4" w:themeFillTint="33"/>
      </w:tcPr>
    </w:tblStylePr>
    <w:tblStylePr w:type="neCell">
      <w:tblPr/>
      <w:tcPr>
        <w:tcBorders>
          <w:bottom w:val="single" w:sz="4" w:space="0" w:color="BAB6B6" w:themeColor="accent4" w:themeTint="99"/>
        </w:tcBorders>
      </w:tcPr>
    </w:tblStylePr>
    <w:tblStylePr w:type="nwCell">
      <w:tblPr/>
      <w:tcPr>
        <w:tcBorders>
          <w:bottom w:val="single" w:sz="4" w:space="0" w:color="BAB6B6" w:themeColor="accent4" w:themeTint="99"/>
        </w:tcBorders>
      </w:tcPr>
    </w:tblStylePr>
    <w:tblStylePr w:type="seCell">
      <w:tblPr/>
      <w:tcPr>
        <w:tcBorders>
          <w:top w:val="single" w:sz="4" w:space="0" w:color="BAB6B6" w:themeColor="accent4" w:themeTint="99"/>
        </w:tcBorders>
      </w:tcPr>
    </w:tblStylePr>
    <w:tblStylePr w:type="swCell">
      <w:tblPr/>
      <w:tcPr>
        <w:tcBorders>
          <w:top w:val="single" w:sz="4" w:space="0" w:color="BAB6B6" w:themeColor="accent4" w:themeTint="99"/>
        </w:tcBorders>
      </w:tcPr>
    </w:tblStylePr>
  </w:style>
  <w:style w:type="table" w:customStyle="1" w:styleId="GridTable3-Accent51">
    <w:name w:val="Grid Table 3 - Accent 51"/>
    <w:basedOn w:val="TableNormal"/>
    <w:uiPriority w:val="48"/>
    <w:semiHidden/>
    <w:rsid w:val="00C551E1"/>
    <w:pPr>
      <w:spacing w:after="0"/>
    </w:p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3D3" w:themeFill="accent5" w:themeFillTint="33"/>
      </w:tcPr>
    </w:tblStylePr>
    <w:tblStylePr w:type="band1Horz">
      <w:tblPr/>
      <w:tcPr>
        <w:shd w:val="clear" w:color="auto" w:fill="D5D3D3" w:themeFill="accent5" w:themeFillTint="33"/>
      </w:tcPr>
    </w:tblStylePr>
    <w:tblStylePr w:type="neCell">
      <w:tblPr/>
      <w:tcPr>
        <w:tcBorders>
          <w:bottom w:val="single" w:sz="4" w:space="0" w:color="827C7C" w:themeColor="accent5" w:themeTint="99"/>
        </w:tcBorders>
      </w:tcPr>
    </w:tblStylePr>
    <w:tblStylePr w:type="nwCell">
      <w:tblPr/>
      <w:tcPr>
        <w:tcBorders>
          <w:bottom w:val="single" w:sz="4" w:space="0" w:color="827C7C" w:themeColor="accent5" w:themeTint="99"/>
        </w:tcBorders>
      </w:tcPr>
    </w:tblStylePr>
    <w:tblStylePr w:type="seCell">
      <w:tblPr/>
      <w:tcPr>
        <w:tcBorders>
          <w:top w:val="single" w:sz="4" w:space="0" w:color="827C7C" w:themeColor="accent5" w:themeTint="99"/>
        </w:tcBorders>
      </w:tcPr>
    </w:tblStylePr>
    <w:tblStylePr w:type="swCell">
      <w:tblPr/>
      <w:tcPr>
        <w:tcBorders>
          <w:top w:val="single" w:sz="4" w:space="0" w:color="827C7C" w:themeColor="accent5" w:themeTint="99"/>
        </w:tcBorders>
      </w:tcPr>
    </w:tblStylePr>
  </w:style>
  <w:style w:type="table" w:customStyle="1" w:styleId="GridTable3-Accent61">
    <w:name w:val="Grid Table 3 - Accent 61"/>
    <w:basedOn w:val="TableNormal"/>
    <w:uiPriority w:val="48"/>
    <w:semiHidden/>
    <w:rsid w:val="00C551E1"/>
    <w:pPr>
      <w:spacing w:after="0"/>
    </w:p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B7C1" w:themeFill="accent6" w:themeFillTint="33"/>
      </w:tcPr>
    </w:tblStylePr>
    <w:tblStylePr w:type="band1Horz">
      <w:tblPr/>
      <w:tcPr>
        <w:shd w:val="clear" w:color="auto" w:fill="F1B7C1" w:themeFill="accent6" w:themeFillTint="33"/>
      </w:tcPr>
    </w:tblStylePr>
    <w:tblStylePr w:type="neCell">
      <w:tblPr/>
      <w:tcPr>
        <w:tcBorders>
          <w:bottom w:val="single" w:sz="4" w:space="0" w:color="D62946" w:themeColor="accent6" w:themeTint="99"/>
        </w:tcBorders>
      </w:tcPr>
    </w:tblStylePr>
    <w:tblStylePr w:type="nwCell">
      <w:tblPr/>
      <w:tcPr>
        <w:tcBorders>
          <w:bottom w:val="single" w:sz="4" w:space="0" w:color="D62946" w:themeColor="accent6" w:themeTint="99"/>
        </w:tcBorders>
      </w:tcPr>
    </w:tblStylePr>
    <w:tblStylePr w:type="seCell">
      <w:tblPr/>
      <w:tcPr>
        <w:tcBorders>
          <w:top w:val="single" w:sz="4" w:space="0" w:color="D62946" w:themeColor="accent6" w:themeTint="99"/>
        </w:tcBorders>
      </w:tcPr>
    </w:tblStylePr>
    <w:tblStylePr w:type="swCell">
      <w:tblPr/>
      <w:tcPr>
        <w:tcBorders>
          <w:top w:val="single" w:sz="4" w:space="0" w:color="D62946" w:themeColor="accent6" w:themeTint="99"/>
        </w:tcBorders>
      </w:tcPr>
    </w:tblStylePr>
  </w:style>
  <w:style w:type="table" w:customStyle="1" w:styleId="GridTable41">
    <w:name w:val="Grid Table 41"/>
    <w:basedOn w:val="TableNormal"/>
    <w:uiPriority w:val="49"/>
    <w:semiHidden/>
    <w:rsid w:val="00C551E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C551E1"/>
    <w:pPr>
      <w:spacing w:after="0"/>
    </w:p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color w:val="FFFFFF" w:themeColor="background1"/>
      </w:rPr>
      <w:tblPr/>
      <w:tcPr>
        <w:tcBorders>
          <w:top w:val="single" w:sz="4" w:space="0" w:color="931B2F" w:themeColor="accent1"/>
          <w:left w:val="single" w:sz="4" w:space="0" w:color="931B2F" w:themeColor="accent1"/>
          <w:bottom w:val="single" w:sz="4" w:space="0" w:color="931B2F" w:themeColor="accent1"/>
          <w:right w:val="single" w:sz="4" w:space="0" w:color="931B2F" w:themeColor="accent1"/>
          <w:insideH w:val="nil"/>
          <w:insideV w:val="nil"/>
        </w:tcBorders>
        <w:shd w:val="clear" w:color="auto" w:fill="931B2F" w:themeFill="accent1"/>
      </w:tcPr>
    </w:tblStylePr>
    <w:tblStylePr w:type="lastRow">
      <w:rPr>
        <w:b/>
        <w:bCs/>
      </w:rPr>
      <w:tblPr/>
      <w:tcPr>
        <w:tcBorders>
          <w:top w:val="double" w:sz="4" w:space="0" w:color="931B2F" w:themeColor="accent1"/>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customStyle="1" w:styleId="GridTable4-Accent21">
    <w:name w:val="Grid Table 4 - Accent 21"/>
    <w:basedOn w:val="TableNormal"/>
    <w:uiPriority w:val="49"/>
    <w:semiHidden/>
    <w:rsid w:val="00C551E1"/>
    <w:pPr>
      <w:spacing w:after="0"/>
    </w:p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color w:val="FFFFFF" w:themeColor="background1"/>
      </w:rPr>
      <w:tblPr/>
      <w:tcPr>
        <w:tcBorders>
          <w:top w:val="single" w:sz="4" w:space="0" w:color="B35F6D" w:themeColor="accent2"/>
          <w:left w:val="single" w:sz="4" w:space="0" w:color="B35F6D" w:themeColor="accent2"/>
          <w:bottom w:val="single" w:sz="4" w:space="0" w:color="B35F6D" w:themeColor="accent2"/>
          <w:right w:val="single" w:sz="4" w:space="0" w:color="B35F6D" w:themeColor="accent2"/>
          <w:insideH w:val="nil"/>
          <w:insideV w:val="nil"/>
        </w:tcBorders>
        <w:shd w:val="clear" w:color="auto" w:fill="B35F6D" w:themeFill="accent2"/>
      </w:tcPr>
    </w:tblStylePr>
    <w:tblStylePr w:type="lastRow">
      <w:rPr>
        <w:b/>
        <w:bCs/>
      </w:rPr>
      <w:tblPr/>
      <w:tcPr>
        <w:tcBorders>
          <w:top w:val="double" w:sz="4" w:space="0" w:color="B35F6D" w:themeColor="accent2"/>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customStyle="1" w:styleId="GridTable4-Accent31">
    <w:name w:val="Grid Table 4 - Accent 31"/>
    <w:basedOn w:val="TableNormal"/>
    <w:uiPriority w:val="49"/>
    <w:semiHidden/>
    <w:rsid w:val="00C551E1"/>
    <w:pPr>
      <w:spacing w:after="0"/>
    </w:p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color w:val="FFFFFF" w:themeColor="background1"/>
      </w:rPr>
      <w:tblPr/>
      <w:tcPr>
        <w:tcBorders>
          <w:top w:val="single" w:sz="4" w:space="0" w:color="E8E7E7" w:themeColor="accent3"/>
          <w:left w:val="single" w:sz="4" w:space="0" w:color="E8E7E7" w:themeColor="accent3"/>
          <w:bottom w:val="single" w:sz="4" w:space="0" w:color="E8E7E7" w:themeColor="accent3"/>
          <w:right w:val="single" w:sz="4" w:space="0" w:color="E8E7E7" w:themeColor="accent3"/>
          <w:insideH w:val="nil"/>
          <w:insideV w:val="nil"/>
        </w:tcBorders>
        <w:shd w:val="clear" w:color="auto" w:fill="E8E7E7" w:themeFill="accent3"/>
      </w:tcPr>
    </w:tblStylePr>
    <w:tblStylePr w:type="lastRow">
      <w:rPr>
        <w:b/>
        <w:bCs/>
      </w:rPr>
      <w:tblPr/>
      <w:tcPr>
        <w:tcBorders>
          <w:top w:val="double" w:sz="4" w:space="0" w:color="E8E7E7"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GridTable4-Accent41">
    <w:name w:val="Grid Table 4 - Accent 41"/>
    <w:basedOn w:val="TableNormal"/>
    <w:uiPriority w:val="49"/>
    <w:semiHidden/>
    <w:rsid w:val="00C551E1"/>
    <w:pPr>
      <w:spacing w:after="0"/>
    </w:p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color w:val="FFFFFF" w:themeColor="background1"/>
      </w:rPr>
      <w:tblPr/>
      <w:tcPr>
        <w:tcBorders>
          <w:top w:val="single" w:sz="4" w:space="0" w:color="8C8686" w:themeColor="accent4"/>
          <w:left w:val="single" w:sz="4" w:space="0" w:color="8C8686" w:themeColor="accent4"/>
          <w:bottom w:val="single" w:sz="4" w:space="0" w:color="8C8686" w:themeColor="accent4"/>
          <w:right w:val="single" w:sz="4" w:space="0" w:color="8C8686" w:themeColor="accent4"/>
          <w:insideH w:val="nil"/>
          <w:insideV w:val="nil"/>
        </w:tcBorders>
        <w:shd w:val="clear" w:color="auto" w:fill="8C8686" w:themeFill="accent4"/>
      </w:tcPr>
    </w:tblStylePr>
    <w:tblStylePr w:type="lastRow">
      <w:rPr>
        <w:b/>
        <w:bCs/>
      </w:rPr>
      <w:tblPr/>
      <w:tcPr>
        <w:tcBorders>
          <w:top w:val="double" w:sz="4" w:space="0" w:color="8C8686" w:themeColor="accent4"/>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customStyle="1" w:styleId="GridTable4-Accent51">
    <w:name w:val="Grid Table 4 - Accent 51"/>
    <w:basedOn w:val="TableNormal"/>
    <w:uiPriority w:val="49"/>
    <w:semiHidden/>
    <w:rsid w:val="00C551E1"/>
    <w:pPr>
      <w:spacing w:after="0"/>
    </w:p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color w:val="FFFFFF" w:themeColor="background1"/>
      </w:rPr>
      <w:tblPr/>
      <w:tcPr>
        <w:tcBorders>
          <w:top w:val="single" w:sz="4" w:space="0" w:color="2C2A2A" w:themeColor="accent5"/>
          <w:left w:val="single" w:sz="4" w:space="0" w:color="2C2A2A" w:themeColor="accent5"/>
          <w:bottom w:val="single" w:sz="4" w:space="0" w:color="2C2A2A" w:themeColor="accent5"/>
          <w:right w:val="single" w:sz="4" w:space="0" w:color="2C2A2A" w:themeColor="accent5"/>
          <w:insideH w:val="nil"/>
          <w:insideV w:val="nil"/>
        </w:tcBorders>
        <w:shd w:val="clear" w:color="auto" w:fill="2C2A2A" w:themeFill="accent5"/>
      </w:tcPr>
    </w:tblStylePr>
    <w:tblStylePr w:type="lastRow">
      <w:rPr>
        <w:b/>
        <w:bCs/>
      </w:rPr>
      <w:tblPr/>
      <w:tcPr>
        <w:tcBorders>
          <w:top w:val="double" w:sz="4" w:space="0" w:color="2C2A2A" w:themeColor="accent5"/>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customStyle="1" w:styleId="GridTable4-Accent61">
    <w:name w:val="Grid Table 4 - Accent 61"/>
    <w:basedOn w:val="TableNormal"/>
    <w:uiPriority w:val="49"/>
    <w:semiHidden/>
    <w:rsid w:val="00C551E1"/>
    <w:pPr>
      <w:spacing w:after="0"/>
    </w:p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color w:val="FFFFFF" w:themeColor="background1"/>
      </w:rPr>
      <w:tblPr/>
      <w:tcPr>
        <w:tcBorders>
          <w:top w:val="single" w:sz="4" w:space="0" w:color="4A0E18" w:themeColor="accent6"/>
          <w:left w:val="single" w:sz="4" w:space="0" w:color="4A0E18" w:themeColor="accent6"/>
          <w:bottom w:val="single" w:sz="4" w:space="0" w:color="4A0E18" w:themeColor="accent6"/>
          <w:right w:val="single" w:sz="4" w:space="0" w:color="4A0E18" w:themeColor="accent6"/>
          <w:insideH w:val="nil"/>
          <w:insideV w:val="nil"/>
        </w:tcBorders>
        <w:shd w:val="clear" w:color="auto" w:fill="4A0E18" w:themeFill="accent6"/>
      </w:tcPr>
    </w:tblStylePr>
    <w:tblStylePr w:type="lastRow">
      <w:rPr>
        <w:b/>
        <w:bCs/>
      </w:rPr>
      <w:tblPr/>
      <w:tcPr>
        <w:tcBorders>
          <w:top w:val="double" w:sz="4" w:space="0" w:color="4A0E18" w:themeColor="accent6"/>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customStyle="1" w:styleId="GridTable5Dark1">
    <w:name w:val="Grid Table 5 Dark1"/>
    <w:basedOn w:val="TableNormal"/>
    <w:uiPriority w:val="50"/>
    <w:semiHidden/>
    <w:rsid w:val="00C551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C551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1B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1B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1B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1B2F" w:themeFill="accent1"/>
      </w:tcPr>
    </w:tblStylePr>
    <w:tblStylePr w:type="band1Vert">
      <w:tblPr/>
      <w:tcPr>
        <w:shd w:val="clear" w:color="auto" w:fill="EA8D9C" w:themeFill="accent1" w:themeFillTint="66"/>
      </w:tcPr>
    </w:tblStylePr>
    <w:tblStylePr w:type="band1Horz">
      <w:tblPr/>
      <w:tcPr>
        <w:shd w:val="clear" w:color="auto" w:fill="EA8D9C" w:themeFill="accent1" w:themeFillTint="66"/>
      </w:tcPr>
    </w:tblStylePr>
  </w:style>
  <w:style w:type="table" w:customStyle="1" w:styleId="GridTable5Dark-Accent21">
    <w:name w:val="Grid Table 5 Dark - Accent 21"/>
    <w:basedOn w:val="TableNormal"/>
    <w:uiPriority w:val="50"/>
    <w:semiHidden/>
    <w:rsid w:val="00C551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5F6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5F6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5F6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5F6D" w:themeFill="accent2"/>
      </w:tcPr>
    </w:tblStylePr>
    <w:tblStylePr w:type="band1Vert">
      <w:tblPr/>
      <w:tcPr>
        <w:shd w:val="clear" w:color="auto" w:fill="E0BEC4" w:themeFill="accent2" w:themeFillTint="66"/>
      </w:tcPr>
    </w:tblStylePr>
    <w:tblStylePr w:type="band1Horz">
      <w:tblPr/>
      <w:tcPr>
        <w:shd w:val="clear" w:color="auto" w:fill="E0BEC4" w:themeFill="accent2" w:themeFillTint="66"/>
      </w:tcPr>
    </w:tblStylePr>
  </w:style>
  <w:style w:type="table" w:customStyle="1" w:styleId="GridTable5Dark-Accent31">
    <w:name w:val="Grid Table 5 Dark - Accent 31"/>
    <w:basedOn w:val="TableNormal"/>
    <w:uiPriority w:val="50"/>
    <w:semiHidden/>
    <w:rsid w:val="00C551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E7E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E7E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E7E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E7E7" w:themeFill="accent3"/>
      </w:tcPr>
    </w:tblStylePr>
    <w:tblStylePr w:type="band1Vert">
      <w:tblPr/>
      <w:tcPr>
        <w:shd w:val="clear" w:color="auto" w:fill="F5F5F5" w:themeFill="accent3" w:themeFillTint="66"/>
      </w:tcPr>
    </w:tblStylePr>
    <w:tblStylePr w:type="band1Horz">
      <w:tblPr/>
      <w:tcPr>
        <w:shd w:val="clear" w:color="auto" w:fill="F5F5F5" w:themeFill="accent3" w:themeFillTint="66"/>
      </w:tcPr>
    </w:tblStylePr>
  </w:style>
  <w:style w:type="table" w:customStyle="1" w:styleId="GridTable5Dark-Accent41">
    <w:name w:val="Grid Table 5 Dark - Accent 41"/>
    <w:basedOn w:val="TableNormal"/>
    <w:uiPriority w:val="50"/>
    <w:semiHidden/>
    <w:rsid w:val="00C551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6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6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6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686" w:themeFill="accent4"/>
      </w:tcPr>
    </w:tblStylePr>
    <w:tblStylePr w:type="band1Vert">
      <w:tblPr/>
      <w:tcPr>
        <w:shd w:val="clear" w:color="auto" w:fill="D1CECE" w:themeFill="accent4" w:themeFillTint="66"/>
      </w:tcPr>
    </w:tblStylePr>
    <w:tblStylePr w:type="band1Horz">
      <w:tblPr/>
      <w:tcPr>
        <w:shd w:val="clear" w:color="auto" w:fill="D1CECE" w:themeFill="accent4" w:themeFillTint="66"/>
      </w:tcPr>
    </w:tblStylePr>
  </w:style>
  <w:style w:type="table" w:customStyle="1" w:styleId="GridTable5Dark-Accent51">
    <w:name w:val="Grid Table 5 Dark - Accent 51"/>
    <w:basedOn w:val="TableNormal"/>
    <w:uiPriority w:val="50"/>
    <w:semiHidden/>
    <w:rsid w:val="00C551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3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A2A" w:themeFill="accent5"/>
      </w:tcPr>
    </w:tblStylePr>
    <w:tblStylePr w:type="band1Vert">
      <w:tblPr/>
      <w:tcPr>
        <w:shd w:val="clear" w:color="auto" w:fill="ACA8A8" w:themeFill="accent5" w:themeFillTint="66"/>
      </w:tcPr>
    </w:tblStylePr>
    <w:tblStylePr w:type="band1Horz">
      <w:tblPr/>
      <w:tcPr>
        <w:shd w:val="clear" w:color="auto" w:fill="ACA8A8" w:themeFill="accent5" w:themeFillTint="66"/>
      </w:tcPr>
    </w:tblStylePr>
  </w:style>
  <w:style w:type="table" w:customStyle="1" w:styleId="GridTable5Dark-Accent61">
    <w:name w:val="Grid Table 5 Dark - Accent 61"/>
    <w:basedOn w:val="TableNormal"/>
    <w:uiPriority w:val="50"/>
    <w:semiHidden/>
    <w:rsid w:val="00C551E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B7C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0E1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0E1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0E1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0E18" w:themeFill="accent6"/>
      </w:tcPr>
    </w:tblStylePr>
    <w:tblStylePr w:type="band1Vert">
      <w:tblPr/>
      <w:tcPr>
        <w:shd w:val="clear" w:color="auto" w:fill="E47083" w:themeFill="accent6" w:themeFillTint="66"/>
      </w:tcPr>
    </w:tblStylePr>
    <w:tblStylePr w:type="band1Horz">
      <w:tblPr/>
      <w:tcPr>
        <w:shd w:val="clear" w:color="auto" w:fill="E47083" w:themeFill="accent6" w:themeFillTint="66"/>
      </w:tcPr>
    </w:tblStylePr>
  </w:style>
  <w:style w:type="table" w:customStyle="1" w:styleId="GridTable6Colorful1">
    <w:name w:val="Grid Table 6 Colorful1"/>
    <w:basedOn w:val="TableNormal"/>
    <w:uiPriority w:val="51"/>
    <w:semiHidden/>
    <w:rsid w:val="00C551E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C551E1"/>
    <w:pPr>
      <w:spacing w:after="0"/>
    </w:pPr>
    <w:rPr>
      <w:color w:val="6D1423" w:themeColor="accent1" w:themeShade="BF"/>
    </w:r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rPr>
      <w:tblPr/>
      <w:tcPr>
        <w:tcBorders>
          <w:bottom w:val="single" w:sz="12" w:space="0" w:color="DF546B" w:themeColor="accent1" w:themeTint="99"/>
        </w:tcBorders>
      </w:tcPr>
    </w:tblStylePr>
    <w:tblStylePr w:type="lastRow">
      <w:rPr>
        <w:b/>
        <w:bCs/>
      </w:rPr>
      <w:tblPr/>
      <w:tcPr>
        <w:tcBorders>
          <w:top w:val="double" w:sz="4" w:space="0" w:color="DF546B" w:themeColor="accent1" w:themeTint="99"/>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customStyle="1" w:styleId="GridTable6Colorful-Accent21">
    <w:name w:val="Grid Table 6 Colorful - Accent 21"/>
    <w:basedOn w:val="TableNormal"/>
    <w:uiPriority w:val="51"/>
    <w:semiHidden/>
    <w:rsid w:val="00C551E1"/>
    <w:pPr>
      <w:spacing w:after="0"/>
    </w:pPr>
    <w:rPr>
      <w:color w:val="8A424E" w:themeColor="accent2" w:themeShade="BF"/>
    </w:r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rPr>
      <w:tblPr/>
      <w:tcPr>
        <w:tcBorders>
          <w:bottom w:val="single" w:sz="12" w:space="0" w:color="D19EA7" w:themeColor="accent2" w:themeTint="99"/>
        </w:tcBorders>
      </w:tcPr>
    </w:tblStylePr>
    <w:tblStylePr w:type="lastRow">
      <w:rPr>
        <w:b/>
        <w:bCs/>
      </w:rPr>
      <w:tblPr/>
      <w:tcPr>
        <w:tcBorders>
          <w:top w:val="double" w:sz="4" w:space="0" w:color="D19EA7" w:themeColor="accent2" w:themeTint="99"/>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customStyle="1" w:styleId="GridTable6Colorful-Accent31">
    <w:name w:val="Grid Table 6 Colorful - Accent 31"/>
    <w:basedOn w:val="TableNormal"/>
    <w:uiPriority w:val="51"/>
    <w:semiHidden/>
    <w:rsid w:val="00C551E1"/>
    <w:pPr>
      <w:spacing w:after="0"/>
    </w:pPr>
    <w:rPr>
      <w:color w:val="AFABAB" w:themeColor="accent3" w:themeShade="BF"/>
    </w:r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rPr>
      <w:tblPr/>
      <w:tcPr>
        <w:tcBorders>
          <w:bottom w:val="single" w:sz="12" w:space="0" w:color="F1F0F0" w:themeColor="accent3" w:themeTint="99"/>
        </w:tcBorders>
      </w:tcPr>
    </w:tblStylePr>
    <w:tblStylePr w:type="lastRow">
      <w:rPr>
        <w:b/>
        <w:bCs/>
      </w:rPr>
      <w:tblPr/>
      <w:tcPr>
        <w:tcBorders>
          <w:top w:val="double" w:sz="4" w:space="0" w:color="F1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GridTable6Colorful-Accent41">
    <w:name w:val="Grid Table 6 Colorful - Accent 41"/>
    <w:basedOn w:val="TableNormal"/>
    <w:uiPriority w:val="51"/>
    <w:semiHidden/>
    <w:rsid w:val="00C551E1"/>
    <w:pPr>
      <w:spacing w:after="0"/>
    </w:pPr>
    <w:rPr>
      <w:color w:val="696464" w:themeColor="accent4" w:themeShade="BF"/>
    </w:r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rPr>
      <w:tblPr/>
      <w:tcPr>
        <w:tcBorders>
          <w:bottom w:val="single" w:sz="12" w:space="0" w:color="BAB6B6" w:themeColor="accent4" w:themeTint="99"/>
        </w:tcBorders>
      </w:tcPr>
    </w:tblStylePr>
    <w:tblStylePr w:type="lastRow">
      <w:rPr>
        <w:b/>
        <w:bCs/>
      </w:rPr>
      <w:tblPr/>
      <w:tcPr>
        <w:tcBorders>
          <w:top w:val="double" w:sz="4" w:space="0" w:color="BAB6B6" w:themeColor="accent4" w:themeTint="99"/>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customStyle="1" w:styleId="GridTable6Colorful-Accent51">
    <w:name w:val="Grid Table 6 Colorful - Accent 51"/>
    <w:basedOn w:val="TableNormal"/>
    <w:uiPriority w:val="51"/>
    <w:semiHidden/>
    <w:rsid w:val="00C551E1"/>
    <w:pPr>
      <w:spacing w:after="0"/>
    </w:pPr>
    <w:rPr>
      <w:color w:val="201F1F" w:themeColor="accent5" w:themeShade="BF"/>
    </w:r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rPr>
      <w:tblPr/>
      <w:tcPr>
        <w:tcBorders>
          <w:bottom w:val="single" w:sz="12" w:space="0" w:color="827C7C" w:themeColor="accent5" w:themeTint="99"/>
        </w:tcBorders>
      </w:tcPr>
    </w:tblStylePr>
    <w:tblStylePr w:type="lastRow">
      <w:rPr>
        <w:b/>
        <w:bCs/>
      </w:rPr>
      <w:tblPr/>
      <w:tcPr>
        <w:tcBorders>
          <w:top w:val="double" w:sz="4" w:space="0" w:color="827C7C" w:themeColor="accent5" w:themeTint="99"/>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customStyle="1" w:styleId="GridTable6Colorful-Accent61">
    <w:name w:val="Grid Table 6 Colorful - Accent 61"/>
    <w:basedOn w:val="TableNormal"/>
    <w:uiPriority w:val="51"/>
    <w:semiHidden/>
    <w:rsid w:val="00C551E1"/>
    <w:pPr>
      <w:spacing w:after="0"/>
    </w:pPr>
    <w:rPr>
      <w:color w:val="370A11" w:themeColor="accent6" w:themeShade="BF"/>
    </w:r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rPr>
      <w:tblPr/>
      <w:tcPr>
        <w:tcBorders>
          <w:bottom w:val="single" w:sz="12" w:space="0" w:color="D62946" w:themeColor="accent6" w:themeTint="99"/>
        </w:tcBorders>
      </w:tcPr>
    </w:tblStylePr>
    <w:tblStylePr w:type="lastRow">
      <w:rPr>
        <w:b/>
        <w:bCs/>
      </w:rPr>
      <w:tblPr/>
      <w:tcPr>
        <w:tcBorders>
          <w:top w:val="double" w:sz="4" w:space="0" w:color="D62946" w:themeColor="accent6" w:themeTint="99"/>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customStyle="1" w:styleId="GridTable7Colorful1">
    <w:name w:val="Grid Table 7 Colorful1"/>
    <w:basedOn w:val="TableNormal"/>
    <w:uiPriority w:val="52"/>
    <w:semiHidden/>
    <w:rsid w:val="00C551E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C551E1"/>
    <w:pPr>
      <w:spacing w:after="0"/>
    </w:pPr>
    <w:rPr>
      <w:color w:val="6D1423" w:themeColor="accent1" w:themeShade="BF"/>
    </w:r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6CD" w:themeFill="accent1" w:themeFillTint="33"/>
      </w:tcPr>
    </w:tblStylePr>
    <w:tblStylePr w:type="band1Horz">
      <w:tblPr/>
      <w:tcPr>
        <w:shd w:val="clear" w:color="auto" w:fill="F4C6CD" w:themeFill="accent1" w:themeFillTint="33"/>
      </w:tcPr>
    </w:tblStylePr>
    <w:tblStylePr w:type="neCell">
      <w:tblPr/>
      <w:tcPr>
        <w:tcBorders>
          <w:bottom w:val="single" w:sz="4" w:space="0" w:color="DF546B" w:themeColor="accent1" w:themeTint="99"/>
        </w:tcBorders>
      </w:tcPr>
    </w:tblStylePr>
    <w:tblStylePr w:type="nwCell">
      <w:tblPr/>
      <w:tcPr>
        <w:tcBorders>
          <w:bottom w:val="single" w:sz="4" w:space="0" w:color="DF546B" w:themeColor="accent1" w:themeTint="99"/>
        </w:tcBorders>
      </w:tcPr>
    </w:tblStylePr>
    <w:tblStylePr w:type="seCell">
      <w:tblPr/>
      <w:tcPr>
        <w:tcBorders>
          <w:top w:val="single" w:sz="4" w:space="0" w:color="DF546B" w:themeColor="accent1" w:themeTint="99"/>
        </w:tcBorders>
      </w:tcPr>
    </w:tblStylePr>
    <w:tblStylePr w:type="swCell">
      <w:tblPr/>
      <w:tcPr>
        <w:tcBorders>
          <w:top w:val="single" w:sz="4" w:space="0" w:color="DF546B" w:themeColor="accent1" w:themeTint="99"/>
        </w:tcBorders>
      </w:tcPr>
    </w:tblStylePr>
  </w:style>
  <w:style w:type="table" w:customStyle="1" w:styleId="GridTable7Colorful-Accent21">
    <w:name w:val="Grid Table 7 Colorful - Accent 21"/>
    <w:basedOn w:val="TableNormal"/>
    <w:uiPriority w:val="52"/>
    <w:semiHidden/>
    <w:rsid w:val="00C551E1"/>
    <w:pPr>
      <w:spacing w:after="0"/>
    </w:pPr>
    <w:rPr>
      <w:color w:val="8A424E" w:themeColor="accent2" w:themeShade="BF"/>
    </w:r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EE1" w:themeFill="accent2" w:themeFillTint="33"/>
      </w:tcPr>
    </w:tblStylePr>
    <w:tblStylePr w:type="band1Horz">
      <w:tblPr/>
      <w:tcPr>
        <w:shd w:val="clear" w:color="auto" w:fill="EFDEE1" w:themeFill="accent2" w:themeFillTint="33"/>
      </w:tcPr>
    </w:tblStylePr>
    <w:tblStylePr w:type="neCell">
      <w:tblPr/>
      <w:tcPr>
        <w:tcBorders>
          <w:bottom w:val="single" w:sz="4" w:space="0" w:color="D19EA7" w:themeColor="accent2" w:themeTint="99"/>
        </w:tcBorders>
      </w:tcPr>
    </w:tblStylePr>
    <w:tblStylePr w:type="nwCell">
      <w:tblPr/>
      <w:tcPr>
        <w:tcBorders>
          <w:bottom w:val="single" w:sz="4" w:space="0" w:color="D19EA7" w:themeColor="accent2" w:themeTint="99"/>
        </w:tcBorders>
      </w:tcPr>
    </w:tblStylePr>
    <w:tblStylePr w:type="seCell">
      <w:tblPr/>
      <w:tcPr>
        <w:tcBorders>
          <w:top w:val="single" w:sz="4" w:space="0" w:color="D19EA7" w:themeColor="accent2" w:themeTint="99"/>
        </w:tcBorders>
      </w:tcPr>
    </w:tblStylePr>
    <w:tblStylePr w:type="swCell">
      <w:tblPr/>
      <w:tcPr>
        <w:tcBorders>
          <w:top w:val="single" w:sz="4" w:space="0" w:color="D19EA7" w:themeColor="accent2" w:themeTint="99"/>
        </w:tcBorders>
      </w:tcPr>
    </w:tblStylePr>
  </w:style>
  <w:style w:type="table" w:customStyle="1" w:styleId="GridTable7Colorful-Accent31">
    <w:name w:val="Grid Table 7 Colorful - Accent 31"/>
    <w:basedOn w:val="TableNormal"/>
    <w:uiPriority w:val="52"/>
    <w:semiHidden/>
    <w:rsid w:val="00C551E1"/>
    <w:pPr>
      <w:spacing w:after="0"/>
    </w:pPr>
    <w:rPr>
      <w:color w:val="AFABAB" w:themeColor="accent3" w:themeShade="BF"/>
    </w:r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bottom w:val="single" w:sz="4" w:space="0" w:color="F1F0F0" w:themeColor="accent3" w:themeTint="99"/>
        </w:tcBorders>
      </w:tcPr>
    </w:tblStylePr>
    <w:tblStylePr w:type="nwCell">
      <w:tblPr/>
      <w:tcPr>
        <w:tcBorders>
          <w:bottom w:val="single" w:sz="4" w:space="0" w:color="F1F0F0" w:themeColor="accent3" w:themeTint="99"/>
        </w:tcBorders>
      </w:tcPr>
    </w:tblStylePr>
    <w:tblStylePr w:type="seCell">
      <w:tblPr/>
      <w:tcPr>
        <w:tcBorders>
          <w:top w:val="single" w:sz="4" w:space="0" w:color="F1F0F0" w:themeColor="accent3" w:themeTint="99"/>
        </w:tcBorders>
      </w:tcPr>
    </w:tblStylePr>
    <w:tblStylePr w:type="swCell">
      <w:tblPr/>
      <w:tcPr>
        <w:tcBorders>
          <w:top w:val="single" w:sz="4" w:space="0" w:color="F1F0F0" w:themeColor="accent3" w:themeTint="99"/>
        </w:tcBorders>
      </w:tcPr>
    </w:tblStylePr>
  </w:style>
  <w:style w:type="table" w:customStyle="1" w:styleId="GridTable7Colorful-Accent41">
    <w:name w:val="Grid Table 7 Colorful - Accent 41"/>
    <w:basedOn w:val="TableNormal"/>
    <w:uiPriority w:val="52"/>
    <w:semiHidden/>
    <w:rsid w:val="00C551E1"/>
    <w:pPr>
      <w:spacing w:after="0"/>
    </w:pPr>
    <w:rPr>
      <w:color w:val="696464" w:themeColor="accent4" w:themeShade="BF"/>
    </w:r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6E6" w:themeFill="accent4" w:themeFillTint="33"/>
      </w:tcPr>
    </w:tblStylePr>
    <w:tblStylePr w:type="band1Horz">
      <w:tblPr/>
      <w:tcPr>
        <w:shd w:val="clear" w:color="auto" w:fill="E8E6E6" w:themeFill="accent4" w:themeFillTint="33"/>
      </w:tcPr>
    </w:tblStylePr>
    <w:tblStylePr w:type="neCell">
      <w:tblPr/>
      <w:tcPr>
        <w:tcBorders>
          <w:bottom w:val="single" w:sz="4" w:space="0" w:color="BAB6B6" w:themeColor="accent4" w:themeTint="99"/>
        </w:tcBorders>
      </w:tcPr>
    </w:tblStylePr>
    <w:tblStylePr w:type="nwCell">
      <w:tblPr/>
      <w:tcPr>
        <w:tcBorders>
          <w:bottom w:val="single" w:sz="4" w:space="0" w:color="BAB6B6" w:themeColor="accent4" w:themeTint="99"/>
        </w:tcBorders>
      </w:tcPr>
    </w:tblStylePr>
    <w:tblStylePr w:type="seCell">
      <w:tblPr/>
      <w:tcPr>
        <w:tcBorders>
          <w:top w:val="single" w:sz="4" w:space="0" w:color="BAB6B6" w:themeColor="accent4" w:themeTint="99"/>
        </w:tcBorders>
      </w:tcPr>
    </w:tblStylePr>
    <w:tblStylePr w:type="swCell">
      <w:tblPr/>
      <w:tcPr>
        <w:tcBorders>
          <w:top w:val="single" w:sz="4" w:space="0" w:color="BAB6B6" w:themeColor="accent4" w:themeTint="99"/>
        </w:tcBorders>
      </w:tcPr>
    </w:tblStylePr>
  </w:style>
  <w:style w:type="table" w:customStyle="1" w:styleId="GridTable7Colorful-Accent51">
    <w:name w:val="Grid Table 7 Colorful - Accent 51"/>
    <w:basedOn w:val="TableNormal"/>
    <w:uiPriority w:val="52"/>
    <w:semiHidden/>
    <w:rsid w:val="00C551E1"/>
    <w:pPr>
      <w:spacing w:after="0"/>
    </w:pPr>
    <w:rPr>
      <w:color w:val="201F1F" w:themeColor="accent5" w:themeShade="BF"/>
    </w:r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3D3" w:themeFill="accent5" w:themeFillTint="33"/>
      </w:tcPr>
    </w:tblStylePr>
    <w:tblStylePr w:type="band1Horz">
      <w:tblPr/>
      <w:tcPr>
        <w:shd w:val="clear" w:color="auto" w:fill="D5D3D3" w:themeFill="accent5" w:themeFillTint="33"/>
      </w:tcPr>
    </w:tblStylePr>
    <w:tblStylePr w:type="neCell">
      <w:tblPr/>
      <w:tcPr>
        <w:tcBorders>
          <w:bottom w:val="single" w:sz="4" w:space="0" w:color="827C7C" w:themeColor="accent5" w:themeTint="99"/>
        </w:tcBorders>
      </w:tcPr>
    </w:tblStylePr>
    <w:tblStylePr w:type="nwCell">
      <w:tblPr/>
      <w:tcPr>
        <w:tcBorders>
          <w:bottom w:val="single" w:sz="4" w:space="0" w:color="827C7C" w:themeColor="accent5" w:themeTint="99"/>
        </w:tcBorders>
      </w:tcPr>
    </w:tblStylePr>
    <w:tblStylePr w:type="seCell">
      <w:tblPr/>
      <w:tcPr>
        <w:tcBorders>
          <w:top w:val="single" w:sz="4" w:space="0" w:color="827C7C" w:themeColor="accent5" w:themeTint="99"/>
        </w:tcBorders>
      </w:tcPr>
    </w:tblStylePr>
    <w:tblStylePr w:type="swCell">
      <w:tblPr/>
      <w:tcPr>
        <w:tcBorders>
          <w:top w:val="single" w:sz="4" w:space="0" w:color="827C7C" w:themeColor="accent5" w:themeTint="99"/>
        </w:tcBorders>
      </w:tcPr>
    </w:tblStylePr>
  </w:style>
  <w:style w:type="table" w:customStyle="1" w:styleId="GridTable7Colorful-Accent61">
    <w:name w:val="Grid Table 7 Colorful - Accent 61"/>
    <w:basedOn w:val="TableNormal"/>
    <w:uiPriority w:val="52"/>
    <w:semiHidden/>
    <w:rsid w:val="00C551E1"/>
    <w:pPr>
      <w:spacing w:after="0"/>
    </w:pPr>
    <w:rPr>
      <w:color w:val="370A11" w:themeColor="accent6" w:themeShade="BF"/>
    </w:r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B7C1" w:themeFill="accent6" w:themeFillTint="33"/>
      </w:tcPr>
    </w:tblStylePr>
    <w:tblStylePr w:type="band1Horz">
      <w:tblPr/>
      <w:tcPr>
        <w:shd w:val="clear" w:color="auto" w:fill="F1B7C1" w:themeFill="accent6" w:themeFillTint="33"/>
      </w:tcPr>
    </w:tblStylePr>
    <w:tblStylePr w:type="neCell">
      <w:tblPr/>
      <w:tcPr>
        <w:tcBorders>
          <w:bottom w:val="single" w:sz="4" w:space="0" w:color="D62946" w:themeColor="accent6" w:themeTint="99"/>
        </w:tcBorders>
      </w:tcPr>
    </w:tblStylePr>
    <w:tblStylePr w:type="nwCell">
      <w:tblPr/>
      <w:tcPr>
        <w:tcBorders>
          <w:bottom w:val="single" w:sz="4" w:space="0" w:color="D62946" w:themeColor="accent6" w:themeTint="99"/>
        </w:tcBorders>
      </w:tcPr>
    </w:tblStylePr>
    <w:tblStylePr w:type="seCell">
      <w:tblPr/>
      <w:tcPr>
        <w:tcBorders>
          <w:top w:val="single" w:sz="4" w:space="0" w:color="D62946" w:themeColor="accent6" w:themeTint="99"/>
        </w:tcBorders>
      </w:tcPr>
    </w:tblStylePr>
    <w:tblStylePr w:type="swCell">
      <w:tblPr/>
      <w:tcPr>
        <w:tcBorders>
          <w:top w:val="single" w:sz="4" w:space="0" w:color="D62946" w:themeColor="accent6" w:themeTint="99"/>
        </w:tcBorders>
      </w:tcPr>
    </w:tblStylePr>
  </w:style>
  <w:style w:type="table" w:styleId="LightGrid">
    <w:name w:val="Light Grid"/>
    <w:basedOn w:val="TableNormal"/>
    <w:uiPriority w:val="62"/>
    <w:semiHidden/>
    <w:unhideWhenUsed/>
    <w:locked/>
    <w:rsid w:val="00C551E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C551E1"/>
    <w:pPr>
      <w:spacing w:after="0"/>
    </w:pPr>
    <w:tblPr>
      <w:tblStyleRowBandSize w:val="1"/>
      <w:tblStyleColBandSize w:val="1"/>
      <w:tblBorders>
        <w:top w:val="single" w:sz="8" w:space="0" w:color="931B2F" w:themeColor="accent1"/>
        <w:left w:val="single" w:sz="8" w:space="0" w:color="931B2F" w:themeColor="accent1"/>
        <w:bottom w:val="single" w:sz="8" w:space="0" w:color="931B2F" w:themeColor="accent1"/>
        <w:right w:val="single" w:sz="8" w:space="0" w:color="931B2F" w:themeColor="accent1"/>
        <w:insideH w:val="single" w:sz="8" w:space="0" w:color="931B2F" w:themeColor="accent1"/>
        <w:insideV w:val="single" w:sz="8" w:space="0" w:color="931B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1B2F" w:themeColor="accent1"/>
          <w:left w:val="single" w:sz="8" w:space="0" w:color="931B2F" w:themeColor="accent1"/>
          <w:bottom w:val="single" w:sz="18" w:space="0" w:color="931B2F" w:themeColor="accent1"/>
          <w:right w:val="single" w:sz="8" w:space="0" w:color="931B2F" w:themeColor="accent1"/>
          <w:insideH w:val="nil"/>
          <w:insideV w:val="single" w:sz="8" w:space="0" w:color="931B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1B2F" w:themeColor="accent1"/>
          <w:left w:val="single" w:sz="8" w:space="0" w:color="931B2F" w:themeColor="accent1"/>
          <w:bottom w:val="single" w:sz="8" w:space="0" w:color="931B2F" w:themeColor="accent1"/>
          <w:right w:val="single" w:sz="8" w:space="0" w:color="931B2F" w:themeColor="accent1"/>
          <w:insideH w:val="nil"/>
          <w:insideV w:val="single" w:sz="8" w:space="0" w:color="931B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1B2F" w:themeColor="accent1"/>
          <w:left w:val="single" w:sz="8" w:space="0" w:color="931B2F" w:themeColor="accent1"/>
          <w:bottom w:val="single" w:sz="8" w:space="0" w:color="931B2F" w:themeColor="accent1"/>
          <w:right w:val="single" w:sz="8" w:space="0" w:color="931B2F" w:themeColor="accent1"/>
        </w:tcBorders>
      </w:tcPr>
    </w:tblStylePr>
    <w:tblStylePr w:type="band1Vert">
      <w:tblPr/>
      <w:tcPr>
        <w:tcBorders>
          <w:top w:val="single" w:sz="8" w:space="0" w:color="931B2F" w:themeColor="accent1"/>
          <w:left w:val="single" w:sz="8" w:space="0" w:color="931B2F" w:themeColor="accent1"/>
          <w:bottom w:val="single" w:sz="8" w:space="0" w:color="931B2F" w:themeColor="accent1"/>
          <w:right w:val="single" w:sz="8" w:space="0" w:color="931B2F" w:themeColor="accent1"/>
        </w:tcBorders>
        <w:shd w:val="clear" w:color="auto" w:fill="F2B8C1" w:themeFill="accent1" w:themeFillTint="3F"/>
      </w:tcPr>
    </w:tblStylePr>
    <w:tblStylePr w:type="band1Horz">
      <w:tblPr/>
      <w:tcPr>
        <w:tcBorders>
          <w:top w:val="single" w:sz="8" w:space="0" w:color="931B2F" w:themeColor="accent1"/>
          <w:left w:val="single" w:sz="8" w:space="0" w:color="931B2F" w:themeColor="accent1"/>
          <w:bottom w:val="single" w:sz="8" w:space="0" w:color="931B2F" w:themeColor="accent1"/>
          <w:right w:val="single" w:sz="8" w:space="0" w:color="931B2F" w:themeColor="accent1"/>
          <w:insideV w:val="single" w:sz="8" w:space="0" w:color="931B2F" w:themeColor="accent1"/>
        </w:tcBorders>
        <w:shd w:val="clear" w:color="auto" w:fill="F2B8C1" w:themeFill="accent1" w:themeFillTint="3F"/>
      </w:tcPr>
    </w:tblStylePr>
    <w:tblStylePr w:type="band2Horz">
      <w:tblPr/>
      <w:tcPr>
        <w:tcBorders>
          <w:top w:val="single" w:sz="8" w:space="0" w:color="931B2F" w:themeColor="accent1"/>
          <w:left w:val="single" w:sz="8" w:space="0" w:color="931B2F" w:themeColor="accent1"/>
          <w:bottom w:val="single" w:sz="8" w:space="0" w:color="931B2F" w:themeColor="accent1"/>
          <w:right w:val="single" w:sz="8" w:space="0" w:color="931B2F" w:themeColor="accent1"/>
          <w:insideV w:val="single" w:sz="8" w:space="0" w:color="931B2F" w:themeColor="accent1"/>
        </w:tcBorders>
      </w:tcPr>
    </w:tblStylePr>
  </w:style>
  <w:style w:type="table" w:styleId="LightGrid-Accent2">
    <w:name w:val="Light Grid Accent 2"/>
    <w:basedOn w:val="TableNormal"/>
    <w:uiPriority w:val="62"/>
    <w:semiHidden/>
    <w:unhideWhenUsed/>
    <w:locked/>
    <w:rsid w:val="00C551E1"/>
    <w:pPr>
      <w:spacing w:after="0"/>
    </w:pPr>
    <w:tblPr>
      <w:tblStyleRowBandSize w:val="1"/>
      <w:tblStyleColBandSize w:val="1"/>
      <w:tblBorders>
        <w:top w:val="single" w:sz="8" w:space="0" w:color="B35F6D" w:themeColor="accent2"/>
        <w:left w:val="single" w:sz="8" w:space="0" w:color="B35F6D" w:themeColor="accent2"/>
        <w:bottom w:val="single" w:sz="8" w:space="0" w:color="B35F6D" w:themeColor="accent2"/>
        <w:right w:val="single" w:sz="8" w:space="0" w:color="B35F6D" w:themeColor="accent2"/>
        <w:insideH w:val="single" w:sz="8" w:space="0" w:color="B35F6D" w:themeColor="accent2"/>
        <w:insideV w:val="single" w:sz="8" w:space="0" w:color="B35F6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5F6D" w:themeColor="accent2"/>
          <w:left w:val="single" w:sz="8" w:space="0" w:color="B35F6D" w:themeColor="accent2"/>
          <w:bottom w:val="single" w:sz="18" w:space="0" w:color="B35F6D" w:themeColor="accent2"/>
          <w:right w:val="single" w:sz="8" w:space="0" w:color="B35F6D" w:themeColor="accent2"/>
          <w:insideH w:val="nil"/>
          <w:insideV w:val="single" w:sz="8" w:space="0" w:color="B35F6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5F6D" w:themeColor="accent2"/>
          <w:left w:val="single" w:sz="8" w:space="0" w:color="B35F6D" w:themeColor="accent2"/>
          <w:bottom w:val="single" w:sz="8" w:space="0" w:color="B35F6D" w:themeColor="accent2"/>
          <w:right w:val="single" w:sz="8" w:space="0" w:color="B35F6D" w:themeColor="accent2"/>
          <w:insideH w:val="nil"/>
          <w:insideV w:val="single" w:sz="8" w:space="0" w:color="B35F6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5F6D" w:themeColor="accent2"/>
          <w:left w:val="single" w:sz="8" w:space="0" w:color="B35F6D" w:themeColor="accent2"/>
          <w:bottom w:val="single" w:sz="8" w:space="0" w:color="B35F6D" w:themeColor="accent2"/>
          <w:right w:val="single" w:sz="8" w:space="0" w:color="B35F6D" w:themeColor="accent2"/>
        </w:tcBorders>
      </w:tcPr>
    </w:tblStylePr>
    <w:tblStylePr w:type="band1Vert">
      <w:tblPr/>
      <w:tcPr>
        <w:tcBorders>
          <w:top w:val="single" w:sz="8" w:space="0" w:color="B35F6D" w:themeColor="accent2"/>
          <w:left w:val="single" w:sz="8" w:space="0" w:color="B35F6D" w:themeColor="accent2"/>
          <w:bottom w:val="single" w:sz="8" w:space="0" w:color="B35F6D" w:themeColor="accent2"/>
          <w:right w:val="single" w:sz="8" w:space="0" w:color="B35F6D" w:themeColor="accent2"/>
        </w:tcBorders>
        <w:shd w:val="clear" w:color="auto" w:fill="ECD7DA" w:themeFill="accent2" w:themeFillTint="3F"/>
      </w:tcPr>
    </w:tblStylePr>
    <w:tblStylePr w:type="band1Horz">
      <w:tblPr/>
      <w:tcPr>
        <w:tcBorders>
          <w:top w:val="single" w:sz="8" w:space="0" w:color="B35F6D" w:themeColor="accent2"/>
          <w:left w:val="single" w:sz="8" w:space="0" w:color="B35F6D" w:themeColor="accent2"/>
          <w:bottom w:val="single" w:sz="8" w:space="0" w:color="B35F6D" w:themeColor="accent2"/>
          <w:right w:val="single" w:sz="8" w:space="0" w:color="B35F6D" w:themeColor="accent2"/>
          <w:insideV w:val="single" w:sz="8" w:space="0" w:color="B35F6D" w:themeColor="accent2"/>
        </w:tcBorders>
        <w:shd w:val="clear" w:color="auto" w:fill="ECD7DA" w:themeFill="accent2" w:themeFillTint="3F"/>
      </w:tcPr>
    </w:tblStylePr>
    <w:tblStylePr w:type="band2Horz">
      <w:tblPr/>
      <w:tcPr>
        <w:tcBorders>
          <w:top w:val="single" w:sz="8" w:space="0" w:color="B35F6D" w:themeColor="accent2"/>
          <w:left w:val="single" w:sz="8" w:space="0" w:color="B35F6D" w:themeColor="accent2"/>
          <w:bottom w:val="single" w:sz="8" w:space="0" w:color="B35F6D" w:themeColor="accent2"/>
          <w:right w:val="single" w:sz="8" w:space="0" w:color="B35F6D" w:themeColor="accent2"/>
          <w:insideV w:val="single" w:sz="8" w:space="0" w:color="B35F6D" w:themeColor="accent2"/>
        </w:tcBorders>
      </w:tcPr>
    </w:tblStylePr>
  </w:style>
  <w:style w:type="table" w:styleId="LightGrid-Accent3">
    <w:name w:val="Light Grid Accent 3"/>
    <w:basedOn w:val="TableNormal"/>
    <w:uiPriority w:val="62"/>
    <w:semiHidden/>
    <w:unhideWhenUsed/>
    <w:locked/>
    <w:rsid w:val="00C551E1"/>
    <w:pPr>
      <w:spacing w:after="0"/>
    </w:pPr>
    <w:tblPr>
      <w:tblStyleRowBandSize w:val="1"/>
      <w:tblStyleColBandSize w:val="1"/>
      <w:tblBorders>
        <w:top w:val="single" w:sz="8" w:space="0" w:color="E8E7E7" w:themeColor="accent3"/>
        <w:left w:val="single" w:sz="8" w:space="0" w:color="E8E7E7" w:themeColor="accent3"/>
        <w:bottom w:val="single" w:sz="8" w:space="0" w:color="E8E7E7" w:themeColor="accent3"/>
        <w:right w:val="single" w:sz="8" w:space="0" w:color="E8E7E7" w:themeColor="accent3"/>
        <w:insideH w:val="single" w:sz="8" w:space="0" w:color="E8E7E7" w:themeColor="accent3"/>
        <w:insideV w:val="single" w:sz="8" w:space="0" w:color="E8E7E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E7E7" w:themeColor="accent3"/>
          <w:left w:val="single" w:sz="8" w:space="0" w:color="E8E7E7" w:themeColor="accent3"/>
          <w:bottom w:val="single" w:sz="18" w:space="0" w:color="E8E7E7" w:themeColor="accent3"/>
          <w:right w:val="single" w:sz="8" w:space="0" w:color="E8E7E7" w:themeColor="accent3"/>
          <w:insideH w:val="nil"/>
          <w:insideV w:val="single" w:sz="8" w:space="0" w:color="E8E7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E7E7" w:themeColor="accent3"/>
          <w:left w:val="single" w:sz="8" w:space="0" w:color="E8E7E7" w:themeColor="accent3"/>
          <w:bottom w:val="single" w:sz="8" w:space="0" w:color="E8E7E7" w:themeColor="accent3"/>
          <w:right w:val="single" w:sz="8" w:space="0" w:color="E8E7E7" w:themeColor="accent3"/>
          <w:insideH w:val="nil"/>
          <w:insideV w:val="single" w:sz="8" w:space="0" w:color="E8E7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E7E7" w:themeColor="accent3"/>
          <w:left w:val="single" w:sz="8" w:space="0" w:color="E8E7E7" w:themeColor="accent3"/>
          <w:bottom w:val="single" w:sz="8" w:space="0" w:color="E8E7E7" w:themeColor="accent3"/>
          <w:right w:val="single" w:sz="8" w:space="0" w:color="E8E7E7" w:themeColor="accent3"/>
        </w:tcBorders>
      </w:tcPr>
    </w:tblStylePr>
    <w:tblStylePr w:type="band1Vert">
      <w:tblPr/>
      <w:tcPr>
        <w:tcBorders>
          <w:top w:val="single" w:sz="8" w:space="0" w:color="E8E7E7" w:themeColor="accent3"/>
          <w:left w:val="single" w:sz="8" w:space="0" w:color="E8E7E7" w:themeColor="accent3"/>
          <w:bottom w:val="single" w:sz="8" w:space="0" w:color="E8E7E7" w:themeColor="accent3"/>
          <w:right w:val="single" w:sz="8" w:space="0" w:color="E8E7E7" w:themeColor="accent3"/>
        </w:tcBorders>
        <w:shd w:val="clear" w:color="auto" w:fill="F9F9F9" w:themeFill="accent3" w:themeFillTint="3F"/>
      </w:tcPr>
    </w:tblStylePr>
    <w:tblStylePr w:type="band1Horz">
      <w:tblPr/>
      <w:tcPr>
        <w:tcBorders>
          <w:top w:val="single" w:sz="8" w:space="0" w:color="E8E7E7" w:themeColor="accent3"/>
          <w:left w:val="single" w:sz="8" w:space="0" w:color="E8E7E7" w:themeColor="accent3"/>
          <w:bottom w:val="single" w:sz="8" w:space="0" w:color="E8E7E7" w:themeColor="accent3"/>
          <w:right w:val="single" w:sz="8" w:space="0" w:color="E8E7E7" w:themeColor="accent3"/>
          <w:insideV w:val="single" w:sz="8" w:space="0" w:color="E8E7E7" w:themeColor="accent3"/>
        </w:tcBorders>
        <w:shd w:val="clear" w:color="auto" w:fill="F9F9F9" w:themeFill="accent3" w:themeFillTint="3F"/>
      </w:tcPr>
    </w:tblStylePr>
    <w:tblStylePr w:type="band2Horz">
      <w:tblPr/>
      <w:tcPr>
        <w:tcBorders>
          <w:top w:val="single" w:sz="8" w:space="0" w:color="E8E7E7" w:themeColor="accent3"/>
          <w:left w:val="single" w:sz="8" w:space="0" w:color="E8E7E7" w:themeColor="accent3"/>
          <w:bottom w:val="single" w:sz="8" w:space="0" w:color="E8E7E7" w:themeColor="accent3"/>
          <w:right w:val="single" w:sz="8" w:space="0" w:color="E8E7E7" w:themeColor="accent3"/>
          <w:insideV w:val="single" w:sz="8" w:space="0" w:color="E8E7E7" w:themeColor="accent3"/>
        </w:tcBorders>
      </w:tcPr>
    </w:tblStylePr>
  </w:style>
  <w:style w:type="table" w:styleId="LightGrid-Accent4">
    <w:name w:val="Light Grid Accent 4"/>
    <w:basedOn w:val="TableNormal"/>
    <w:uiPriority w:val="62"/>
    <w:semiHidden/>
    <w:unhideWhenUsed/>
    <w:locked/>
    <w:rsid w:val="00C551E1"/>
    <w:pPr>
      <w:spacing w:after="0"/>
    </w:pPr>
    <w:tblPr>
      <w:tblStyleRowBandSize w:val="1"/>
      <w:tblStyleColBandSize w:val="1"/>
      <w:tblBorders>
        <w:top w:val="single" w:sz="8" w:space="0" w:color="8C8686" w:themeColor="accent4"/>
        <w:left w:val="single" w:sz="8" w:space="0" w:color="8C8686" w:themeColor="accent4"/>
        <w:bottom w:val="single" w:sz="8" w:space="0" w:color="8C8686" w:themeColor="accent4"/>
        <w:right w:val="single" w:sz="8" w:space="0" w:color="8C8686" w:themeColor="accent4"/>
        <w:insideH w:val="single" w:sz="8" w:space="0" w:color="8C8686" w:themeColor="accent4"/>
        <w:insideV w:val="single" w:sz="8" w:space="0" w:color="8C868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686" w:themeColor="accent4"/>
          <w:left w:val="single" w:sz="8" w:space="0" w:color="8C8686" w:themeColor="accent4"/>
          <w:bottom w:val="single" w:sz="18" w:space="0" w:color="8C8686" w:themeColor="accent4"/>
          <w:right w:val="single" w:sz="8" w:space="0" w:color="8C8686" w:themeColor="accent4"/>
          <w:insideH w:val="nil"/>
          <w:insideV w:val="single" w:sz="8" w:space="0" w:color="8C868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686" w:themeColor="accent4"/>
          <w:left w:val="single" w:sz="8" w:space="0" w:color="8C8686" w:themeColor="accent4"/>
          <w:bottom w:val="single" w:sz="8" w:space="0" w:color="8C8686" w:themeColor="accent4"/>
          <w:right w:val="single" w:sz="8" w:space="0" w:color="8C8686" w:themeColor="accent4"/>
          <w:insideH w:val="nil"/>
          <w:insideV w:val="single" w:sz="8" w:space="0" w:color="8C868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686" w:themeColor="accent4"/>
          <w:left w:val="single" w:sz="8" w:space="0" w:color="8C8686" w:themeColor="accent4"/>
          <w:bottom w:val="single" w:sz="8" w:space="0" w:color="8C8686" w:themeColor="accent4"/>
          <w:right w:val="single" w:sz="8" w:space="0" w:color="8C8686" w:themeColor="accent4"/>
        </w:tcBorders>
      </w:tcPr>
    </w:tblStylePr>
    <w:tblStylePr w:type="band1Vert">
      <w:tblPr/>
      <w:tcPr>
        <w:tcBorders>
          <w:top w:val="single" w:sz="8" w:space="0" w:color="8C8686" w:themeColor="accent4"/>
          <w:left w:val="single" w:sz="8" w:space="0" w:color="8C8686" w:themeColor="accent4"/>
          <w:bottom w:val="single" w:sz="8" w:space="0" w:color="8C8686" w:themeColor="accent4"/>
          <w:right w:val="single" w:sz="8" w:space="0" w:color="8C8686" w:themeColor="accent4"/>
        </w:tcBorders>
        <w:shd w:val="clear" w:color="auto" w:fill="E2E1E1" w:themeFill="accent4" w:themeFillTint="3F"/>
      </w:tcPr>
    </w:tblStylePr>
    <w:tblStylePr w:type="band1Horz">
      <w:tblPr/>
      <w:tcPr>
        <w:tcBorders>
          <w:top w:val="single" w:sz="8" w:space="0" w:color="8C8686" w:themeColor="accent4"/>
          <w:left w:val="single" w:sz="8" w:space="0" w:color="8C8686" w:themeColor="accent4"/>
          <w:bottom w:val="single" w:sz="8" w:space="0" w:color="8C8686" w:themeColor="accent4"/>
          <w:right w:val="single" w:sz="8" w:space="0" w:color="8C8686" w:themeColor="accent4"/>
          <w:insideV w:val="single" w:sz="8" w:space="0" w:color="8C8686" w:themeColor="accent4"/>
        </w:tcBorders>
        <w:shd w:val="clear" w:color="auto" w:fill="E2E1E1" w:themeFill="accent4" w:themeFillTint="3F"/>
      </w:tcPr>
    </w:tblStylePr>
    <w:tblStylePr w:type="band2Horz">
      <w:tblPr/>
      <w:tcPr>
        <w:tcBorders>
          <w:top w:val="single" w:sz="8" w:space="0" w:color="8C8686" w:themeColor="accent4"/>
          <w:left w:val="single" w:sz="8" w:space="0" w:color="8C8686" w:themeColor="accent4"/>
          <w:bottom w:val="single" w:sz="8" w:space="0" w:color="8C8686" w:themeColor="accent4"/>
          <w:right w:val="single" w:sz="8" w:space="0" w:color="8C8686" w:themeColor="accent4"/>
          <w:insideV w:val="single" w:sz="8" w:space="0" w:color="8C8686" w:themeColor="accent4"/>
        </w:tcBorders>
      </w:tcPr>
    </w:tblStylePr>
  </w:style>
  <w:style w:type="table" w:styleId="LightGrid-Accent5">
    <w:name w:val="Light Grid Accent 5"/>
    <w:basedOn w:val="TableNormal"/>
    <w:uiPriority w:val="62"/>
    <w:semiHidden/>
    <w:unhideWhenUsed/>
    <w:locked/>
    <w:rsid w:val="00C551E1"/>
    <w:pPr>
      <w:spacing w:after="0"/>
    </w:pPr>
    <w:tblPr>
      <w:tblStyleRowBandSize w:val="1"/>
      <w:tblStyleColBandSize w:val="1"/>
      <w:tblBorders>
        <w:top w:val="single" w:sz="8" w:space="0" w:color="2C2A2A" w:themeColor="accent5"/>
        <w:left w:val="single" w:sz="8" w:space="0" w:color="2C2A2A" w:themeColor="accent5"/>
        <w:bottom w:val="single" w:sz="8" w:space="0" w:color="2C2A2A" w:themeColor="accent5"/>
        <w:right w:val="single" w:sz="8" w:space="0" w:color="2C2A2A" w:themeColor="accent5"/>
        <w:insideH w:val="single" w:sz="8" w:space="0" w:color="2C2A2A" w:themeColor="accent5"/>
        <w:insideV w:val="single" w:sz="8" w:space="0" w:color="2C2A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2A2A" w:themeColor="accent5"/>
          <w:left w:val="single" w:sz="8" w:space="0" w:color="2C2A2A" w:themeColor="accent5"/>
          <w:bottom w:val="single" w:sz="18" w:space="0" w:color="2C2A2A" w:themeColor="accent5"/>
          <w:right w:val="single" w:sz="8" w:space="0" w:color="2C2A2A" w:themeColor="accent5"/>
          <w:insideH w:val="nil"/>
          <w:insideV w:val="single" w:sz="8" w:space="0" w:color="2C2A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2A2A" w:themeColor="accent5"/>
          <w:left w:val="single" w:sz="8" w:space="0" w:color="2C2A2A" w:themeColor="accent5"/>
          <w:bottom w:val="single" w:sz="8" w:space="0" w:color="2C2A2A" w:themeColor="accent5"/>
          <w:right w:val="single" w:sz="8" w:space="0" w:color="2C2A2A" w:themeColor="accent5"/>
          <w:insideH w:val="nil"/>
          <w:insideV w:val="single" w:sz="8" w:space="0" w:color="2C2A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2A2A" w:themeColor="accent5"/>
          <w:left w:val="single" w:sz="8" w:space="0" w:color="2C2A2A" w:themeColor="accent5"/>
          <w:bottom w:val="single" w:sz="8" w:space="0" w:color="2C2A2A" w:themeColor="accent5"/>
          <w:right w:val="single" w:sz="8" w:space="0" w:color="2C2A2A" w:themeColor="accent5"/>
        </w:tcBorders>
      </w:tcPr>
    </w:tblStylePr>
    <w:tblStylePr w:type="band1Vert">
      <w:tblPr/>
      <w:tcPr>
        <w:tcBorders>
          <w:top w:val="single" w:sz="8" w:space="0" w:color="2C2A2A" w:themeColor="accent5"/>
          <w:left w:val="single" w:sz="8" w:space="0" w:color="2C2A2A" w:themeColor="accent5"/>
          <w:bottom w:val="single" w:sz="8" w:space="0" w:color="2C2A2A" w:themeColor="accent5"/>
          <w:right w:val="single" w:sz="8" w:space="0" w:color="2C2A2A" w:themeColor="accent5"/>
        </w:tcBorders>
        <w:shd w:val="clear" w:color="auto" w:fill="CBC9C9" w:themeFill="accent5" w:themeFillTint="3F"/>
      </w:tcPr>
    </w:tblStylePr>
    <w:tblStylePr w:type="band1Horz">
      <w:tblPr/>
      <w:tcPr>
        <w:tcBorders>
          <w:top w:val="single" w:sz="8" w:space="0" w:color="2C2A2A" w:themeColor="accent5"/>
          <w:left w:val="single" w:sz="8" w:space="0" w:color="2C2A2A" w:themeColor="accent5"/>
          <w:bottom w:val="single" w:sz="8" w:space="0" w:color="2C2A2A" w:themeColor="accent5"/>
          <w:right w:val="single" w:sz="8" w:space="0" w:color="2C2A2A" w:themeColor="accent5"/>
          <w:insideV w:val="single" w:sz="8" w:space="0" w:color="2C2A2A" w:themeColor="accent5"/>
        </w:tcBorders>
        <w:shd w:val="clear" w:color="auto" w:fill="CBC9C9" w:themeFill="accent5" w:themeFillTint="3F"/>
      </w:tcPr>
    </w:tblStylePr>
    <w:tblStylePr w:type="band2Horz">
      <w:tblPr/>
      <w:tcPr>
        <w:tcBorders>
          <w:top w:val="single" w:sz="8" w:space="0" w:color="2C2A2A" w:themeColor="accent5"/>
          <w:left w:val="single" w:sz="8" w:space="0" w:color="2C2A2A" w:themeColor="accent5"/>
          <w:bottom w:val="single" w:sz="8" w:space="0" w:color="2C2A2A" w:themeColor="accent5"/>
          <w:right w:val="single" w:sz="8" w:space="0" w:color="2C2A2A" w:themeColor="accent5"/>
          <w:insideV w:val="single" w:sz="8" w:space="0" w:color="2C2A2A" w:themeColor="accent5"/>
        </w:tcBorders>
      </w:tcPr>
    </w:tblStylePr>
  </w:style>
  <w:style w:type="table" w:styleId="LightGrid-Accent6">
    <w:name w:val="Light Grid Accent 6"/>
    <w:basedOn w:val="TableNormal"/>
    <w:uiPriority w:val="62"/>
    <w:semiHidden/>
    <w:unhideWhenUsed/>
    <w:locked/>
    <w:rsid w:val="00C551E1"/>
    <w:pPr>
      <w:spacing w:after="0"/>
    </w:pPr>
    <w:tblPr>
      <w:tblStyleRowBandSize w:val="1"/>
      <w:tblStyleColBandSize w:val="1"/>
      <w:tblBorders>
        <w:top w:val="single" w:sz="8" w:space="0" w:color="4A0E18" w:themeColor="accent6"/>
        <w:left w:val="single" w:sz="8" w:space="0" w:color="4A0E18" w:themeColor="accent6"/>
        <w:bottom w:val="single" w:sz="8" w:space="0" w:color="4A0E18" w:themeColor="accent6"/>
        <w:right w:val="single" w:sz="8" w:space="0" w:color="4A0E18" w:themeColor="accent6"/>
        <w:insideH w:val="single" w:sz="8" w:space="0" w:color="4A0E18" w:themeColor="accent6"/>
        <w:insideV w:val="single" w:sz="8" w:space="0" w:color="4A0E1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0E18" w:themeColor="accent6"/>
          <w:left w:val="single" w:sz="8" w:space="0" w:color="4A0E18" w:themeColor="accent6"/>
          <w:bottom w:val="single" w:sz="18" w:space="0" w:color="4A0E18" w:themeColor="accent6"/>
          <w:right w:val="single" w:sz="8" w:space="0" w:color="4A0E18" w:themeColor="accent6"/>
          <w:insideH w:val="nil"/>
          <w:insideV w:val="single" w:sz="8" w:space="0" w:color="4A0E1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0E18" w:themeColor="accent6"/>
          <w:left w:val="single" w:sz="8" w:space="0" w:color="4A0E18" w:themeColor="accent6"/>
          <w:bottom w:val="single" w:sz="8" w:space="0" w:color="4A0E18" w:themeColor="accent6"/>
          <w:right w:val="single" w:sz="8" w:space="0" w:color="4A0E18" w:themeColor="accent6"/>
          <w:insideH w:val="nil"/>
          <w:insideV w:val="single" w:sz="8" w:space="0" w:color="4A0E1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0E18" w:themeColor="accent6"/>
          <w:left w:val="single" w:sz="8" w:space="0" w:color="4A0E18" w:themeColor="accent6"/>
          <w:bottom w:val="single" w:sz="8" w:space="0" w:color="4A0E18" w:themeColor="accent6"/>
          <w:right w:val="single" w:sz="8" w:space="0" w:color="4A0E18" w:themeColor="accent6"/>
        </w:tcBorders>
      </w:tcPr>
    </w:tblStylePr>
    <w:tblStylePr w:type="band1Vert">
      <w:tblPr/>
      <w:tcPr>
        <w:tcBorders>
          <w:top w:val="single" w:sz="8" w:space="0" w:color="4A0E18" w:themeColor="accent6"/>
          <w:left w:val="single" w:sz="8" w:space="0" w:color="4A0E18" w:themeColor="accent6"/>
          <w:bottom w:val="single" w:sz="8" w:space="0" w:color="4A0E18" w:themeColor="accent6"/>
          <w:right w:val="single" w:sz="8" w:space="0" w:color="4A0E18" w:themeColor="accent6"/>
        </w:tcBorders>
        <w:shd w:val="clear" w:color="auto" w:fill="EEA7B2" w:themeFill="accent6" w:themeFillTint="3F"/>
      </w:tcPr>
    </w:tblStylePr>
    <w:tblStylePr w:type="band1Horz">
      <w:tblPr/>
      <w:tcPr>
        <w:tcBorders>
          <w:top w:val="single" w:sz="8" w:space="0" w:color="4A0E18" w:themeColor="accent6"/>
          <w:left w:val="single" w:sz="8" w:space="0" w:color="4A0E18" w:themeColor="accent6"/>
          <w:bottom w:val="single" w:sz="8" w:space="0" w:color="4A0E18" w:themeColor="accent6"/>
          <w:right w:val="single" w:sz="8" w:space="0" w:color="4A0E18" w:themeColor="accent6"/>
          <w:insideV w:val="single" w:sz="8" w:space="0" w:color="4A0E18" w:themeColor="accent6"/>
        </w:tcBorders>
        <w:shd w:val="clear" w:color="auto" w:fill="EEA7B2" w:themeFill="accent6" w:themeFillTint="3F"/>
      </w:tcPr>
    </w:tblStylePr>
    <w:tblStylePr w:type="band2Horz">
      <w:tblPr/>
      <w:tcPr>
        <w:tcBorders>
          <w:top w:val="single" w:sz="8" w:space="0" w:color="4A0E18" w:themeColor="accent6"/>
          <w:left w:val="single" w:sz="8" w:space="0" w:color="4A0E18" w:themeColor="accent6"/>
          <w:bottom w:val="single" w:sz="8" w:space="0" w:color="4A0E18" w:themeColor="accent6"/>
          <w:right w:val="single" w:sz="8" w:space="0" w:color="4A0E18" w:themeColor="accent6"/>
          <w:insideV w:val="single" w:sz="8" w:space="0" w:color="4A0E18" w:themeColor="accent6"/>
        </w:tcBorders>
      </w:tcPr>
    </w:tblStylePr>
  </w:style>
  <w:style w:type="table" w:styleId="LightList">
    <w:name w:val="Light List"/>
    <w:basedOn w:val="TableNormal"/>
    <w:uiPriority w:val="61"/>
    <w:semiHidden/>
    <w:unhideWhenUsed/>
    <w:locked/>
    <w:rsid w:val="00C551E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C551E1"/>
    <w:pPr>
      <w:spacing w:after="0"/>
    </w:pPr>
    <w:tblPr>
      <w:tblStyleRowBandSize w:val="1"/>
      <w:tblStyleColBandSize w:val="1"/>
      <w:tblBorders>
        <w:top w:val="single" w:sz="8" w:space="0" w:color="931B2F" w:themeColor="accent1"/>
        <w:left w:val="single" w:sz="8" w:space="0" w:color="931B2F" w:themeColor="accent1"/>
        <w:bottom w:val="single" w:sz="8" w:space="0" w:color="931B2F" w:themeColor="accent1"/>
        <w:right w:val="single" w:sz="8" w:space="0" w:color="931B2F" w:themeColor="accent1"/>
      </w:tblBorders>
    </w:tblPr>
    <w:tblStylePr w:type="firstRow">
      <w:pPr>
        <w:spacing w:before="0" w:after="0" w:line="240" w:lineRule="auto"/>
      </w:pPr>
      <w:rPr>
        <w:b/>
        <w:bCs/>
        <w:color w:val="FFFFFF" w:themeColor="background1"/>
      </w:rPr>
      <w:tblPr/>
      <w:tcPr>
        <w:shd w:val="clear" w:color="auto" w:fill="931B2F" w:themeFill="accent1"/>
      </w:tcPr>
    </w:tblStylePr>
    <w:tblStylePr w:type="lastRow">
      <w:pPr>
        <w:spacing w:before="0" w:after="0" w:line="240" w:lineRule="auto"/>
      </w:pPr>
      <w:rPr>
        <w:b/>
        <w:bCs/>
      </w:rPr>
      <w:tblPr/>
      <w:tcPr>
        <w:tcBorders>
          <w:top w:val="double" w:sz="6" w:space="0" w:color="931B2F" w:themeColor="accent1"/>
          <w:left w:val="single" w:sz="8" w:space="0" w:color="931B2F" w:themeColor="accent1"/>
          <w:bottom w:val="single" w:sz="8" w:space="0" w:color="931B2F" w:themeColor="accent1"/>
          <w:right w:val="single" w:sz="8" w:space="0" w:color="931B2F" w:themeColor="accent1"/>
        </w:tcBorders>
      </w:tcPr>
    </w:tblStylePr>
    <w:tblStylePr w:type="firstCol">
      <w:rPr>
        <w:b/>
        <w:bCs/>
      </w:rPr>
    </w:tblStylePr>
    <w:tblStylePr w:type="lastCol">
      <w:rPr>
        <w:b/>
        <w:bCs/>
      </w:rPr>
    </w:tblStylePr>
    <w:tblStylePr w:type="band1Vert">
      <w:tblPr/>
      <w:tcPr>
        <w:tcBorders>
          <w:top w:val="single" w:sz="8" w:space="0" w:color="931B2F" w:themeColor="accent1"/>
          <w:left w:val="single" w:sz="8" w:space="0" w:color="931B2F" w:themeColor="accent1"/>
          <w:bottom w:val="single" w:sz="8" w:space="0" w:color="931B2F" w:themeColor="accent1"/>
          <w:right w:val="single" w:sz="8" w:space="0" w:color="931B2F" w:themeColor="accent1"/>
        </w:tcBorders>
      </w:tcPr>
    </w:tblStylePr>
    <w:tblStylePr w:type="band1Horz">
      <w:tblPr/>
      <w:tcPr>
        <w:tcBorders>
          <w:top w:val="single" w:sz="8" w:space="0" w:color="931B2F" w:themeColor="accent1"/>
          <w:left w:val="single" w:sz="8" w:space="0" w:color="931B2F" w:themeColor="accent1"/>
          <w:bottom w:val="single" w:sz="8" w:space="0" w:color="931B2F" w:themeColor="accent1"/>
          <w:right w:val="single" w:sz="8" w:space="0" w:color="931B2F" w:themeColor="accent1"/>
        </w:tcBorders>
      </w:tcPr>
    </w:tblStylePr>
  </w:style>
  <w:style w:type="table" w:styleId="LightList-Accent2">
    <w:name w:val="Light List Accent 2"/>
    <w:basedOn w:val="TableNormal"/>
    <w:uiPriority w:val="61"/>
    <w:semiHidden/>
    <w:unhideWhenUsed/>
    <w:locked/>
    <w:rsid w:val="00C551E1"/>
    <w:pPr>
      <w:spacing w:after="0"/>
    </w:pPr>
    <w:tblPr>
      <w:tblStyleRowBandSize w:val="1"/>
      <w:tblStyleColBandSize w:val="1"/>
      <w:tblBorders>
        <w:top w:val="single" w:sz="8" w:space="0" w:color="B35F6D" w:themeColor="accent2"/>
        <w:left w:val="single" w:sz="8" w:space="0" w:color="B35F6D" w:themeColor="accent2"/>
        <w:bottom w:val="single" w:sz="8" w:space="0" w:color="B35F6D" w:themeColor="accent2"/>
        <w:right w:val="single" w:sz="8" w:space="0" w:color="B35F6D" w:themeColor="accent2"/>
      </w:tblBorders>
    </w:tblPr>
    <w:tblStylePr w:type="firstRow">
      <w:pPr>
        <w:spacing w:before="0" w:after="0" w:line="240" w:lineRule="auto"/>
      </w:pPr>
      <w:rPr>
        <w:b/>
        <w:bCs/>
        <w:color w:val="FFFFFF" w:themeColor="background1"/>
      </w:rPr>
      <w:tblPr/>
      <w:tcPr>
        <w:shd w:val="clear" w:color="auto" w:fill="B35F6D" w:themeFill="accent2"/>
      </w:tcPr>
    </w:tblStylePr>
    <w:tblStylePr w:type="lastRow">
      <w:pPr>
        <w:spacing w:before="0" w:after="0" w:line="240" w:lineRule="auto"/>
      </w:pPr>
      <w:rPr>
        <w:b/>
        <w:bCs/>
      </w:rPr>
      <w:tblPr/>
      <w:tcPr>
        <w:tcBorders>
          <w:top w:val="double" w:sz="6" w:space="0" w:color="B35F6D" w:themeColor="accent2"/>
          <w:left w:val="single" w:sz="8" w:space="0" w:color="B35F6D" w:themeColor="accent2"/>
          <w:bottom w:val="single" w:sz="8" w:space="0" w:color="B35F6D" w:themeColor="accent2"/>
          <w:right w:val="single" w:sz="8" w:space="0" w:color="B35F6D" w:themeColor="accent2"/>
        </w:tcBorders>
      </w:tcPr>
    </w:tblStylePr>
    <w:tblStylePr w:type="firstCol">
      <w:rPr>
        <w:b/>
        <w:bCs/>
      </w:rPr>
    </w:tblStylePr>
    <w:tblStylePr w:type="lastCol">
      <w:rPr>
        <w:b/>
        <w:bCs/>
      </w:rPr>
    </w:tblStylePr>
    <w:tblStylePr w:type="band1Vert">
      <w:tblPr/>
      <w:tcPr>
        <w:tcBorders>
          <w:top w:val="single" w:sz="8" w:space="0" w:color="B35F6D" w:themeColor="accent2"/>
          <w:left w:val="single" w:sz="8" w:space="0" w:color="B35F6D" w:themeColor="accent2"/>
          <w:bottom w:val="single" w:sz="8" w:space="0" w:color="B35F6D" w:themeColor="accent2"/>
          <w:right w:val="single" w:sz="8" w:space="0" w:color="B35F6D" w:themeColor="accent2"/>
        </w:tcBorders>
      </w:tcPr>
    </w:tblStylePr>
    <w:tblStylePr w:type="band1Horz">
      <w:tblPr/>
      <w:tcPr>
        <w:tcBorders>
          <w:top w:val="single" w:sz="8" w:space="0" w:color="B35F6D" w:themeColor="accent2"/>
          <w:left w:val="single" w:sz="8" w:space="0" w:color="B35F6D" w:themeColor="accent2"/>
          <w:bottom w:val="single" w:sz="8" w:space="0" w:color="B35F6D" w:themeColor="accent2"/>
          <w:right w:val="single" w:sz="8" w:space="0" w:color="B35F6D" w:themeColor="accent2"/>
        </w:tcBorders>
      </w:tcPr>
    </w:tblStylePr>
  </w:style>
  <w:style w:type="table" w:styleId="LightList-Accent3">
    <w:name w:val="Light List Accent 3"/>
    <w:basedOn w:val="TableNormal"/>
    <w:uiPriority w:val="61"/>
    <w:semiHidden/>
    <w:unhideWhenUsed/>
    <w:locked/>
    <w:rsid w:val="00C551E1"/>
    <w:pPr>
      <w:spacing w:after="0"/>
    </w:pPr>
    <w:tblPr>
      <w:tblStyleRowBandSize w:val="1"/>
      <w:tblStyleColBandSize w:val="1"/>
      <w:tblBorders>
        <w:top w:val="single" w:sz="8" w:space="0" w:color="E8E7E7" w:themeColor="accent3"/>
        <w:left w:val="single" w:sz="8" w:space="0" w:color="E8E7E7" w:themeColor="accent3"/>
        <w:bottom w:val="single" w:sz="8" w:space="0" w:color="E8E7E7" w:themeColor="accent3"/>
        <w:right w:val="single" w:sz="8" w:space="0" w:color="E8E7E7" w:themeColor="accent3"/>
      </w:tblBorders>
    </w:tblPr>
    <w:tblStylePr w:type="firstRow">
      <w:pPr>
        <w:spacing w:before="0" w:after="0" w:line="240" w:lineRule="auto"/>
      </w:pPr>
      <w:rPr>
        <w:b/>
        <w:bCs/>
        <w:color w:val="FFFFFF" w:themeColor="background1"/>
      </w:rPr>
      <w:tblPr/>
      <w:tcPr>
        <w:shd w:val="clear" w:color="auto" w:fill="E8E7E7" w:themeFill="accent3"/>
      </w:tcPr>
    </w:tblStylePr>
    <w:tblStylePr w:type="lastRow">
      <w:pPr>
        <w:spacing w:before="0" w:after="0" w:line="240" w:lineRule="auto"/>
      </w:pPr>
      <w:rPr>
        <w:b/>
        <w:bCs/>
      </w:rPr>
      <w:tblPr/>
      <w:tcPr>
        <w:tcBorders>
          <w:top w:val="double" w:sz="6" w:space="0" w:color="E8E7E7" w:themeColor="accent3"/>
          <w:left w:val="single" w:sz="8" w:space="0" w:color="E8E7E7" w:themeColor="accent3"/>
          <w:bottom w:val="single" w:sz="8" w:space="0" w:color="E8E7E7" w:themeColor="accent3"/>
          <w:right w:val="single" w:sz="8" w:space="0" w:color="E8E7E7" w:themeColor="accent3"/>
        </w:tcBorders>
      </w:tcPr>
    </w:tblStylePr>
    <w:tblStylePr w:type="firstCol">
      <w:rPr>
        <w:b/>
        <w:bCs/>
      </w:rPr>
    </w:tblStylePr>
    <w:tblStylePr w:type="lastCol">
      <w:rPr>
        <w:b/>
        <w:bCs/>
      </w:rPr>
    </w:tblStylePr>
    <w:tblStylePr w:type="band1Vert">
      <w:tblPr/>
      <w:tcPr>
        <w:tcBorders>
          <w:top w:val="single" w:sz="8" w:space="0" w:color="E8E7E7" w:themeColor="accent3"/>
          <w:left w:val="single" w:sz="8" w:space="0" w:color="E8E7E7" w:themeColor="accent3"/>
          <w:bottom w:val="single" w:sz="8" w:space="0" w:color="E8E7E7" w:themeColor="accent3"/>
          <w:right w:val="single" w:sz="8" w:space="0" w:color="E8E7E7" w:themeColor="accent3"/>
        </w:tcBorders>
      </w:tcPr>
    </w:tblStylePr>
    <w:tblStylePr w:type="band1Horz">
      <w:tblPr/>
      <w:tcPr>
        <w:tcBorders>
          <w:top w:val="single" w:sz="8" w:space="0" w:color="E8E7E7" w:themeColor="accent3"/>
          <w:left w:val="single" w:sz="8" w:space="0" w:color="E8E7E7" w:themeColor="accent3"/>
          <w:bottom w:val="single" w:sz="8" w:space="0" w:color="E8E7E7" w:themeColor="accent3"/>
          <w:right w:val="single" w:sz="8" w:space="0" w:color="E8E7E7" w:themeColor="accent3"/>
        </w:tcBorders>
      </w:tcPr>
    </w:tblStylePr>
  </w:style>
  <w:style w:type="table" w:styleId="LightList-Accent4">
    <w:name w:val="Light List Accent 4"/>
    <w:basedOn w:val="TableNormal"/>
    <w:uiPriority w:val="61"/>
    <w:semiHidden/>
    <w:unhideWhenUsed/>
    <w:locked/>
    <w:rsid w:val="00C551E1"/>
    <w:pPr>
      <w:spacing w:after="0"/>
    </w:pPr>
    <w:tblPr>
      <w:tblStyleRowBandSize w:val="1"/>
      <w:tblStyleColBandSize w:val="1"/>
      <w:tblBorders>
        <w:top w:val="single" w:sz="8" w:space="0" w:color="8C8686" w:themeColor="accent4"/>
        <w:left w:val="single" w:sz="8" w:space="0" w:color="8C8686" w:themeColor="accent4"/>
        <w:bottom w:val="single" w:sz="8" w:space="0" w:color="8C8686" w:themeColor="accent4"/>
        <w:right w:val="single" w:sz="8" w:space="0" w:color="8C8686" w:themeColor="accent4"/>
      </w:tblBorders>
    </w:tblPr>
    <w:tblStylePr w:type="firstRow">
      <w:pPr>
        <w:spacing w:before="0" w:after="0" w:line="240" w:lineRule="auto"/>
      </w:pPr>
      <w:rPr>
        <w:b/>
        <w:bCs/>
        <w:color w:val="FFFFFF" w:themeColor="background1"/>
      </w:rPr>
      <w:tblPr/>
      <w:tcPr>
        <w:shd w:val="clear" w:color="auto" w:fill="8C8686" w:themeFill="accent4"/>
      </w:tcPr>
    </w:tblStylePr>
    <w:tblStylePr w:type="lastRow">
      <w:pPr>
        <w:spacing w:before="0" w:after="0" w:line="240" w:lineRule="auto"/>
      </w:pPr>
      <w:rPr>
        <w:b/>
        <w:bCs/>
      </w:rPr>
      <w:tblPr/>
      <w:tcPr>
        <w:tcBorders>
          <w:top w:val="double" w:sz="6" w:space="0" w:color="8C8686" w:themeColor="accent4"/>
          <w:left w:val="single" w:sz="8" w:space="0" w:color="8C8686" w:themeColor="accent4"/>
          <w:bottom w:val="single" w:sz="8" w:space="0" w:color="8C8686" w:themeColor="accent4"/>
          <w:right w:val="single" w:sz="8" w:space="0" w:color="8C8686" w:themeColor="accent4"/>
        </w:tcBorders>
      </w:tcPr>
    </w:tblStylePr>
    <w:tblStylePr w:type="firstCol">
      <w:rPr>
        <w:b/>
        <w:bCs/>
      </w:rPr>
    </w:tblStylePr>
    <w:tblStylePr w:type="lastCol">
      <w:rPr>
        <w:b/>
        <w:bCs/>
      </w:rPr>
    </w:tblStylePr>
    <w:tblStylePr w:type="band1Vert">
      <w:tblPr/>
      <w:tcPr>
        <w:tcBorders>
          <w:top w:val="single" w:sz="8" w:space="0" w:color="8C8686" w:themeColor="accent4"/>
          <w:left w:val="single" w:sz="8" w:space="0" w:color="8C8686" w:themeColor="accent4"/>
          <w:bottom w:val="single" w:sz="8" w:space="0" w:color="8C8686" w:themeColor="accent4"/>
          <w:right w:val="single" w:sz="8" w:space="0" w:color="8C8686" w:themeColor="accent4"/>
        </w:tcBorders>
      </w:tcPr>
    </w:tblStylePr>
    <w:tblStylePr w:type="band1Horz">
      <w:tblPr/>
      <w:tcPr>
        <w:tcBorders>
          <w:top w:val="single" w:sz="8" w:space="0" w:color="8C8686" w:themeColor="accent4"/>
          <w:left w:val="single" w:sz="8" w:space="0" w:color="8C8686" w:themeColor="accent4"/>
          <w:bottom w:val="single" w:sz="8" w:space="0" w:color="8C8686" w:themeColor="accent4"/>
          <w:right w:val="single" w:sz="8" w:space="0" w:color="8C8686" w:themeColor="accent4"/>
        </w:tcBorders>
      </w:tcPr>
    </w:tblStylePr>
  </w:style>
  <w:style w:type="table" w:styleId="LightList-Accent5">
    <w:name w:val="Light List Accent 5"/>
    <w:basedOn w:val="TableNormal"/>
    <w:uiPriority w:val="61"/>
    <w:semiHidden/>
    <w:unhideWhenUsed/>
    <w:locked/>
    <w:rsid w:val="00C551E1"/>
    <w:pPr>
      <w:spacing w:after="0"/>
    </w:pPr>
    <w:tblPr>
      <w:tblStyleRowBandSize w:val="1"/>
      <w:tblStyleColBandSize w:val="1"/>
      <w:tblBorders>
        <w:top w:val="single" w:sz="8" w:space="0" w:color="2C2A2A" w:themeColor="accent5"/>
        <w:left w:val="single" w:sz="8" w:space="0" w:color="2C2A2A" w:themeColor="accent5"/>
        <w:bottom w:val="single" w:sz="8" w:space="0" w:color="2C2A2A" w:themeColor="accent5"/>
        <w:right w:val="single" w:sz="8" w:space="0" w:color="2C2A2A" w:themeColor="accent5"/>
      </w:tblBorders>
    </w:tblPr>
    <w:tblStylePr w:type="firstRow">
      <w:pPr>
        <w:spacing w:before="0" w:after="0" w:line="240" w:lineRule="auto"/>
      </w:pPr>
      <w:rPr>
        <w:b/>
        <w:bCs/>
        <w:color w:val="FFFFFF" w:themeColor="background1"/>
      </w:rPr>
      <w:tblPr/>
      <w:tcPr>
        <w:shd w:val="clear" w:color="auto" w:fill="2C2A2A" w:themeFill="accent5"/>
      </w:tcPr>
    </w:tblStylePr>
    <w:tblStylePr w:type="lastRow">
      <w:pPr>
        <w:spacing w:before="0" w:after="0" w:line="240" w:lineRule="auto"/>
      </w:pPr>
      <w:rPr>
        <w:b/>
        <w:bCs/>
      </w:rPr>
      <w:tblPr/>
      <w:tcPr>
        <w:tcBorders>
          <w:top w:val="double" w:sz="6" w:space="0" w:color="2C2A2A" w:themeColor="accent5"/>
          <w:left w:val="single" w:sz="8" w:space="0" w:color="2C2A2A" w:themeColor="accent5"/>
          <w:bottom w:val="single" w:sz="8" w:space="0" w:color="2C2A2A" w:themeColor="accent5"/>
          <w:right w:val="single" w:sz="8" w:space="0" w:color="2C2A2A" w:themeColor="accent5"/>
        </w:tcBorders>
      </w:tcPr>
    </w:tblStylePr>
    <w:tblStylePr w:type="firstCol">
      <w:rPr>
        <w:b/>
        <w:bCs/>
      </w:rPr>
    </w:tblStylePr>
    <w:tblStylePr w:type="lastCol">
      <w:rPr>
        <w:b/>
        <w:bCs/>
      </w:rPr>
    </w:tblStylePr>
    <w:tblStylePr w:type="band1Vert">
      <w:tblPr/>
      <w:tcPr>
        <w:tcBorders>
          <w:top w:val="single" w:sz="8" w:space="0" w:color="2C2A2A" w:themeColor="accent5"/>
          <w:left w:val="single" w:sz="8" w:space="0" w:color="2C2A2A" w:themeColor="accent5"/>
          <w:bottom w:val="single" w:sz="8" w:space="0" w:color="2C2A2A" w:themeColor="accent5"/>
          <w:right w:val="single" w:sz="8" w:space="0" w:color="2C2A2A" w:themeColor="accent5"/>
        </w:tcBorders>
      </w:tcPr>
    </w:tblStylePr>
    <w:tblStylePr w:type="band1Horz">
      <w:tblPr/>
      <w:tcPr>
        <w:tcBorders>
          <w:top w:val="single" w:sz="8" w:space="0" w:color="2C2A2A" w:themeColor="accent5"/>
          <w:left w:val="single" w:sz="8" w:space="0" w:color="2C2A2A" w:themeColor="accent5"/>
          <w:bottom w:val="single" w:sz="8" w:space="0" w:color="2C2A2A" w:themeColor="accent5"/>
          <w:right w:val="single" w:sz="8" w:space="0" w:color="2C2A2A" w:themeColor="accent5"/>
        </w:tcBorders>
      </w:tcPr>
    </w:tblStylePr>
  </w:style>
  <w:style w:type="table" w:styleId="LightList-Accent6">
    <w:name w:val="Light List Accent 6"/>
    <w:basedOn w:val="TableNormal"/>
    <w:uiPriority w:val="61"/>
    <w:semiHidden/>
    <w:unhideWhenUsed/>
    <w:locked/>
    <w:rsid w:val="00C551E1"/>
    <w:pPr>
      <w:spacing w:after="0"/>
    </w:pPr>
    <w:tblPr>
      <w:tblStyleRowBandSize w:val="1"/>
      <w:tblStyleColBandSize w:val="1"/>
      <w:tblBorders>
        <w:top w:val="single" w:sz="8" w:space="0" w:color="4A0E18" w:themeColor="accent6"/>
        <w:left w:val="single" w:sz="8" w:space="0" w:color="4A0E18" w:themeColor="accent6"/>
        <w:bottom w:val="single" w:sz="8" w:space="0" w:color="4A0E18" w:themeColor="accent6"/>
        <w:right w:val="single" w:sz="8" w:space="0" w:color="4A0E18" w:themeColor="accent6"/>
      </w:tblBorders>
    </w:tblPr>
    <w:tblStylePr w:type="firstRow">
      <w:pPr>
        <w:spacing w:before="0" w:after="0" w:line="240" w:lineRule="auto"/>
      </w:pPr>
      <w:rPr>
        <w:b/>
        <w:bCs/>
        <w:color w:val="FFFFFF" w:themeColor="background1"/>
      </w:rPr>
      <w:tblPr/>
      <w:tcPr>
        <w:shd w:val="clear" w:color="auto" w:fill="4A0E18" w:themeFill="accent6"/>
      </w:tcPr>
    </w:tblStylePr>
    <w:tblStylePr w:type="lastRow">
      <w:pPr>
        <w:spacing w:before="0" w:after="0" w:line="240" w:lineRule="auto"/>
      </w:pPr>
      <w:rPr>
        <w:b/>
        <w:bCs/>
      </w:rPr>
      <w:tblPr/>
      <w:tcPr>
        <w:tcBorders>
          <w:top w:val="double" w:sz="6" w:space="0" w:color="4A0E18" w:themeColor="accent6"/>
          <w:left w:val="single" w:sz="8" w:space="0" w:color="4A0E18" w:themeColor="accent6"/>
          <w:bottom w:val="single" w:sz="8" w:space="0" w:color="4A0E18" w:themeColor="accent6"/>
          <w:right w:val="single" w:sz="8" w:space="0" w:color="4A0E18" w:themeColor="accent6"/>
        </w:tcBorders>
      </w:tcPr>
    </w:tblStylePr>
    <w:tblStylePr w:type="firstCol">
      <w:rPr>
        <w:b/>
        <w:bCs/>
      </w:rPr>
    </w:tblStylePr>
    <w:tblStylePr w:type="lastCol">
      <w:rPr>
        <w:b/>
        <w:bCs/>
      </w:rPr>
    </w:tblStylePr>
    <w:tblStylePr w:type="band1Vert">
      <w:tblPr/>
      <w:tcPr>
        <w:tcBorders>
          <w:top w:val="single" w:sz="8" w:space="0" w:color="4A0E18" w:themeColor="accent6"/>
          <w:left w:val="single" w:sz="8" w:space="0" w:color="4A0E18" w:themeColor="accent6"/>
          <w:bottom w:val="single" w:sz="8" w:space="0" w:color="4A0E18" w:themeColor="accent6"/>
          <w:right w:val="single" w:sz="8" w:space="0" w:color="4A0E18" w:themeColor="accent6"/>
        </w:tcBorders>
      </w:tcPr>
    </w:tblStylePr>
    <w:tblStylePr w:type="band1Horz">
      <w:tblPr/>
      <w:tcPr>
        <w:tcBorders>
          <w:top w:val="single" w:sz="8" w:space="0" w:color="4A0E18" w:themeColor="accent6"/>
          <w:left w:val="single" w:sz="8" w:space="0" w:color="4A0E18" w:themeColor="accent6"/>
          <w:bottom w:val="single" w:sz="8" w:space="0" w:color="4A0E18" w:themeColor="accent6"/>
          <w:right w:val="single" w:sz="8" w:space="0" w:color="4A0E18" w:themeColor="accent6"/>
        </w:tcBorders>
      </w:tcPr>
    </w:tblStylePr>
  </w:style>
  <w:style w:type="table" w:styleId="LightShading">
    <w:name w:val="Light Shading"/>
    <w:basedOn w:val="TableNormal"/>
    <w:uiPriority w:val="60"/>
    <w:semiHidden/>
    <w:unhideWhenUsed/>
    <w:locked/>
    <w:rsid w:val="00C551E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C551E1"/>
    <w:pPr>
      <w:spacing w:after="0"/>
    </w:pPr>
    <w:rPr>
      <w:color w:val="6D1423" w:themeColor="accent1" w:themeShade="BF"/>
    </w:rPr>
    <w:tblPr>
      <w:tblStyleRowBandSize w:val="1"/>
      <w:tblStyleColBandSize w:val="1"/>
      <w:tblBorders>
        <w:top w:val="single" w:sz="8" w:space="0" w:color="931B2F" w:themeColor="accent1"/>
        <w:bottom w:val="single" w:sz="8" w:space="0" w:color="931B2F" w:themeColor="accent1"/>
      </w:tblBorders>
    </w:tblPr>
    <w:tblStylePr w:type="firstRow">
      <w:pPr>
        <w:spacing w:before="0" w:after="0" w:line="240" w:lineRule="auto"/>
      </w:pPr>
      <w:rPr>
        <w:b/>
        <w:bCs/>
      </w:rPr>
      <w:tblPr/>
      <w:tcPr>
        <w:tcBorders>
          <w:top w:val="single" w:sz="8" w:space="0" w:color="931B2F" w:themeColor="accent1"/>
          <w:left w:val="nil"/>
          <w:bottom w:val="single" w:sz="8" w:space="0" w:color="931B2F" w:themeColor="accent1"/>
          <w:right w:val="nil"/>
          <w:insideH w:val="nil"/>
          <w:insideV w:val="nil"/>
        </w:tcBorders>
      </w:tcPr>
    </w:tblStylePr>
    <w:tblStylePr w:type="lastRow">
      <w:pPr>
        <w:spacing w:before="0" w:after="0" w:line="240" w:lineRule="auto"/>
      </w:pPr>
      <w:rPr>
        <w:b/>
        <w:bCs/>
      </w:rPr>
      <w:tblPr/>
      <w:tcPr>
        <w:tcBorders>
          <w:top w:val="single" w:sz="8" w:space="0" w:color="931B2F" w:themeColor="accent1"/>
          <w:left w:val="nil"/>
          <w:bottom w:val="single" w:sz="8" w:space="0" w:color="931B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B8C1" w:themeFill="accent1" w:themeFillTint="3F"/>
      </w:tcPr>
    </w:tblStylePr>
    <w:tblStylePr w:type="band1Horz">
      <w:tblPr/>
      <w:tcPr>
        <w:tcBorders>
          <w:left w:val="nil"/>
          <w:right w:val="nil"/>
          <w:insideH w:val="nil"/>
          <w:insideV w:val="nil"/>
        </w:tcBorders>
        <w:shd w:val="clear" w:color="auto" w:fill="F2B8C1" w:themeFill="accent1" w:themeFillTint="3F"/>
      </w:tcPr>
    </w:tblStylePr>
  </w:style>
  <w:style w:type="table" w:styleId="LightShading-Accent2">
    <w:name w:val="Light Shading Accent 2"/>
    <w:basedOn w:val="TableNormal"/>
    <w:uiPriority w:val="60"/>
    <w:semiHidden/>
    <w:unhideWhenUsed/>
    <w:locked/>
    <w:rsid w:val="00C551E1"/>
    <w:pPr>
      <w:spacing w:after="0"/>
    </w:pPr>
    <w:rPr>
      <w:color w:val="8A424E" w:themeColor="accent2" w:themeShade="BF"/>
    </w:rPr>
    <w:tblPr>
      <w:tblStyleRowBandSize w:val="1"/>
      <w:tblStyleColBandSize w:val="1"/>
      <w:tblBorders>
        <w:top w:val="single" w:sz="8" w:space="0" w:color="B35F6D" w:themeColor="accent2"/>
        <w:bottom w:val="single" w:sz="8" w:space="0" w:color="B35F6D" w:themeColor="accent2"/>
      </w:tblBorders>
    </w:tblPr>
    <w:tblStylePr w:type="firstRow">
      <w:pPr>
        <w:spacing w:before="0" w:after="0" w:line="240" w:lineRule="auto"/>
      </w:pPr>
      <w:rPr>
        <w:b/>
        <w:bCs/>
      </w:rPr>
      <w:tblPr/>
      <w:tcPr>
        <w:tcBorders>
          <w:top w:val="single" w:sz="8" w:space="0" w:color="B35F6D" w:themeColor="accent2"/>
          <w:left w:val="nil"/>
          <w:bottom w:val="single" w:sz="8" w:space="0" w:color="B35F6D" w:themeColor="accent2"/>
          <w:right w:val="nil"/>
          <w:insideH w:val="nil"/>
          <w:insideV w:val="nil"/>
        </w:tcBorders>
      </w:tcPr>
    </w:tblStylePr>
    <w:tblStylePr w:type="lastRow">
      <w:pPr>
        <w:spacing w:before="0" w:after="0" w:line="240" w:lineRule="auto"/>
      </w:pPr>
      <w:rPr>
        <w:b/>
        <w:bCs/>
      </w:rPr>
      <w:tblPr/>
      <w:tcPr>
        <w:tcBorders>
          <w:top w:val="single" w:sz="8" w:space="0" w:color="B35F6D" w:themeColor="accent2"/>
          <w:left w:val="nil"/>
          <w:bottom w:val="single" w:sz="8" w:space="0" w:color="B35F6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A" w:themeFill="accent2" w:themeFillTint="3F"/>
      </w:tcPr>
    </w:tblStylePr>
    <w:tblStylePr w:type="band1Horz">
      <w:tblPr/>
      <w:tcPr>
        <w:tcBorders>
          <w:left w:val="nil"/>
          <w:right w:val="nil"/>
          <w:insideH w:val="nil"/>
          <w:insideV w:val="nil"/>
        </w:tcBorders>
        <w:shd w:val="clear" w:color="auto" w:fill="ECD7DA" w:themeFill="accent2" w:themeFillTint="3F"/>
      </w:tcPr>
    </w:tblStylePr>
  </w:style>
  <w:style w:type="table" w:styleId="LightShading-Accent3">
    <w:name w:val="Light Shading Accent 3"/>
    <w:basedOn w:val="TableNormal"/>
    <w:uiPriority w:val="60"/>
    <w:semiHidden/>
    <w:unhideWhenUsed/>
    <w:locked/>
    <w:rsid w:val="00C551E1"/>
    <w:pPr>
      <w:spacing w:after="0"/>
    </w:pPr>
    <w:rPr>
      <w:color w:val="AFABAB" w:themeColor="accent3" w:themeShade="BF"/>
    </w:rPr>
    <w:tblPr>
      <w:tblStyleRowBandSize w:val="1"/>
      <w:tblStyleColBandSize w:val="1"/>
      <w:tblBorders>
        <w:top w:val="single" w:sz="8" w:space="0" w:color="E8E7E7" w:themeColor="accent3"/>
        <w:bottom w:val="single" w:sz="8" w:space="0" w:color="E8E7E7" w:themeColor="accent3"/>
      </w:tblBorders>
    </w:tblPr>
    <w:tblStylePr w:type="firstRow">
      <w:pPr>
        <w:spacing w:before="0" w:after="0" w:line="240" w:lineRule="auto"/>
      </w:pPr>
      <w:rPr>
        <w:b/>
        <w:bCs/>
      </w:rPr>
      <w:tblPr/>
      <w:tcPr>
        <w:tcBorders>
          <w:top w:val="single" w:sz="8" w:space="0" w:color="E8E7E7" w:themeColor="accent3"/>
          <w:left w:val="nil"/>
          <w:bottom w:val="single" w:sz="8" w:space="0" w:color="E8E7E7" w:themeColor="accent3"/>
          <w:right w:val="nil"/>
          <w:insideH w:val="nil"/>
          <w:insideV w:val="nil"/>
        </w:tcBorders>
      </w:tcPr>
    </w:tblStylePr>
    <w:tblStylePr w:type="lastRow">
      <w:pPr>
        <w:spacing w:before="0" w:after="0" w:line="240" w:lineRule="auto"/>
      </w:pPr>
      <w:rPr>
        <w:b/>
        <w:bCs/>
      </w:rPr>
      <w:tblPr/>
      <w:tcPr>
        <w:tcBorders>
          <w:top w:val="single" w:sz="8" w:space="0" w:color="E8E7E7" w:themeColor="accent3"/>
          <w:left w:val="nil"/>
          <w:bottom w:val="single" w:sz="8" w:space="0" w:color="E8E7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9F9" w:themeFill="accent3" w:themeFillTint="3F"/>
      </w:tcPr>
    </w:tblStylePr>
    <w:tblStylePr w:type="band1Horz">
      <w:tblPr/>
      <w:tcPr>
        <w:tcBorders>
          <w:left w:val="nil"/>
          <w:right w:val="nil"/>
          <w:insideH w:val="nil"/>
          <w:insideV w:val="nil"/>
        </w:tcBorders>
        <w:shd w:val="clear" w:color="auto" w:fill="F9F9F9" w:themeFill="accent3" w:themeFillTint="3F"/>
      </w:tcPr>
    </w:tblStylePr>
  </w:style>
  <w:style w:type="table" w:styleId="LightShading-Accent4">
    <w:name w:val="Light Shading Accent 4"/>
    <w:basedOn w:val="TableNormal"/>
    <w:uiPriority w:val="60"/>
    <w:semiHidden/>
    <w:unhideWhenUsed/>
    <w:locked/>
    <w:rsid w:val="00C551E1"/>
    <w:pPr>
      <w:spacing w:after="0"/>
    </w:pPr>
    <w:rPr>
      <w:color w:val="696464" w:themeColor="accent4" w:themeShade="BF"/>
    </w:rPr>
    <w:tblPr>
      <w:tblStyleRowBandSize w:val="1"/>
      <w:tblStyleColBandSize w:val="1"/>
      <w:tblBorders>
        <w:top w:val="single" w:sz="8" w:space="0" w:color="8C8686" w:themeColor="accent4"/>
        <w:bottom w:val="single" w:sz="8" w:space="0" w:color="8C8686" w:themeColor="accent4"/>
      </w:tblBorders>
    </w:tblPr>
    <w:tblStylePr w:type="firstRow">
      <w:pPr>
        <w:spacing w:before="0" w:after="0" w:line="240" w:lineRule="auto"/>
      </w:pPr>
      <w:rPr>
        <w:b/>
        <w:bCs/>
      </w:rPr>
      <w:tblPr/>
      <w:tcPr>
        <w:tcBorders>
          <w:top w:val="single" w:sz="8" w:space="0" w:color="8C8686" w:themeColor="accent4"/>
          <w:left w:val="nil"/>
          <w:bottom w:val="single" w:sz="8" w:space="0" w:color="8C8686" w:themeColor="accent4"/>
          <w:right w:val="nil"/>
          <w:insideH w:val="nil"/>
          <w:insideV w:val="nil"/>
        </w:tcBorders>
      </w:tcPr>
    </w:tblStylePr>
    <w:tblStylePr w:type="lastRow">
      <w:pPr>
        <w:spacing w:before="0" w:after="0" w:line="240" w:lineRule="auto"/>
      </w:pPr>
      <w:rPr>
        <w:b/>
        <w:bCs/>
      </w:rPr>
      <w:tblPr/>
      <w:tcPr>
        <w:tcBorders>
          <w:top w:val="single" w:sz="8" w:space="0" w:color="8C8686" w:themeColor="accent4"/>
          <w:left w:val="nil"/>
          <w:bottom w:val="single" w:sz="8" w:space="0" w:color="8C868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1" w:themeFill="accent4" w:themeFillTint="3F"/>
      </w:tcPr>
    </w:tblStylePr>
    <w:tblStylePr w:type="band1Horz">
      <w:tblPr/>
      <w:tcPr>
        <w:tcBorders>
          <w:left w:val="nil"/>
          <w:right w:val="nil"/>
          <w:insideH w:val="nil"/>
          <w:insideV w:val="nil"/>
        </w:tcBorders>
        <w:shd w:val="clear" w:color="auto" w:fill="E2E1E1" w:themeFill="accent4" w:themeFillTint="3F"/>
      </w:tcPr>
    </w:tblStylePr>
  </w:style>
  <w:style w:type="table" w:styleId="LightShading-Accent5">
    <w:name w:val="Light Shading Accent 5"/>
    <w:basedOn w:val="TableNormal"/>
    <w:uiPriority w:val="60"/>
    <w:semiHidden/>
    <w:unhideWhenUsed/>
    <w:locked/>
    <w:rsid w:val="00C551E1"/>
    <w:pPr>
      <w:spacing w:after="0"/>
    </w:pPr>
    <w:rPr>
      <w:color w:val="201F1F" w:themeColor="accent5" w:themeShade="BF"/>
    </w:rPr>
    <w:tblPr>
      <w:tblStyleRowBandSize w:val="1"/>
      <w:tblStyleColBandSize w:val="1"/>
      <w:tblBorders>
        <w:top w:val="single" w:sz="8" w:space="0" w:color="2C2A2A" w:themeColor="accent5"/>
        <w:bottom w:val="single" w:sz="8" w:space="0" w:color="2C2A2A" w:themeColor="accent5"/>
      </w:tblBorders>
    </w:tblPr>
    <w:tblStylePr w:type="firstRow">
      <w:pPr>
        <w:spacing w:before="0" w:after="0" w:line="240" w:lineRule="auto"/>
      </w:pPr>
      <w:rPr>
        <w:b/>
        <w:bCs/>
      </w:rPr>
      <w:tblPr/>
      <w:tcPr>
        <w:tcBorders>
          <w:top w:val="single" w:sz="8" w:space="0" w:color="2C2A2A" w:themeColor="accent5"/>
          <w:left w:val="nil"/>
          <w:bottom w:val="single" w:sz="8" w:space="0" w:color="2C2A2A" w:themeColor="accent5"/>
          <w:right w:val="nil"/>
          <w:insideH w:val="nil"/>
          <w:insideV w:val="nil"/>
        </w:tcBorders>
      </w:tcPr>
    </w:tblStylePr>
    <w:tblStylePr w:type="lastRow">
      <w:pPr>
        <w:spacing w:before="0" w:after="0" w:line="240" w:lineRule="auto"/>
      </w:pPr>
      <w:rPr>
        <w:b/>
        <w:bCs/>
      </w:rPr>
      <w:tblPr/>
      <w:tcPr>
        <w:tcBorders>
          <w:top w:val="single" w:sz="8" w:space="0" w:color="2C2A2A" w:themeColor="accent5"/>
          <w:left w:val="nil"/>
          <w:bottom w:val="single" w:sz="8" w:space="0" w:color="2C2A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9C9" w:themeFill="accent5" w:themeFillTint="3F"/>
      </w:tcPr>
    </w:tblStylePr>
    <w:tblStylePr w:type="band1Horz">
      <w:tblPr/>
      <w:tcPr>
        <w:tcBorders>
          <w:left w:val="nil"/>
          <w:right w:val="nil"/>
          <w:insideH w:val="nil"/>
          <w:insideV w:val="nil"/>
        </w:tcBorders>
        <w:shd w:val="clear" w:color="auto" w:fill="CBC9C9" w:themeFill="accent5" w:themeFillTint="3F"/>
      </w:tcPr>
    </w:tblStylePr>
  </w:style>
  <w:style w:type="table" w:styleId="LightShading-Accent6">
    <w:name w:val="Light Shading Accent 6"/>
    <w:basedOn w:val="TableNormal"/>
    <w:uiPriority w:val="60"/>
    <w:semiHidden/>
    <w:unhideWhenUsed/>
    <w:locked/>
    <w:rsid w:val="00C551E1"/>
    <w:pPr>
      <w:spacing w:after="0"/>
    </w:pPr>
    <w:rPr>
      <w:color w:val="370A11" w:themeColor="accent6" w:themeShade="BF"/>
    </w:rPr>
    <w:tblPr>
      <w:tblStyleRowBandSize w:val="1"/>
      <w:tblStyleColBandSize w:val="1"/>
      <w:tblBorders>
        <w:top w:val="single" w:sz="8" w:space="0" w:color="4A0E18" w:themeColor="accent6"/>
        <w:bottom w:val="single" w:sz="8" w:space="0" w:color="4A0E18" w:themeColor="accent6"/>
      </w:tblBorders>
    </w:tblPr>
    <w:tblStylePr w:type="firstRow">
      <w:pPr>
        <w:spacing w:before="0" w:after="0" w:line="240" w:lineRule="auto"/>
      </w:pPr>
      <w:rPr>
        <w:b/>
        <w:bCs/>
      </w:rPr>
      <w:tblPr/>
      <w:tcPr>
        <w:tcBorders>
          <w:top w:val="single" w:sz="8" w:space="0" w:color="4A0E18" w:themeColor="accent6"/>
          <w:left w:val="nil"/>
          <w:bottom w:val="single" w:sz="8" w:space="0" w:color="4A0E18" w:themeColor="accent6"/>
          <w:right w:val="nil"/>
          <w:insideH w:val="nil"/>
          <w:insideV w:val="nil"/>
        </w:tcBorders>
      </w:tcPr>
    </w:tblStylePr>
    <w:tblStylePr w:type="lastRow">
      <w:pPr>
        <w:spacing w:before="0" w:after="0" w:line="240" w:lineRule="auto"/>
      </w:pPr>
      <w:rPr>
        <w:b/>
        <w:bCs/>
      </w:rPr>
      <w:tblPr/>
      <w:tcPr>
        <w:tcBorders>
          <w:top w:val="single" w:sz="8" w:space="0" w:color="4A0E18" w:themeColor="accent6"/>
          <w:left w:val="nil"/>
          <w:bottom w:val="single" w:sz="8" w:space="0" w:color="4A0E1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A7B2" w:themeFill="accent6" w:themeFillTint="3F"/>
      </w:tcPr>
    </w:tblStylePr>
    <w:tblStylePr w:type="band1Horz">
      <w:tblPr/>
      <w:tcPr>
        <w:tcBorders>
          <w:left w:val="nil"/>
          <w:right w:val="nil"/>
          <w:insideH w:val="nil"/>
          <w:insideV w:val="nil"/>
        </w:tcBorders>
        <w:shd w:val="clear" w:color="auto" w:fill="EEA7B2" w:themeFill="accent6" w:themeFillTint="3F"/>
      </w:tcPr>
    </w:tblStylePr>
  </w:style>
  <w:style w:type="table" w:customStyle="1" w:styleId="ListTable1Light1">
    <w:name w:val="List Table 1 Light1"/>
    <w:basedOn w:val="TableNormal"/>
    <w:uiPriority w:val="46"/>
    <w:semiHidden/>
    <w:rsid w:val="00C551E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C551E1"/>
    <w:pPr>
      <w:spacing w:after="0"/>
    </w:pPr>
    <w:tblPr>
      <w:tblStyleRowBandSize w:val="1"/>
      <w:tblStyleColBandSize w:val="1"/>
    </w:tblPr>
    <w:tblStylePr w:type="firstRow">
      <w:rPr>
        <w:b/>
        <w:bCs/>
      </w:rPr>
      <w:tblPr/>
      <w:tcPr>
        <w:tcBorders>
          <w:bottom w:val="single" w:sz="4" w:space="0" w:color="DF546B" w:themeColor="accent1" w:themeTint="99"/>
        </w:tcBorders>
      </w:tcPr>
    </w:tblStylePr>
    <w:tblStylePr w:type="lastRow">
      <w:rPr>
        <w:b/>
        <w:bCs/>
      </w:rPr>
      <w:tblPr/>
      <w:tcPr>
        <w:tcBorders>
          <w:top w:val="single" w:sz="4" w:space="0" w:color="DF546B" w:themeColor="accent1" w:themeTint="99"/>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customStyle="1" w:styleId="ListTable1Light-Accent21">
    <w:name w:val="List Table 1 Light - Accent 21"/>
    <w:basedOn w:val="TableNormal"/>
    <w:uiPriority w:val="46"/>
    <w:semiHidden/>
    <w:rsid w:val="00C551E1"/>
    <w:pPr>
      <w:spacing w:after="0"/>
    </w:pPr>
    <w:tblPr>
      <w:tblStyleRowBandSize w:val="1"/>
      <w:tblStyleColBandSize w:val="1"/>
    </w:tblPr>
    <w:tblStylePr w:type="firstRow">
      <w:rPr>
        <w:b/>
        <w:bCs/>
      </w:rPr>
      <w:tblPr/>
      <w:tcPr>
        <w:tcBorders>
          <w:bottom w:val="single" w:sz="4" w:space="0" w:color="D19EA7" w:themeColor="accent2" w:themeTint="99"/>
        </w:tcBorders>
      </w:tcPr>
    </w:tblStylePr>
    <w:tblStylePr w:type="lastRow">
      <w:rPr>
        <w:b/>
        <w:bCs/>
      </w:rPr>
      <w:tblPr/>
      <w:tcPr>
        <w:tcBorders>
          <w:top w:val="single" w:sz="4" w:space="0" w:color="D19EA7" w:themeColor="accent2" w:themeTint="99"/>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customStyle="1" w:styleId="ListTable1Light-Accent31">
    <w:name w:val="List Table 1 Light - Accent 31"/>
    <w:basedOn w:val="TableNormal"/>
    <w:uiPriority w:val="46"/>
    <w:semiHidden/>
    <w:rsid w:val="00C551E1"/>
    <w:pPr>
      <w:spacing w:after="0"/>
    </w:pPr>
    <w:tblPr>
      <w:tblStyleRowBandSize w:val="1"/>
      <w:tblStyleColBandSize w:val="1"/>
    </w:tblPr>
    <w:tblStylePr w:type="firstRow">
      <w:rPr>
        <w:b/>
        <w:bCs/>
      </w:rPr>
      <w:tblPr/>
      <w:tcPr>
        <w:tcBorders>
          <w:bottom w:val="single" w:sz="4" w:space="0" w:color="F1F0F0" w:themeColor="accent3" w:themeTint="99"/>
        </w:tcBorders>
      </w:tcPr>
    </w:tblStylePr>
    <w:tblStylePr w:type="lastRow">
      <w:rPr>
        <w:b/>
        <w:bCs/>
      </w:rPr>
      <w:tblPr/>
      <w:tcPr>
        <w:tcBorders>
          <w:top w:val="single" w:sz="4" w:space="0" w:color="F1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ListTable1Light-Accent41">
    <w:name w:val="List Table 1 Light - Accent 41"/>
    <w:basedOn w:val="TableNormal"/>
    <w:uiPriority w:val="46"/>
    <w:semiHidden/>
    <w:rsid w:val="00C551E1"/>
    <w:pPr>
      <w:spacing w:after="0"/>
    </w:pPr>
    <w:tblPr>
      <w:tblStyleRowBandSize w:val="1"/>
      <w:tblStyleColBandSize w:val="1"/>
    </w:tblPr>
    <w:tblStylePr w:type="firstRow">
      <w:rPr>
        <w:b/>
        <w:bCs/>
      </w:rPr>
      <w:tblPr/>
      <w:tcPr>
        <w:tcBorders>
          <w:bottom w:val="single" w:sz="4" w:space="0" w:color="BAB6B6" w:themeColor="accent4" w:themeTint="99"/>
        </w:tcBorders>
      </w:tcPr>
    </w:tblStylePr>
    <w:tblStylePr w:type="lastRow">
      <w:rPr>
        <w:b/>
        <w:bCs/>
      </w:rPr>
      <w:tblPr/>
      <w:tcPr>
        <w:tcBorders>
          <w:top w:val="single" w:sz="4" w:space="0" w:color="BAB6B6" w:themeColor="accent4" w:themeTint="99"/>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customStyle="1" w:styleId="ListTable1Light-Accent51">
    <w:name w:val="List Table 1 Light - Accent 51"/>
    <w:basedOn w:val="TableNormal"/>
    <w:uiPriority w:val="46"/>
    <w:semiHidden/>
    <w:rsid w:val="00C551E1"/>
    <w:pPr>
      <w:spacing w:after="0"/>
    </w:pPr>
    <w:tblPr>
      <w:tblStyleRowBandSize w:val="1"/>
      <w:tblStyleColBandSize w:val="1"/>
    </w:tblPr>
    <w:tblStylePr w:type="firstRow">
      <w:rPr>
        <w:b/>
        <w:bCs/>
      </w:rPr>
      <w:tblPr/>
      <w:tcPr>
        <w:tcBorders>
          <w:bottom w:val="single" w:sz="4" w:space="0" w:color="827C7C" w:themeColor="accent5" w:themeTint="99"/>
        </w:tcBorders>
      </w:tcPr>
    </w:tblStylePr>
    <w:tblStylePr w:type="lastRow">
      <w:rPr>
        <w:b/>
        <w:bCs/>
      </w:rPr>
      <w:tblPr/>
      <w:tcPr>
        <w:tcBorders>
          <w:top w:val="single" w:sz="4" w:space="0" w:color="827C7C" w:themeColor="accent5" w:themeTint="99"/>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customStyle="1" w:styleId="ListTable1Light-Accent61">
    <w:name w:val="List Table 1 Light - Accent 61"/>
    <w:basedOn w:val="TableNormal"/>
    <w:uiPriority w:val="46"/>
    <w:semiHidden/>
    <w:rsid w:val="00C551E1"/>
    <w:pPr>
      <w:spacing w:after="0"/>
    </w:pPr>
    <w:tblPr>
      <w:tblStyleRowBandSize w:val="1"/>
      <w:tblStyleColBandSize w:val="1"/>
    </w:tblPr>
    <w:tblStylePr w:type="firstRow">
      <w:rPr>
        <w:b/>
        <w:bCs/>
      </w:rPr>
      <w:tblPr/>
      <w:tcPr>
        <w:tcBorders>
          <w:bottom w:val="single" w:sz="4" w:space="0" w:color="D62946" w:themeColor="accent6" w:themeTint="99"/>
        </w:tcBorders>
      </w:tcPr>
    </w:tblStylePr>
    <w:tblStylePr w:type="lastRow">
      <w:rPr>
        <w:b/>
        <w:bCs/>
      </w:rPr>
      <w:tblPr/>
      <w:tcPr>
        <w:tcBorders>
          <w:top w:val="single" w:sz="4" w:space="0" w:color="D62946" w:themeColor="accent6" w:themeTint="99"/>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customStyle="1" w:styleId="ListTable21">
    <w:name w:val="List Table 21"/>
    <w:basedOn w:val="TableNormal"/>
    <w:uiPriority w:val="47"/>
    <w:semiHidden/>
    <w:rsid w:val="00C551E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C551E1"/>
    <w:pPr>
      <w:spacing w:after="0"/>
    </w:pPr>
    <w:tblPr>
      <w:tblStyleRowBandSize w:val="1"/>
      <w:tblStyleColBandSize w:val="1"/>
      <w:tblBorders>
        <w:top w:val="single" w:sz="4" w:space="0" w:color="DF546B" w:themeColor="accent1" w:themeTint="99"/>
        <w:bottom w:val="single" w:sz="4" w:space="0" w:color="DF546B" w:themeColor="accent1" w:themeTint="99"/>
        <w:insideH w:val="single" w:sz="4" w:space="0" w:color="DF546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customStyle="1" w:styleId="ListTable2-Accent21">
    <w:name w:val="List Table 2 - Accent 21"/>
    <w:basedOn w:val="TableNormal"/>
    <w:uiPriority w:val="47"/>
    <w:semiHidden/>
    <w:rsid w:val="00C551E1"/>
    <w:pPr>
      <w:spacing w:after="0"/>
    </w:pPr>
    <w:tblPr>
      <w:tblStyleRowBandSize w:val="1"/>
      <w:tblStyleColBandSize w:val="1"/>
      <w:tblBorders>
        <w:top w:val="single" w:sz="4" w:space="0" w:color="D19EA7" w:themeColor="accent2" w:themeTint="99"/>
        <w:bottom w:val="single" w:sz="4" w:space="0" w:color="D19EA7" w:themeColor="accent2" w:themeTint="99"/>
        <w:insideH w:val="single" w:sz="4" w:space="0" w:color="D19EA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customStyle="1" w:styleId="ListTable2-Accent31">
    <w:name w:val="List Table 2 - Accent 31"/>
    <w:basedOn w:val="TableNormal"/>
    <w:uiPriority w:val="47"/>
    <w:semiHidden/>
    <w:rsid w:val="00C551E1"/>
    <w:pPr>
      <w:spacing w:after="0"/>
    </w:pPr>
    <w:tblPr>
      <w:tblStyleRowBandSize w:val="1"/>
      <w:tblStyleColBandSize w:val="1"/>
      <w:tblBorders>
        <w:top w:val="single" w:sz="4" w:space="0" w:color="F1F0F0" w:themeColor="accent3" w:themeTint="99"/>
        <w:bottom w:val="single" w:sz="4" w:space="0" w:color="F1F0F0" w:themeColor="accent3" w:themeTint="99"/>
        <w:insideH w:val="single" w:sz="4" w:space="0" w:color="F1F0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ListTable2-Accent41">
    <w:name w:val="List Table 2 - Accent 41"/>
    <w:basedOn w:val="TableNormal"/>
    <w:uiPriority w:val="47"/>
    <w:semiHidden/>
    <w:rsid w:val="00C551E1"/>
    <w:pPr>
      <w:spacing w:after="0"/>
    </w:pPr>
    <w:tblPr>
      <w:tblStyleRowBandSize w:val="1"/>
      <w:tblStyleColBandSize w:val="1"/>
      <w:tblBorders>
        <w:top w:val="single" w:sz="4" w:space="0" w:color="BAB6B6" w:themeColor="accent4" w:themeTint="99"/>
        <w:bottom w:val="single" w:sz="4" w:space="0" w:color="BAB6B6" w:themeColor="accent4" w:themeTint="99"/>
        <w:insideH w:val="single" w:sz="4" w:space="0" w:color="BAB6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customStyle="1" w:styleId="ListTable2-Accent51">
    <w:name w:val="List Table 2 - Accent 51"/>
    <w:basedOn w:val="TableNormal"/>
    <w:uiPriority w:val="47"/>
    <w:semiHidden/>
    <w:rsid w:val="00C551E1"/>
    <w:pPr>
      <w:spacing w:after="0"/>
    </w:pPr>
    <w:tblPr>
      <w:tblStyleRowBandSize w:val="1"/>
      <w:tblStyleColBandSize w:val="1"/>
      <w:tblBorders>
        <w:top w:val="single" w:sz="4" w:space="0" w:color="827C7C" w:themeColor="accent5" w:themeTint="99"/>
        <w:bottom w:val="single" w:sz="4" w:space="0" w:color="827C7C" w:themeColor="accent5" w:themeTint="99"/>
        <w:insideH w:val="single" w:sz="4" w:space="0" w:color="827C7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customStyle="1" w:styleId="ListTable2-Accent61">
    <w:name w:val="List Table 2 - Accent 61"/>
    <w:basedOn w:val="TableNormal"/>
    <w:uiPriority w:val="47"/>
    <w:semiHidden/>
    <w:rsid w:val="00C551E1"/>
    <w:pPr>
      <w:spacing w:after="0"/>
    </w:pPr>
    <w:tblPr>
      <w:tblStyleRowBandSize w:val="1"/>
      <w:tblStyleColBandSize w:val="1"/>
      <w:tblBorders>
        <w:top w:val="single" w:sz="4" w:space="0" w:color="D62946" w:themeColor="accent6" w:themeTint="99"/>
        <w:bottom w:val="single" w:sz="4" w:space="0" w:color="D62946" w:themeColor="accent6" w:themeTint="99"/>
        <w:insideH w:val="single" w:sz="4" w:space="0" w:color="D6294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customStyle="1" w:styleId="ListTable31">
    <w:name w:val="List Table 31"/>
    <w:basedOn w:val="TableNormal"/>
    <w:uiPriority w:val="48"/>
    <w:semiHidden/>
    <w:rsid w:val="00C551E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C551E1"/>
    <w:pPr>
      <w:spacing w:after="0"/>
    </w:pPr>
    <w:tblPr>
      <w:tblStyleRowBandSize w:val="1"/>
      <w:tblStyleColBandSize w:val="1"/>
      <w:tblBorders>
        <w:top w:val="single" w:sz="4" w:space="0" w:color="931B2F" w:themeColor="accent1"/>
        <w:left w:val="single" w:sz="4" w:space="0" w:color="931B2F" w:themeColor="accent1"/>
        <w:bottom w:val="single" w:sz="4" w:space="0" w:color="931B2F" w:themeColor="accent1"/>
        <w:right w:val="single" w:sz="4" w:space="0" w:color="931B2F" w:themeColor="accent1"/>
      </w:tblBorders>
    </w:tblPr>
    <w:tblStylePr w:type="firstRow">
      <w:rPr>
        <w:b/>
        <w:bCs/>
        <w:color w:val="FFFFFF" w:themeColor="background1"/>
      </w:rPr>
      <w:tblPr/>
      <w:tcPr>
        <w:shd w:val="clear" w:color="auto" w:fill="931B2F" w:themeFill="accent1"/>
      </w:tcPr>
    </w:tblStylePr>
    <w:tblStylePr w:type="lastRow">
      <w:rPr>
        <w:b/>
        <w:bCs/>
      </w:rPr>
      <w:tblPr/>
      <w:tcPr>
        <w:tcBorders>
          <w:top w:val="double" w:sz="4" w:space="0" w:color="931B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1B2F" w:themeColor="accent1"/>
          <w:right w:val="single" w:sz="4" w:space="0" w:color="931B2F" w:themeColor="accent1"/>
        </w:tcBorders>
      </w:tcPr>
    </w:tblStylePr>
    <w:tblStylePr w:type="band1Horz">
      <w:tblPr/>
      <w:tcPr>
        <w:tcBorders>
          <w:top w:val="single" w:sz="4" w:space="0" w:color="931B2F" w:themeColor="accent1"/>
          <w:bottom w:val="single" w:sz="4" w:space="0" w:color="931B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1B2F" w:themeColor="accent1"/>
          <w:left w:val="nil"/>
        </w:tcBorders>
      </w:tcPr>
    </w:tblStylePr>
    <w:tblStylePr w:type="swCell">
      <w:tblPr/>
      <w:tcPr>
        <w:tcBorders>
          <w:top w:val="double" w:sz="4" w:space="0" w:color="931B2F" w:themeColor="accent1"/>
          <w:right w:val="nil"/>
        </w:tcBorders>
      </w:tcPr>
    </w:tblStylePr>
  </w:style>
  <w:style w:type="table" w:customStyle="1" w:styleId="ListTable3-Accent21">
    <w:name w:val="List Table 3 - Accent 21"/>
    <w:basedOn w:val="TableNormal"/>
    <w:uiPriority w:val="48"/>
    <w:semiHidden/>
    <w:rsid w:val="00C551E1"/>
    <w:pPr>
      <w:spacing w:after="0"/>
    </w:pPr>
    <w:tblPr>
      <w:tblStyleRowBandSize w:val="1"/>
      <w:tblStyleColBandSize w:val="1"/>
      <w:tblBorders>
        <w:top w:val="single" w:sz="4" w:space="0" w:color="B35F6D" w:themeColor="accent2"/>
        <w:left w:val="single" w:sz="4" w:space="0" w:color="B35F6D" w:themeColor="accent2"/>
        <w:bottom w:val="single" w:sz="4" w:space="0" w:color="B35F6D" w:themeColor="accent2"/>
        <w:right w:val="single" w:sz="4" w:space="0" w:color="B35F6D" w:themeColor="accent2"/>
      </w:tblBorders>
    </w:tblPr>
    <w:tblStylePr w:type="firstRow">
      <w:rPr>
        <w:b/>
        <w:bCs/>
        <w:color w:val="FFFFFF" w:themeColor="background1"/>
      </w:rPr>
      <w:tblPr/>
      <w:tcPr>
        <w:shd w:val="clear" w:color="auto" w:fill="B35F6D" w:themeFill="accent2"/>
      </w:tcPr>
    </w:tblStylePr>
    <w:tblStylePr w:type="lastRow">
      <w:rPr>
        <w:b/>
        <w:bCs/>
      </w:rPr>
      <w:tblPr/>
      <w:tcPr>
        <w:tcBorders>
          <w:top w:val="double" w:sz="4" w:space="0" w:color="B35F6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5F6D" w:themeColor="accent2"/>
          <w:right w:val="single" w:sz="4" w:space="0" w:color="B35F6D" w:themeColor="accent2"/>
        </w:tcBorders>
      </w:tcPr>
    </w:tblStylePr>
    <w:tblStylePr w:type="band1Horz">
      <w:tblPr/>
      <w:tcPr>
        <w:tcBorders>
          <w:top w:val="single" w:sz="4" w:space="0" w:color="B35F6D" w:themeColor="accent2"/>
          <w:bottom w:val="single" w:sz="4" w:space="0" w:color="B35F6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5F6D" w:themeColor="accent2"/>
          <w:left w:val="nil"/>
        </w:tcBorders>
      </w:tcPr>
    </w:tblStylePr>
    <w:tblStylePr w:type="swCell">
      <w:tblPr/>
      <w:tcPr>
        <w:tcBorders>
          <w:top w:val="double" w:sz="4" w:space="0" w:color="B35F6D" w:themeColor="accent2"/>
          <w:right w:val="nil"/>
        </w:tcBorders>
      </w:tcPr>
    </w:tblStylePr>
  </w:style>
  <w:style w:type="table" w:customStyle="1" w:styleId="ListTable3-Accent31">
    <w:name w:val="List Table 3 - Accent 31"/>
    <w:basedOn w:val="TableNormal"/>
    <w:uiPriority w:val="48"/>
    <w:semiHidden/>
    <w:rsid w:val="00C551E1"/>
    <w:pPr>
      <w:spacing w:after="0"/>
    </w:pPr>
    <w:tblPr>
      <w:tblStyleRowBandSize w:val="1"/>
      <w:tblStyleColBandSize w:val="1"/>
      <w:tblBorders>
        <w:top w:val="single" w:sz="4" w:space="0" w:color="E8E7E7" w:themeColor="accent3"/>
        <w:left w:val="single" w:sz="4" w:space="0" w:color="E8E7E7" w:themeColor="accent3"/>
        <w:bottom w:val="single" w:sz="4" w:space="0" w:color="E8E7E7" w:themeColor="accent3"/>
        <w:right w:val="single" w:sz="4" w:space="0" w:color="E8E7E7" w:themeColor="accent3"/>
      </w:tblBorders>
    </w:tblPr>
    <w:tblStylePr w:type="firstRow">
      <w:rPr>
        <w:b/>
        <w:bCs/>
        <w:color w:val="FFFFFF" w:themeColor="background1"/>
      </w:rPr>
      <w:tblPr/>
      <w:tcPr>
        <w:shd w:val="clear" w:color="auto" w:fill="E8E7E7" w:themeFill="accent3"/>
      </w:tcPr>
    </w:tblStylePr>
    <w:tblStylePr w:type="lastRow">
      <w:rPr>
        <w:b/>
        <w:bCs/>
      </w:rPr>
      <w:tblPr/>
      <w:tcPr>
        <w:tcBorders>
          <w:top w:val="double" w:sz="4" w:space="0" w:color="E8E7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E7E7" w:themeColor="accent3"/>
          <w:right w:val="single" w:sz="4" w:space="0" w:color="E8E7E7" w:themeColor="accent3"/>
        </w:tcBorders>
      </w:tcPr>
    </w:tblStylePr>
    <w:tblStylePr w:type="band1Horz">
      <w:tblPr/>
      <w:tcPr>
        <w:tcBorders>
          <w:top w:val="single" w:sz="4" w:space="0" w:color="E8E7E7" w:themeColor="accent3"/>
          <w:bottom w:val="single" w:sz="4" w:space="0" w:color="E8E7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E7E7" w:themeColor="accent3"/>
          <w:left w:val="nil"/>
        </w:tcBorders>
      </w:tcPr>
    </w:tblStylePr>
    <w:tblStylePr w:type="swCell">
      <w:tblPr/>
      <w:tcPr>
        <w:tcBorders>
          <w:top w:val="double" w:sz="4" w:space="0" w:color="E8E7E7" w:themeColor="accent3"/>
          <w:right w:val="nil"/>
        </w:tcBorders>
      </w:tcPr>
    </w:tblStylePr>
  </w:style>
  <w:style w:type="table" w:customStyle="1" w:styleId="ListTable3-Accent41">
    <w:name w:val="List Table 3 - Accent 41"/>
    <w:basedOn w:val="TableNormal"/>
    <w:uiPriority w:val="48"/>
    <w:semiHidden/>
    <w:rsid w:val="00C551E1"/>
    <w:pPr>
      <w:spacing w:after="0"/>
    </w:pPr>
    <w:tblPr>
      <w:tblStyleRowBandSize w:val="1"/>
      <w:tblStyleColBandSize w:val="1"/>
      <w:tblBorders>
        <w:top w:val="single" w:sz="4" w:space="0" w:color="8C8686" w:themeColor="accent4"/>
        <w:left w:val="single" w:sz="4" w:space="0" w:color="8C8686" w:themeColor="accent4"/>
        <w:bottom w:val="single" w:sz="4" w:space="0" w:color="8C8686" w:themeColor="accent4"/>
        <w:right w:val="single" w:sz="4" w:space="0" w:color="8C8686" w:themeColor="accent4"/>
      </w:tblBorders>
    </w:tblPr>
    <w:tblStylePr w:type="firstRow">
      <w:rPr>
        <w:b/>
        <w:bCs/>
        <w:color w:val="FFFFFF" w:themeColor="background1"/>
      </w:rPr>
      <w:tblPr/>
      <w:tcPr>
        <w:shd w:val="clear" w:color="auto" w:fill="8C8686" w:themeFill="accent4"/>
      </w:tcPr>
    </w:tblStylePr>
    <w:tblStylePr w:type="lastRow">
      <w:rPr>
        <w:b/>
        <w:bCs/>
      </w:rPr>
      <w:tblPr/>
      <w:tcPr>
        <w:tcBorders>
          <w:top w:val="double" w:sz="4" w:space="0" w:color="8C868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8686" w:themeColor="accent4"/>
          <w:right w:val="single" w:sz="4" w:space="0" w:color="8C8686" w:themeColor="accent4"/>
        </w:tcBorders>
      </w:tcPr>
    </w:tblStylePr>
    <w:tblStylePr w:type="band1Horz">
      <w:tblPr/>
      <w:tcPr>
        <w:tcBorders>
          <w:top w:val="single" w:sz="4" w:space="0" w:color="8C8686" w:themeColor="accent4"/>
          <w:bottom w:val="single" w:sz="4" w:space="0" w:color="8C868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8686" w:themeColor="accent4"/>
          <w:left w:val="nil"/>
        </w:tcBorders>
      </w:tcPr>
    </w:tblStylePr>
    <w:tblStylePr w:type="swCell">
      <w:tblPr/>
      <w:tcPr>
        <w:tcBorders>
          <w:top w:val="double" w:sz="4" w:space="0" w:color="8C8686" w:themeColor="accent4"/>
          <w:right w:val="nil"/>
        </w:tcBorders>
      </w:tcPr>
    </w:tblStylePr>
  </w:style>
  <w:style w:type="table" w:customStyle="1" w:styleId="ListTable3-Accent51">
    <w:name w:val="List Table 3 - Accent 51"/>
    <w:basedOn w:val="TableNormal"/>
    <w:uiPriority w:val="48"/>
    <w:semiHidden/>
    <w:rsid w:val="00C551E1"/>
    <w:pPr>
      <w:spacing w:after="0"/>
    </w:pPr>
    <w:tblPr>
      <w:tblStyleRowBandSize w:val="1"/>
      <w:tblStyleColBandSize w:val="1"/>
      <w:tblBorders>
        <w:top w:val="single" w:sz="4" w:space="0" w:color="2C2A2A" w:themeColor="accent5"/>
        <w:left w:val="single" w:sz="4" w:space="0" w:color="2C2A2A" w:themeColor="accent5"/>
        <w:bottom w:val="single" w:sz="4" w:space="0" w:color="2C2A2A" w:themeColor="accent5"/>
        <w:right w:val="single" w:sz="4" w:space="0" w:color="2C2A2A" w:themeColor="accent5"/>
      </w:tblBorders>
    </w:tblPr>
    <w:tblStylePr w:type="firstRow">
      <w:rPr>
        <w:b/>
        <w:bCs/>
        <w:color w:val="FFFFFF" w:themeColor="background1"/>
      </w:rPr>
      <w:tblPr/>
      <w:tcPr>
        <w:shd w:val="clear" w:color="auto" w:fill="2C2A2A" w:themeFill="accent5"/>
      </w:tcPr>
    </w:tblStylePr>
    <w:tblStylePr w:type="lastRow">
      <w:rPr>
        <w:b/>
        <w:bCs/>
      </w:rPr>
      <w:tblPr/>
      <w:tcPr>
        <w:tcBorders>
          <w:top w:val="double" w:sz="4" w:space="0" w:color="2C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A2A" w:themeColor="accent5"/>
          <w:right w:val="single" w:sz="4" w:space="0" w:color="2C2A2A" w:themeColor="accent5"/>
        </w:tcBorders>
      </w:tcPr>
    </w:tblStylePr>
    <w:tblStylePr w:type="band1Horz">
      <w:tblPr/>
      <w:tcPr>
        <w:tcBorders>
          <w:top w:val="single" w:sz="4" w:space="0" w:color="2C2A2A" w:themeColor="accent5"/>
          <w:bottom w:val="single" w:sz="4" w:space="0" w:color="2C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A2A" w:themeColor="accent5"/>
          <w:left w:val="nil"/>
        </w:tcBorders>
      </w:tcPr>
    </w:tblStylePr>
    <w:tblStylePr w:type="swCell">
      <w:tblPr/>
      <w:tcPr>
        <w:tcBorders>
          <w:top w:val="double" w:sz="4" w:space="0" w:color="2C2A2A" w:themeColor="accent5"/>
          <w:right w:val="nil"/>
        </w:tcBorders>
      </w:tcPr>
    </w:tblStylePr>
  </w:style>
  <w:style w:type="table" w:customStyle="1" w:styleId="ListTable3-Accent61">
    <w:name w:val="List Table 3 - Accent 61"/>
    <w:basedOn w:val="TableNormal"/>
    <w:uiPriority w:val="48"/>
    <w:semiHidden/>
    <w:rsid w:val="00C551E1"/>
    <w:pPr>
      <w:spacing w:after="0"/>
    </w:pPr>
    <w:tblPr>
      <w:tblStyleRowBandSize w:val="1"/>
      <w:tblStyleColBandSize w:val="1"/>
      <w:tblBorders>
        <w:top w:val="single" w:sz="4" w:space="0" w:color="4A0E18" w:themeColor="accent6"/>
        <w:left w:val="single" w:sz="4" w:space="0" w:color="4A0E18" w:themeColor="accent6"/>
        <w:bottom w:val="single" w:sz="4" w:space="0" w:color="4A0E18" w:themeColor="accent6"/>
        <w:right w:val="single" w:sz="4" w:space="0" w:color="4A0E18" w:themeColor="accent6"/>
      </w:tblBorders>
    </w:tblPr>
    <w:tblStylePr w:type="firstRow">
      <w:rPr>
        <w:b/>
        <w:bCs/>
        <w:color w:val="FFFFFF" w:themeColor="background1"/>
      </w:rPr>
      <w:tblPr/>
      <w:tcPr>
        <w:shd w:val="clear" w:color="auto" w:fill="4A0E18" w:themeFill="accent6"/>
      </w:tcPr>
    </w:tblStylePr>
    <w:tblStylePr w:type="lastRow">
      <w:rPr>
        <w:b/>
        <w:bCs/>
      </w:rPr>
      <w:tblPr/>
      <w:tcPr>
        <w:tcBorders>
          <w:top w:val="double" w:sz="4" w:space="0" w:color="4A0E1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0E18" w:themeColor="accent6"/>
          <w:right w:val="single" w:sz="4" w:space="0" w:color="4A0E18" w:themeColor="accent6"/>
        </w:tcBorders>
      </w:tcPr>
    </w:tblStylePr>
    <w:tblStylePr w:type="band1Horz">
      <w:tblPr/>
      <w:tcPr>
        <w:tcBorders>
          <w:top w:val="single" w:sz="4" w:space="0" w:color="4A0E18" w:themeColor="accent6"/>
          <w:bottom w:val="single" w:sz="4" w:space="0" w:color="4A0E1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0E18" w:themeColor="accent6"/>
          <w:left w:val="nil"/>
        </w:tcBorders>
      </w:tcPr>
    </w:tblStylePr>
    <w:tblStylePr w:type="swCell">
      <w:tblPr/>
      <w:tcPr>
        <w:tcBorders>
          <w:top w:val="double" w:sz="4" w:space="0" w:color="4A0E18" w:themeColor="accent6"/>
          <w:right w:val="nil"/>
        </w:tcBorders>
      </w:tcPr>
    </w:tblStylePr>
  </w:style>
  <w:style w:type="table" w:customStyle="1" w:styleId="ListTable41">
    <w:name w:val="List Table 41"/>
    <w:basedOn w:val="TableNormal"/>
    <w:uiPriority w:val="49"/>
    <w:semiHidden/>
    <w:rsid w:val="00C551E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C551E1"/>
    <w:pPr>
      <w:spacing w:after="0"/>
    </w:p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tblBorders>
    </w:tblPr>
    <w:tblStylePr w:type="firstRow">
      <w:rPr>
        <w:b/>
        <w:bCs/>
        <w:color w:val="FFFFFF" w:themeColor="background1"/>
      </w:rPr>
      <w:tblPr/>
      <w:tcPr>
        <w:tcBorders>
          <w:top w:val="single" w:sz="4" w:space="0" w:color="931B2F" w:themeColor="accent1"/>
          <w:left w:val="single" w:sz="4" w:space="0" w:color="931B2F" w:themeColor="accent1"/>
          <w:bottom w:val="single" w:sz="4" w:space="0" w:color="931B2F" w:themeColor="accent1"/>
          <w:right w:val="single" w:sz="4" w:space="0" w:color="931B2F" w:themeColor="accent1"/>
          <w:insideH w:val="nil"/>
        </w:tcBorders>
        <w:shd w:val="clear" w:color="auto" w:fill="931B2F" w:themeFill="accent1"/>
      </w:tcPr>
    </w:tblStylePr>
    <w:tblStylePr w:type="lastRow">
      <w:rPr>
        <w:b/>
        <w:bCs/>
      </w:rPr>
      <w:tblPr/>
      <w:tcPr>
        <w:tcBorders>
          <w:top w:val="double" w:sz="4" w:space="0" w:color="DF546B" w:themeColor="accent1" w:themeTint="99"/>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customStyle="1" w:styleId="ListTable4-Accent21">
    <w:name w:val="List Table 4 - Accent 21"/>
    <w:basedOn w:val="TableNormal"/>
    <w:uiPriority w:val="49"/>
    <w:semiHidden/>
    <w:rsid w:val="00C551E1"/>
    <w:pPr>
      <w:spacing w:after="0"/>
    </w:p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tblBorders>
    </w:tblPr>
    <w:tblStylePr w:type="firstRow">
      <w:rPr>
        <w:b/>
        <w:bCs/>
        <w:color w:val="FFFFFF" w:themeColor="background1"/>
      </w:rPr>
      <w:tblPr/>
      <w:tcPr>
        <w:tcBorders>
          <w:top w:val="single" w:sz="4" w:space="0" w:color="B35F6D" w:themeColor="accent2"/>
          <w:left w:val="single" w:sz="4" w:space="0" w:color="B35F6D" w:themeColor="accent2"/>
          <w:bottom w:val="single" w:sz="4" w:space="0" w:color="B35F6D" w:themeColor="accent2"/>
          <w:right w:val="single" w:sz="4" w:space="0" w:color="B35F6D" w:themeColor="accent2"/>
          <w:insideH w:val="nil"/>
        </w:tcBorders>
        <w:shd w:val="clear" w:color="auto" w:fill="B35F6D" w:themeFill="accent2"/>
      </w:tcPr>
    </w:tblStylePr>
    <w:tblStylePr w:type="lastRow">
      <w:rPr>
        <w:b/>
        <w:bCs/>
      </w:rPr>
      <w:tblPr/>
      <w:tcPr>
        <w:tcBorders>
          <w:top w:val="double" w:sz="4" w:space="0" w:color="D19EA7" w:themeColor="accent2" w:themeTint="99"/>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customStyle="1" w:styleId="ListTable4-Accent31">
    <w:name w:val="List Table 4 - Accent 31"/>
    <w:basedOn w:val="TableNormal"/>
    <w:uiPriority w:val="49"/>
    <w:semiHidden/>
    <w:rsid w:val="00C551E1"/>
    <w:pPr>
      <w:spacing w:after="0"/>
    </w:p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tblBorders>
    </w:tblPr>
    <w:tblStylePr w:type="firstRow">
      <w:rPr>
        <w:b/>
        <w:bCs/>
        <w:color w:val="FFFFFF" w:themeColor="background1"/>
      </w:rPr>
      <w:tblPr/>
      <w:tcPr>
        <w:tcBorders>
          <w:top w:val="single" w:sz="4" w:space="0" w:color="E8E7E7" w:themeColor="accent3"/>
          <w:left w:val="single" w:sz="4" w:space="0" w:color="E8E7E7" w:themeColor="accent3"/>
          <w:bottom w:val="single" w:sz="4" w:space="0" w:color="E8E7E7" w:themeColor="accent3"/>
          <w:right w:val="single" w:sz="4" w:space="0" w:color="E8E7E7" w:themeColor="accent3"/>
          <w:insideH w:val="nil"/>
        </w:tcBorders>
        <w:shd w:val="clear" w:color="auto" w:fill="E8E7E7" w:themeFill="accent3"/>
      </w:tcPr>
    </w:tblStylePr>
    <w:tblStylePr w:type="lastRow">
      <w:rPr>
        <w:b/>
        <w:bCs/>
      </w:rPr>
      <w:tblPr/>
      <w:tcPr>
        <w:tcBorders>
          <w:top w:val="double" w:sz="4" w:space="0" w:color="F1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ListTable4-Accent41">
    <w:name w:val="List Table 4 - Accent 41"/>
    <w:basedOn w:val="TableNormal"/>
    <w:uiPriority w:val="49"/>
    <w:semiHidden/>
    <w:rsid w:val="00C551E1"/>
    <w:pPr>
      <w:spacing w:after="0"/>
    </w:p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tblBorders>
    </w:tblPr>
    <w:tblStylePr w:type="firstRow">
      <w:rPr>
        <w:b/>
        <w:bCs/>
        <w:color w:val="FFFFFF" w:themeColor="background1"/>
      </w:rPr>
      <w:tblPr/>
      <w:tcPr>
        <w:tcBorders>
          <w:top w:val="single" w:sz="4" w:space="0" w:color="8C8686" w:themeColor="accent4"/>
          <w:left w:val="single" w:sz="4" w:space="0" w:color="8C8686" w:themeColor="accent4"/>
          <w:bottom w:val="single" w:sz="4" w:space="0" w:color="8C8686" w:themeColor="accent4"/>
          <w:right w:val="single" w:sz="4" w:space="0" w:color="8C8686" w:themeColor="accent4"/>
          <w:insideH w:val="nil"/>
        </w:tcBorders>
        <w:shd w:val="clear" w:color="auto" w:fill="8C8686" w:themeFill="accent4"/>
      </w:tcPr>
    </w:tblStylePr>
    <w:tblStylePr w:type="lastRow">
      <w:rPr>
        <w:b/>
        <w:bCs/>
      </w:rPr>
      <w:tblPr/>
      <w:tcPr>
        <w:tcBorders>
          <w:top w:val="double" w:sz="4" w:space="0" w:color="BAB6B6" w:themeColor="accent4" w:themeTint="99"/>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customStyle="1" w:styleId="ListTable4-Accent51">
    <w:name w:val="List Table 4 - Accent 51"/>
    <w:basedOn w:val="TableNormal"/>
    <w:uiPriority w:val="49"/>
    <w:semiHidden/>
    <w:rsid w:val="00C551E1"/>
    <w:pPr>
      <w:spacing w:after="0"/>
    </w:p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tblBorders>
    </w:tblPr>
    <w:tblStylePr w:type="firstRow">
      <w:rPr>
        <w:b/>
        <w:bCs/>
        <w:color w:val="FFFFFF" w:themeColor="background1"/>
      </w:rPr>
      <w:tblPr/>
      <w:tcPr>
        <w:tcBorders>
          <w:top w:val="single" w:sz="4" w:space="0" w:color="2C2A2A" w:themeColor="accent5"/>
          <w:left w:val="single" w:sz="4" w:space="0" w:color="2C2A2A" w:themeColor="accent5"/>
          <w:bottom w:val="single" w:sz="4" w:space="0" w:color="2C2A2A" w:themeColor="accent5"/>
          <w:right w:val="single" w:sz="4" w:space="0" w:color="2C2A2A" w:themeColor="accent5"/>
          <w:insideH w:val="nil"/>
        </w:tcBorders>
        <w:shd w:val="clear" w:color="auto" w:fill="2C2A2A" w:themeFill="accent5"/>
      </w:tcPr>
    </w:tblStylePr>
    <w:tblStylePr w:type="lastRow">
      <w:rPr>
        <w:b/>
        <w:bCs/>
      </w:rPr>
      <w:tblPr/>
      <w:tcPr>
        <w:tcBorders>
          <w:top w:val="double" w:sz="4" w:space="0" w:color="827C7C" w:themeColor="accent5" w:themeTint="99"/>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customStyle="1" w:styleId="ListTable4-Accent61">
    <w:name w:val="List Table 4 - Accent 61"/>
    <w:basedOn w:val="TableNormal"/>
    <w:uiPriority w:val="49"/>
    <w:semiHidden/>
    <w:rsid w:val="00C551E1"/>
    <w:pPr>
      <w:spacing w:after="0"/>
    </w:p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tblBorders>
    </w:tblPr>
    <w:tblStylePr w:type="firstRow">
      <w:rPr>
        <w:b/>
        <w:bCs/>
        <w:color w:val="FFFFFF" w:themeColor="background1"/>
      </w:rPr>
      <w:tblPr/>
      <w:tcPr>
        <w:tcBorders>
          <w:top w:val="single" w:sz="4" w:space="0" w:color="4A0E18" w:themeColor="accent6"/>
          <w:left w:val="single" w:sz="4" w:space="0" w:color="4A0E18" w:themeColor="accent6"/>
          <w:bottom w:val="single" w:sz="4" w:space="0" w:color="4A0E18" w:themeColor="accent6"/>
          <w:right w:val="single" w:sz="4" w:space="0" w:color="4A0E18" w:themeColor="accent6"/>
          <w:insideH w:val="nil"/>
        </w:tcBorders>
        <w:shd w:val="clear" w:color="auto" w:fill="4A0E18" w:themeFill="accent6"/>
      </w:tcPr>
    </w:tblStylePr>
    <w:tblStylePr w:type="lastRow">
      <w:rPr>
        <w:b/>
        <w:bCs/>
      </w:rPr>
      <w:tblPr/>
      <w:tcPr>
        <w:tcBorders>
          <w:top w:val="double" w:sz="4" w:space="0" w:color="D62946" w:themeColor="accent6" w:themeTint="99"/>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customStyle="1" w:styleId="ListTable5Dark1">
    <w:name w:val="List Table 5 Dark1"/>
    <w:basedOn w:val="TableNormal"/>
    <w:uiPriority w:val="50"/>
    <w:semiHidden/>
    <w:rsid w:val="00C551E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C551E1"/>
    <w:pPr>
      <w:spacing w:after="0"/>
    </w:pPr>
    <w:rPr>
      <w:color w:val="FFFFFF" w:themeColor="background1"/>
    </w:rPr>
    <w:tblPr>
      <w:tblStyleRowBandSize w:val="1"/>
      <w:tblStyleColBandSize w:val="1"/>
      <w:tblBorders>
        <w:top w:val="single" w:sz="24" w:space="0" w:color="931B2F" w:themeColor="accent1"/>
        <w:left w:val="single" w:sz="24" w:space="0" w:color="931B2F" w:themeColor="accent1"/>
        <w:bottom w:val="single" w:sz="24" w:space="0" w:color="931B2F" w:themeColor="accent1"/>
        <w:right w:val="single" w:sz="24" w:space="0" w:color="931B2F" w:themeColor="accent1"/>
      </w:tblBorders>
    </w:tblPr>
    <w:tcPr>
      <w:shd w:val="clear" w:color="auto" w:fill="931B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C551E1"/>
    <w:pPr>
      <w:spacing w:after="0"/>
    </w:pPr>
    <w:rPr>
      <w:color w:val="FFFFFF" w:themeColor="background1"/>
    </w:rPr>
    <w:tblPr>
      <w:tblStyleRowBandSize w:val="1"/>
      <w:tblStyleColBandSize w:val="1"/>
      <w:tblBorders>
        <w:top w:val="single" w:sz="24" w:space="0" w:color="B35F6D" w:themeColor="accent2"/>
        <w:left w:val="single" w:sz="24" w:space="0" w:color="B35F6D" w:themeColor="accent2"/>
        <w:bottom w:val="single" w:sz="24" w:space="0" w:color="B35F6D" w:themeColor="accent2"/>
        <w:right w:val="single" w:sz="24" w:space="0" w:color="B35F6D" w:themeColor="accent2"/>
      </w:tblBorders>
    </w:tblPr>
    <w:tcPr>
      <w:shd w:val="clear" w:color="auto" w:fill="B35F6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C551E1"/>
    <w:pPr>
      <w:spacing w:after="0"/>
    </w:pPr>
    <w:rPr>
      <w:color w:val="FFFFFF" w:themeColor="background1"/>
    </w:rPr>
    <w:tblPr>
      <w:tblStyleRowBandSize w:val="1"/>
      <w:tblStyleColBandSize w:val="1"/>
      <w:tblBorders>
        <w:top w:val="single" w:sz="24" w:space="0" w:color="E8E7E7" w:themeColor="accent3"/>
        <w:left w:val="single" w:sz="24" w:space="0" w:color="E8E7E7" w:themeColor="accent3"/>
        <w:bottom w:val="single" w:sz="24" w:space="0" w:color="E8E7E7" w:themeColor="accent3"/>
        <w:right w:val="single" w:sz="24" w:space="0" w:color="E8E7E7" w:themeColor="accent3"/>
      </w:tblBorders>
    </w:tblPr>
    <w:tcPr>
      <w:shd w:val="clear" w:color="auto" w:fill="E8E7E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C551E1"/>
    <w:pPr>
      <w:spacing w:after="0"/>
    </w:pPr>
    <w:rPr>
      <w:color w:val="FFFFFF" w:themeColor="background1"/>
    </w:rPr>
    <w:tblPr>
      <w:tblStyleRowBandSize w:val="1"/>
      <w:tblStyleColBandSize w:val="1"/>
      <w:tblBorders>
        <w:top w:val="single" w:sz="24" w:space="0" w:color="8C8686" w:themeColor="accent4"/>
        <w:left w:val="single" w:sz="24" w:space="0" w:color="8C8686" w:themeColor="accent4"/>
        <w:bottom w:val="single" w:sz="24" w:space="0" w:color="8C8686" w:themeColor="accent4"/>
        <w:right w:val="single" w:sz="24" w:space="0" w:color="8C8686" w:themeColor="accent4"/>
      </w:tblBorders>
    </w:tblPr>
    <w:tcPr>
      <w:shd w:val="clear" w:color="auto" w:fill="8C868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C551E1"/>
    <w:pPr>
      <w:spacing w:after="0"/>
    </w:pPr>
    <w:rPr>
      <w:color w:val="FFFFFF" w:themeColor="background1"/>
    </w:rPr>
    <w:tblPr>
      <w:tblStyleRowBandSize w:val="1"/>
      <w:tblStyleColBandSize w:val="1"/>
      <w:tblBorders>
        <w:top w:val="single" w:sz="24" w:space="0" w:color="2C2A2A" w:themeColor="accent5"/>
        <w:left w:val="single" w:sz="24" w:space="0" w:color="2C2A2A" w:themeColor="accent5"/>
        <w:bottom w:val="single" w:sz="24" w:space="0" w:color="2C2A2A" w:themeColor="accent5"/>
        <w:right w:val="single" w:sz="24" w:space="0" w:color="2C2A2A" w:themeColor="accent5"/>
      </w:tblBorders>
    </w:tblPr>
    <w:tcPr>
      <w:shd w:val="clear" w:color="auto" w:fill="2C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C551E1"/>
    <w:pPr>
      <w:spacing w:after="0"/>
    </w:pPr>
    <w:rPr>
      <w:color w:val="FFFFFF" w:themeColor="background1"/>
    </w:rPr>
    <w:tblPr>
      <w:tblStyleRowBandSize w:val="1"/>
      <w:tblStyleColBandSize w:val="1"/>
      <w:tblBorders>
        <w:top w:val="single" w:sz="24" w:space="0" w:color="4A0E18" w:themeColor="accent6"/>
        <w:left w:val="single" w:sz="24" w:space="0" w:color="4A0E18" w:themeColor="accent6"/>
        <w:bottom w:val="single" w:sz="24" w:space="0" w:color="4A0E18" w:themeColor="accent6"/>
        <w:right w:val="single" w:sz="24" w:space="0" w:color="4A0E18" w:themeColor="accent6"/>
      </w:tblBorders>
    </w:tblPr>
    <w:tcPr>
      <w:shd w:val="clear" w:color="auto" w:fill="4A0E1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C551E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C551E1"/>
    <w:pPr>
      <w:spacing w:after="0"/>
    </w:pPr>
    <w:rPr>
      <w:color w:val="6D1423" w:themeColor="accent1" w:themeShade="BF"/>
    </w:rPr>
    <w:tblPr>
      <w:tblStyleRowBandSize w:val="1"/>
      <w:tblStyleColBandSize w:val="1"/>
      <w:tblBorders>
        <w:top w:val="single" w:sz="4" w:space="0" w:color="931B2F" w:themeColor="accent1"/>
        <w:bottom w:val="single" w:sz="4" w:space="0" w:color="931B2F" w:themeColor="accent1"/>
      </w:tblBorders>
    </w:tblPr>
    <w:tblStylePr w:type="firstRow">
      <w:rPr>
        <w:b/>
        <w:bCs/>
      </w:rPr>
      <w:tblPr/>
      <w:tcPr>
        <w:tcBorders>
          <w:bottom w:val="single" w:sz="4" w:space="0" w:color="931B2F" w:themeColor="accent1"/>
        </w:tcBorders>
      </w:tcPr>
    </w:tblStylePr>
    <w:tblStylePr w:type="lastRow">
      <w:rPr>
        <w:b/>
        <w:bCs/>
      </w:rPr>
      <w:tblPr/>
      <w:tcPr>
        <w:tcBorders>
          <w:top w:val="double" w:sz="4" w:space="0" w:color="931B2F" w:themeColor="accent1"/>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customStyle="1" w:styleId="ListTable6Colorful-Accent21">
    <w:name w:val="List Table 6 Colorful - Accent 21"/>
    <w:basedOn w:val="TableNormal"/>
    <w:uiPriority w:val="51"/>
    <w:semiHidden/>
    <w:rsid w:val="00C551E1"/>
    <w:pPr>
      <w:spacing w:after="0"/>
    </w:pPr>
    <w:rPr>
      <w:color w:val="8A424E" w:themeColor="accent2" w:themeShade="BF"/>
    </w:rPr>
    <w:tblPr>
      <w:tblStyleRowBandSize w:val="1"/>
      <w:tblStyleColBandSize w:val="1"/>
      <w:tblBorders>
        <w:top w:val="single" w:sz="4" w:space="0" w:color="B35F6D" w:themeColor="accent2"/>
        <w:bottom w:val="single" w:sz="4" w:space="0" w:color="B35F6D" w:themeColor="accent2"/>
      </w:tblBorders>
    </w:tblPr>
    <w:tblStylePr w:type="firstRow">
      <w:rPr>
        <w:b/>
        <w:bCs/>
      </w:rPr>
      <w:tblPr/>
      <w:tcPr>
        <w:tcBorders>
          <w:bottom w:val="single" w:sz="4" w:space="0" w:color="B35F6D" w:themeColor="accent2"/>
        </w:tcBorders>
      </w:tcPr>
    </w:tblStylePr>
    <w:tblStylePr w:type="lastRow">
      <w:rPr>
        <w:b/>
        <w:bCs/>
      </w:rPr>
      <w:tblPr/>
      <w:tcPr>
        <w:tcBorders>
          <w:top w:val="double" w:sz="4" w:space="0" w:color="B35F6D" w:themeColor="accent2"/>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customStyle="1" w:styleId="ListTable6Colorful-Accent31">
    <w:name w:val="List Table 6 Colorful - Accent 31"/>
    <w:basedOn w:val="TableNormal"/>
    <w:uiPriority w:val="51"/>
    <w:semiHidden/>
    <w:rsid w:val="00C551E1"/>
    <w:pPr>
      <w:spacing w:after="0"/>
    </w:pPr>
    <w:rPr>
      <w:color w:val="AFABAB" w:themeColor="accent3" w:themeShade="BF"/>
    </w:rPr>
    <w:tblPr>
      <w:tblStyleRowBandSize w:val="1"/>
      <w:tblStyleColBandSize w:val="1"/>
      <w:tblBorders>
        <w:top w:val="single" w:sz="4" w:space="0" w:color="E8E7E7" w:themeColor="accent3"/>
        <w:bottom w:val="single" w:sz="4" w:space="0" w:color="E8E7E7" w:themeColor="accent3"/>
      </w:tblBorders>
    </w:tblPr>
    <w:tblStylePr w:type="firstRow">
      <w:rPr>
        <w:b/>
        <w:bCs/>
      </w:rPr>
      <w:tblPr/>
      <w:tcPr>
        <w:tcBorders>
          <w:bottom w:val="single" w:sz="4" w:space="0" w:color="E8E7E7" w:themeColor="accent3"/>
        </w:tcBorders>
      </w:tcPr>
    </w:tblStylePr>
    <w:tblStylePr w:type="lastRow">
      <w:rPr>
        <w:b/>
        <w:bCs/>
      </w:rPr>
      <w:tblPr/>
      <w:tcPr>
        <w:tcBorders>
          <w:top w:val="double" w:sz="4" w:space="0" w:color="E8E7E7"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customStyle="1" w:styleId="ListTable6Colorful-Accent41">
    <w:name w:val="List Table 6 Colorful - Accent 41"/>
    <w:basedOn w:val="TableNormal"/>
    <w:uiPriority w:val="51"/>
    <w:semiHidden/>
    <w:rsid w:val="00C551E1"/>
    <w:pPr>
      <w:spacing w:after="0"/>
    </w:pPr>
    <w:rPr>
      <w:color w:val="696464" w:themeColor="accent4" w:themeShade="BF"/>
    </w:rPr>
    <w:tblPr>
      <w:tblStyleRowBandSize w:val="1"/>
      <w:tblStyleColBandSize w:val="1"/>
      <w:tblBorders>
        <w:top w:val="single" w:sz="4" w:space="0" w:color="8C8686" w:themeColor="accent4"/>
        <w:bottom w:val="single" w:sz="4" w:space="0" w:color="8C8686" w:themeColor="accent4"/>
      </w:tblBorders>
    </w:tblPr>
    <w:tblStylePr w:type="firstRow">
      <w:rPr>
        <w:b/>
        <w:bCs/>
      </w:rPr>
      <w:tblPr/>
      <w:tcPr>
        <w:tcBorders>
          <w:bottom w:val="single" w:sz="4" w:space="0" w:color="8C8686" w:themeColor="accent4"/>
        </w:tcBorders>
      </w:tcPr>
    </w:tblStylePr>
    <w:tblStylePr w:type="lastRow">
      <w:rPr>
        <w:b/>
        <w:bCs/>
      </w:rPr>
      <w:tblPr/>
      <w:tcPr>
        <w:tcBorders>
          <w:top w:val="double" w:sz="4" w:space="0" w:color="8C8686" w:themeColor="accent4"/>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customStyle="1" w:styleId="ListTable6Colorful-Accent51">
    <w:name w:val="List Table 6 Colorful - Accent 51"/>
    <w:basedOn w:val="TableNormal"/>
    <w:uiPriority w:val="51"/>
    <w:semiHidden/>
    <w:rsid w:val="00C551E1"/>
    <w:pPr>
      <w:spacing w:after="0"/>
    </w:pPr>
    <w:rPr>
      <w:color w:val="201F1F" w:themeColor="accent5" w:themeShade="BF"/>
    </w:rPr>
    <w:tblPr>
      <w:tblStyleRowBandSize w:val="1"/>
      <w:tblStyleColBandSize w:val="1"/>
      <w:tblBorders>
        <w:top w:val="single" w:sz="4" w:space="0" w:color="2C2A2A" w:themeColor="accent5"/>
        <w:bottom w:val="single" w:sz="4" w:space="0" w:color="2C2A2A" w:themeColor="accent5"/>
      </w:tblBorders>
    </w:tblPr>
    <w:tblStylePr w:type="firstRow">
      <w:rPr>
        <w:b/>
        <w:bCs/>
      </w:rPr>
      <w:tblPr/>
      <w:tcPr>
        <w:tcBorders>
          <w:bottom w:val="single" w:sz="4" w:space="0" w:color="2C2A2A" w:themeColor="accent5"/>
        </w:tcBorders>
      </w:tcPr>
    </w:tblStylePr>
    <w:tblStylePr w:type="lastRow">
      <w:rPr>
        <w:b/>
        <w:bCs/>
      </w:rPr>
      <w:tblPr/>
      <w:tcPr>
        <w:tcBorders>
          <w:top w:val="double" w:sz="4" w:space="0" w:color="2C2A2A" w:themeColor="accent5"/>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customStyle="1" w:styleId="ListTable6Colorful-Accent61">
    <w:name w:val="List Table 6 Colorful - Accent 61"/>
    <w:basedOn w:val="TableNormal"/>
    <w:uiPriority w:val="51"/>
    <w:semiHidden/>
    <w:rsid w:val="00C551E1"/>
    <w:pPr>
      <w:spacing w:after="0"/>
    </w:pPr>
    <w:rPr>
      <w:color w:val="370A11" w:themeColor="accent6" w:themeShade="BF"/>
    </w:rPr>
    <w:tblPr>
      <w:tblStyleRowBandSize w:val="1"/>
      <w:tblStyleColBandSize w:val="1"/>
      <w:tblBorders>
        <w:top w:val="single" w:sz="4" w:space="0" w:color="4A0E18" w:themeColor="accent6"/>
        <w:bottom w:val="single" w:sz="4" w:space="0" w:color="4A0E18" w:themeColor="accent6"/>
      </w:tblBorders>
    </w:tblPr>
    <w:tblStylePr w:type="firstRow">
      <w:rPr>
        <w:b/>
        <w:bCs/>
      </w:rPr>
      <w:tblPr/>
      <w:tcPr>
        <w:tcBorders>
          <w:bottom w:val="single" w:sz="4" w:space="0" w:color="4A0E18" w:themeColor="accent6"/>
        </w:tcBorders>
      </w:tcPr>
    </w:tblStylePr>
    <w:tblStylePr w:type="lastRow">
      <w:rPr>
        <w:b/>
        <w:bCs/>
      </w:rPr>
      <w:tblPr/>
      <w:tcPr>
        <w:tcBorders>
          <w:top w:val="double" w:sz="4" w:space="0" w:color="4A0E18" w:themeColor="accent6"/>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customStyle="1" w:styleId="ListTable7Colorful1">
    <w:name w:val="List Table 7 Colorful1"/>
    <w:basedOn w:val="TableNormal"/>
    <w:uiPriority w:val="52"/>
    <w:semiHidden/>
    <w:rsid w:val="00C551E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C551E1"/>
    <w:pPr>
      <w:spacing w:after="0"/>
    </w:pPr>
    <w:rPr>
      <w:color w:val="6D14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1B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1B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1B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1B2F" w:themeColor="accent1"/>
        </w:tcBorders>
        <w:shd w:val="clear" w:color="auto" w:fill="FFFFFF" w:themeFill="background1"/>
      </w:tcPr>
    </w:tblStylePr>
    <w:tblStylePr w:type="band1Vert">
      <w:tblPr/>
      <w:tcPr>
        <w:shd w:val="clear" w:color="auto" w:fill="F4C6CD" w:themeFill="accent1" w:themeFillTint="33"/>
      </w:tcPr>
    </w:tblStylePr>
    <w:tblStylePr w:type="band1Horz">
      <w:tblPr/>
      <w:tcPr>
        <w:shd w:val="clear" w:color="auto" w:fill="F4C6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C551E1"/>
    <w:pPr>
      <w:spacing w:after="0"/>
    </w:pPr>
    <w:rPr>
      <w:color w:val="8A424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5F6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5F6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5F6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5F6D" w:themeColor="accent2"/>
        </w:tcBorders>
        <w:shd w:val="clear" w:color="auto" w:fill="FFFFFF" w:themeFill="background1"/>
      </w:tcPr>
    </w:tblStylePr>
    <w:tblStylePr w:type="band1Vert">
      <w:tblPr/>
      <w:tcPr>
        <w:shd w:val="clear" w:color="auto" w:fill="EFDEE1" w:themeFill="accent2" w:themeFillTint="33"/>
      </w:tcPr>
    </w:tblStylePr>
    <w:tblStylePr w:type="band1Horz">
      <w:tblPr/>
      <w:tcPr>
        <w:shd w:val="clear" w:color="auto" w:fill="EF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C551E1"/>
    <w:pPr>
      <w:spacing w:after="0"/>
    </w:pPr>
    <w:rPr>
      <w:color w:val="AFAB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E7E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E7E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E7E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E7E7" w:themeColor="accent3"/>
        </w:tcBorders>
        <w:shd w:val="clear" w:color="auto" w:fill="FFFFFF"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C551E1"/>
    <w:pPr>
      <w:spacing w:after="0"/>
    </w:pPr>
    <w:rPr>
      <w:color w:val="69646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68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68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68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686" w:themeColor="accent4"/>
        </w:tcBorders>
        <w:shd w:val="clear" w:color="auto" w:fill="FFFFFF" w:themeFill="background1"/>
      </w:tcPr>
    </w:tblStylePr>
    <w:tblStylePr w:type="band1Vert">
      <w:tblPr/>
      <w:tcPr>
        <w:shd w:val="clear" w:color="auto" w:fill="E8E6E6" w:themeFill="accent4" w:themeFillTint="33"/>
      </w:tcPr>
    </w:tblStylePr>
    <w:tblStylePr w:type="band1Horz">
      <w:tblPr/>
      <w:tcPr>
        <w:shd w:val="clear" w:color="auto" w:fill="E8E6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C551E1"/>
    <w:pPr>
      <w:spacing w:after="0"/>
    </w:pPr>
    <w:rPr>
      <w:color w:val="201F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2A2A" w:themeColor="accent5"/>
        </w:tcBorders>
        <w:shd w:val="clear" w:color="auto" w:fill="FFFFFF" w:themeFill="background1"/>
      </w:tcPr>
    </w:tblStylePr>
    <w:tblStylePr w:type="band1Vert">
      <w:tblPr/>
      <w:tcPr>
        <w:shd w:val="clear" w:color="auto" w:fill="D5D3D3" w:themeFill="accent5" w:themeFillTint="33"/>
      </w:tcPr>
    </w:tblStylePr>
    <w:tblStylePr w:type="band1Horz">
      <w:tblPr/>
      <w:tcPr>
        <w:shd w:val="clear" w:color="auto" w:fill="D5D3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C551E1"/>
    <w:pPr>
      <w:spacing w:after="0"/>
    </w:pPr>
    <w:rPr>
      <w:color w:val="370A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0E1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0E1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0E1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0E18" w:themeColor="accent6"/>
        </w:tcBorders>
        <w:shd w:val="clear" w:color="auto" w:fill="FFFFFF" w:themeFill="background1"/>
      </w:tcPr>
    </w:tblStylePr>
    <w:tblStylePr w:type="band1Vert">
      <w:tblPr/>
      <w:tcPr>
        <w:shd w:val="clear" w:color="auto" w:fill="F1B7C1" w:themeFill="accent6" w:themeFillTint="33"/>
      </w:tcPr>
    </w:tblStylePr>
    <w:tblStylePr w:type="band1Horz">
      <w:tblPr/>
      <w:tcPr>
        <w:shd w:val="clear" w:color="auto" w:fill="F1B7C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locked/>
    <w:rsid w:val="00C551E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C551E1"/>
    <w:pPr>
      <w:spacing w:after="0"/>
    </w:pPr>
    <w:tblPr>
      <w:tblStyleRowBandSize w:val="1"/>
      <w:tblStyleColBandSize w:val="1"/>
      <w:tblBorders>
        <w:top w:val="single" w:sz="8" w:space="0" w:color="D82A46" w:themeColor="accent1" w:themeTint="BF"/>
        <w:left w:val="single" w:sz="8" w:space="0" w:color="D82A46" w:themeColor="accent1" w:themeTint="BF"/>
        <w:bottom w:val="single" w:sz="8" w:space="0" w:color="D82A46" w:themeColor="accent1" w:themeTint="BF"/>
        <w:right w:val="single" w:sz="8" w:space="0" w:color="D82A46" w:themeColor="accent1" w:themeTint="BF"/>
        <w:insideH w:val="single" w:sz="8" w:space="0" w:color="D82A46" w:themeColor="accent1" w:themeTint="BF"/>
        <w:insideV w:val="single" w:sz="8" w:space="0" w:color="D82A46" w:themeColor="accent1" w:themeTint="BF"/>
      </w:tblBorders>
    </w:tblPr>
    <w:tcPr>
      <w:shd w:val="clear" w:color="auto" w:fill="F2B8C1" w:themeFill="accent1" w:themeFillTint="3F"/>
    </w:tcPr>
    <w:tblStylePr w:type="firstRow">
      <w:rPr>
        <w:b/>
        <w:bCs/>
      </w:rPr>
    </w:tblStylePr>
    <w:tblStylePr w:type="lastRow">
      <w:rPr>
        <w:b/>
        <w:bCs/>
      </w:rPr>
      <w:tblPr/>
      <w:tcPr>
        <w:tcBorders>
          <w:top w:val="single" w:sz="18" w:space="0" w:color="D82A46" w:themeColor="accent1" w:themeTint="BF"/>
        </w:tcBorders>
      </w:tcPr>
    </w:tblStylePr>
    <w:tblStylePr w:type="firstCol">
      <w:rPr>
        <w:b/>
        <w:bCs/>
      </w:rPr>
    </w:tblStylePr>
    <w:tblStylePr w:type="lastCol">
      <w:rPr>
        <w:b/>
        <w:bCs/>
      </w:rPr>
    </w:tblStylePr>
    <w:tblStylePr w:type="band1Vert">
      <w:tblPr/>
      <w:tcPr>
        <w:shd w:val="clear" w:color="auto" w:fill="E57184" w:themeFill="accent1" w:themeFillTint="7F"/>
      </w:tcPr>
    </w:tblStylePr>
    <w:tblStylePr w:type="band1Horz">
      <w:tblPr/>
      <w:tcPr>
        <w:shd w:val="clear" w:color="auto" w:fill="E57184" w:themeFill="accent1" w:themeFillTint="7F"/>
      </w:tcPr>
    </w:tblStylePr>
  </w:style>
  <w:style w:type="table" w:styleId="MediumGrid1-Accent2">
    <w:name w:val="Medium Grid 1 Accent 2"/>
    <w:basedOn w:val="TableNormal"/>
    <w:uiPriority w:val="67"/>
    <w:semiHidden/>
    <w:unhideWhenUsed/>
    <w:locked/>
    <w:rsid w:val="00C551E1"/>
    <w:pPr>
      <w:spacing w:after="0"/>
    </w:pPr>
    <w:tblPr>
      <w:tblStyleRowBandSize w:val="1"/>
      <w:tblStyleColBandSize w:val="1"/>
      <w:tblBorders>
        <w:top w:val="single" w:sz="8" w:space="0" w:color="C68791" w:themeColor="accent2" w:themeTint="BF"/>
        <w:left w:val="single" w:sz="8" w:space="0" w:color="C68791" w:themeColor="accent2" w:themeTint="BF"/>
        <w:bottom w:val="single" w:sz="8" w:space="0" w:color="C68791" w:themeColor="accent2" w:themeTint="BF"/>
        <w:right w:val="single" w:sz="8" w:space="0" w:color="C68791" w:themeColor="accent2" w:themeTint="BF"/>
        <w:insideH w:val="single" w:sz="8" w:space="0" w:color="C68791" w:themeColor="accent2" w:themeTint="BF"/>
        <w:insideV w:val="single" w:sz="8" w:space="0" w:color="C68791" w:themeColor="accent2" w:themeTint="BF"/>
      </w:tblBorders>
    </w:tblPr>
    <w:tcPr>
      <w:shd w:val="clear" w:color="auto" w:fill="ECD7DA" w:themeFill="accent2" w:themeFillTint="3F"/>
    </w:tcPr>
    <w:tblStylePr w:type="firstRow">
      <w:rPr>
        <w:b/>
        <w:bCs/>
      </w:rPr>
    </w:tblStylePr>
    <w:tblStylePr w:type="lastRow">
      <w:rPr>
        <w:b/>
        <w:bCs/>
      </w:rPr>
      <w:tblPr/>
      <w:tcPr>
        <w:tcBorders>
          <w:top w:val="single" w:sz="18" w:space="0" w:color="C68791" w:themeColor="accent2" w:themeTint="BF"/>
        </w:tcBorders>
      </w:tcPr>
    </w:tblStylePr>
    <w:tblStylePr w:type="firstCol">
      <w:rPr>
        <w:b/>
        <w:bCs/>
      </w:rPr>
    </w:tblStylePr>
    <w:tblStylePr w:type="lastCol">
      <w:rPr>
        <w:b/>
        <w:bCs/>
      </w:rPr>
    </w:tblStylePr>
    <w:tblStylePr w:type="band1Vert">
      <w:tblPr/>
      <w:tcPr>
        <w:shd w:val="clear" w:color="auto" w:fill="D9AFB6" w:themeFill="accent2" w:themeFillTint="7F"/>
      </w:tcPr>
    </w:tblStylePr>
    <w:tblStylePr w:type="band1Horz">
      <w:tblPr/>
      <w:tcPr>
        <w:shd w:val="clear" w:color="auto" w:fill="D9AFB6" w:themeFill="accent2" w:themeFillTint="7F"/>
      </w:tcPr>
    </w:tblStylePr>
  </w:style>
  <w:style w:type="table" w:styleId="MediumGrid1-Accent3">
    <w:name w:val="Medium Grid 1 Accent 3"/>
    <w:basedOn w:val="TableNormal"/>
    <w:uiPriority w:val="67"/>
    <w:semiHidden/>
    <w:unhideWhenUsed/>
    <w:locked/>
    <w:rsid w:val="00C551E1"/>
    <w:pPr>
      <w:spacing w:after="0"/>
    </w:pPr>
    <w:tblPr>
      <w:tblStyleRowBandSize w:val="1"/>
      <w:tblStyleColBandSize w:val="1"/>
      <w:tblBorders>
        <w:top w:val="single" w:sz="8" w:space="0" w:color="EDECEC" w:themeColor="accent3" w:themeTint="BF"/>
        <w:left w:val="single" w:sz="8" w:space="0" w:color="EDECEC" w:themeColor="accent3" w:themeTint="BF"/>
        <w:bottom w:val="single" w:sz="8" w:space="0" w:color="EDECEC" w:themeColor="accent3" w:themeTint="BF"/>
        <w:right w:val="single" w:sz="8" w:space="0" w:color="EDECEC" w:themeColor="accent3" w:themeTint="BF"/>
        <w:insideH w:val="single" w:sz="8" w:space="0" w:color="EDECEC" w:themeColor="accent3" w:themeTint="BF"/>
        <w:insideV w:val="single" w:sz="8" w:space="0" w:color="EDECEC" w:themeColor="accent3" w:themeTint="BF"/>
      </w:tblBorders>
    </w:tblPr>
    <w:tcPr>
      <w:shd w:val="clear" w:color="auto" w:fill="F9F9F9" w:themeFill="accent3" w:themeFillTint="3F"/>
    </w:tcPr>
    <w:tblStylePr w:type="firstRow">
      <w:rPr>
        <w:b/>
        <w:bCs/>
      </w:rPr>
    </w:tblStylePr>
    <w:tblStylePr w:type="lastRow">
      <w:rPr>
        <w:b/>
        <w:bCs/>
      </w:rPr>
      <w:tblPr/>
      <w:tcPr>
        <w:tcBorders>
          <w:top w:val="single" w:sz="18" w:space="0" w:color="EDECEC" w:themeColor="accent3" w:themeTint="BF"/>
        </w:tcBorders>
      </w:tcPr>
    </w:tblStylePr>
    <w:tblStylePr w:type="firstCol">
      <w:rPr>
        <w:b/>
        <w:bCs/>
      </w:rPr>
    </w:tblStylePr>
    <w:tblStylePr w:type="lastCol">
      <w:rPr>
        <w:b/>
        <w:bCs/>
      </w:rPr>
    </w:tblStylePr>
    <w:tblStylePr w:type="band1Vert">
      <w:tblPr/>
      <w:tcPr>
        <w:shd w:val="clear" w:color="auto" w:fill="F3F2F2" w:themeFill="accent3" w:themeFillTint="7F"/>
      </w:tcPr>
    </w:tblStylePr>
    <w:tblStylePr w:type="band1Horz">
      <w:tblPr/>
      <w:tcPr>
        <w:shd w:val="clear" w:color="auto" w:fill="F3F2F2" w:themeFill="accent3" w:themeFillTint="7F"/>
      </w:tcPr>
    </w:tblStylePr>
  </w:style>
  <w:style w:type="table" w:styleId="MediumGrid1-Accent4">
    <w:name w:val="Medium Grid 1 Accent 4"/>
    <w:basedOn w:val="TableNormal"/>
    <w:uiPriority w:val="67"/>
    <w:semiHidden/>
    <w:unhideWhenUsed/>
    <w:locked/>
    <w:rsid w:val="00C551E1"/>
    <w:pPr>
      <w:spacing w:after="0"/>
    </w:pPr>
    <w:tblPr>
      <w:tblStyleRowBandSize w:val="1"/>
      <w:tblStyleColBandSize w:val="1"/>
      <w:tblBorders>
        <w:top w:val="single" w:sz="8" w:space="0" w:color="A8A4A4" w:themeColor="accent4" w:themeTint="BF"/>
        <w:left w:val="single" w:sz="8" w:space="0" w:color="A8A4A4" w:themeColor="accent4" w:themeTint="BF"/>
        <w:bottom w:val="single" w:sz="8" w:space="0" w:color="A8A4A4" w:themeColor="accent4" w:themeTint="BF"/>
        <w:right w:val="single" w:sz="8" w:space="0" w:color="A8A4A4" w:themeColor="accent4" w:themeTint="BF"/>
        <w:insideH w:val="single" w:sz="8" w:space="0" w:color="A8A4A4" w:themeColor="accent4" w:themeTint="BF"/>
        <w:insideV w:val="single" w:sz="8" w:space="0" w:color="A8A4A4" w:themeColor="accent4" w:themeTint="BF"/>
      </w:tblBorders>
    </w:tblPr>
    <w:tcPr>
      <w:shd w:val="clear" w:color="auto" w:fill="E2E1E1" w:themeFill="accent4" w:themeFillTint="3F"/>
    </w:tcPr>
    <w:tblStylePr w:type="firstRow">
      <w:rPr>
        <w:b/>
        <w:bCs/>
      </w:rPr>
    </w:tblStylePr>
    <w:tblStylePr w:type="lastRow">
      <w:rPr>
        <w:b/>
        <w:bCs/>
      </w:rPr>
      <w:tblPr/>
      <w:tcPr>
        <w:tcBorders>
          <w:top w:val="single" w:sz="18" w:space="0" w:color="A8A4A4" w:themeColor="accent4" w:themeTint="BF"/>
        </w:tcBorders>
      </w:tcPr>
    </w:tblStylePr>
    <w:tblStylePr w:type="firstCol">
      <w:rPr>
        <w:b/>
        <w:bCs/>
      </w:rPr>
    </w:tblStylePr>
    <w:tblStylePr w:type="lastCol">
      <w:rPr>
        <w:b/>
        <w:bCs/>
      </w:rPr>
    </w:tblStylePr>
    <w:tblStylePr w:type="band1Vert">
      <w:tblPr/>
      <w:tcPr>
        <w:shd w:val="clear" w:color="auto" w:fill="C5C2C2" w:themeFill="accent4" w:themeFillTint="7F"/>
      </w:tcPr>
    </w:tblStylePr>
    <w:tblStylePr w:type="band1Horz">
      <w:tblPr/>
      <w:tcPr>
        <w:shd w:val="clear" w:color="auto" w:fill="C5C2C2" w:themeFill="accent4" w:themeFillTint="7F"/>
      </w:tcPr>
    </w:tblStylePr>
  </w:style>
  <w:style w:type="table" w:styleId="MediumGrid1-Accent5">
    <w:name w:val="Medium Grid 1 Accent 5"/>
    <w:basedOn w:val="TableNormal"/>
    <w:uiPriority w:val="67"/>
    <w:semiHidden/>
    <w:unhideWhenUsed/>
    <w:locked/>
    <w:rsid w:val="00C551E1"/>
    <w:pPr>
      <w:spacing w:after="0"/>
    </w:pPr>
    <w:tblPr>
      <w:tblStyleRowBandSize w:val="1"/>
      <w:tblStyleColBandSize w:val="1"/>
      <w:tblBorders>
        <w:top w:val="single" w:sz="8" w:space="0" w:color="625E5E" w:themeColor="accent5" w:themeTint="BF"/>
        <w:left w:val="single" w:sz="8" w:space="0" w:color="625E5E" w:themeColor="accent5" w:themeTint="BF"/>
        <w:bottom w:val="single" w:sz="8" w:space="0" w:color="625E5E" w:themeColor="accent5" w:themeTint="BF"/>
        <w:right w:val="single" w:sz="8" w:space="0" w:color="625E5E" w:themeColor="accent5" w:themeTint="BF"/>
        <w:insideH w:val="single" w:sz="8" w:space="0" w:color="625E5E" w:themeColor="accent5" w:themeTint="BF"/>
        <w:insideV w:val="single" w:sz="8" w:space="0" w:color="625E5E" w:themeColor="accent5" w:themeTint="BF"/>
      </w:tblBorders>
    </w:tblPr>
    <w:tcPr>
      <w:shd w:val="clear" w:color="auto" w:fill="CBC9C9" w:themeFill="accent5" w:themeFillTint="3F"/>
    </w:tcPr>
    <w:tblStylePr w:type="firstRow">
      <w:rPr>
        <w:b/>
        <w:bCs/>
      </w:rPr>
    </w:tblStylePr>
    <w:tblStylePr w:type="lastRow">
      <w:rPr>
        <w:b/>
        <w:bCs/>
      </w:rPr>
      <w:tblPr/>
      <w:tcPr>
        <w:tcBorders>
          <w:top w:val="single" w:sz="18" w:space="0" w:color="625E5E" w:themeColor="accent5" w:themeTint="BF"/>
        </w:tcBorders>
      </w:tcPr>
    </w:tblStylePr>
    <w:tblStylePr w:type="firstCol">
      <w:rPr>
        <w:b/>
        <w:bCs/>
      </w:rPr>
    </w:tblStylePr>
    <w:tblStylePr w:type="lastCol">
      <w:rPr>
        <w:b/>
        <w:bCs/>
      </w:rPr>
    </w:tblStylePr>
    <w:tblStylePr w:type="band1Vert">
      <w:tblPr/>
      <w:tcPr>
        <w:shd w:val="clear" w:color="auto" w:fill="979292" w:themeFill="accent5" w:themeFillTint="7F"/>
      </w:tcPr>
    </w:tblStylePr>
    <w:tblStylePr w:type="band1Horz">
      <w:tblPr/>
      <w:tcPr>
        <w:shd w:val="clear" w:color="auto" w:fill="979292" w:themeFill="accent5" w:themeFillTint="7F"/>
      </w:tcPr>
    </w:tblStylePr>
  </w:style>
  <w:style w:type="table" w:styleId="MediumGrid1-Accent6">
    <w:name w:val="Medium Grid 1 Accent 6"/>
    <w:basedOn w:val="TableNormal"/>
    <w:uiPriority w:val="67"/>
    <w:semiHidden/>
    <w:unhideWhenUsed/>
    <w:locked/>
    <w:rsid w:val="00C551E1"/>
    <w:pPr>
      <w:spacing w:after="0"/>
    </w:pPr>
    <w:tblPr>
      <w:tblStyleRowBandSize w:val="1"/>
      <w:tblStyleColBandSize w:val="1"/>
      <w:tblBorders>
        <w:top w:val="single" w:sz="8" w:space="0" w:color="A21E34" w:themeColor="accent6" w:themeTint="BF"/>
        <w:left w:val="single" w:sz="8" w:space="0" w:color="A21E34" w:themeColor="accent6" w:themeTint="BF"/>
        <w:bottom w:val="single" w:sz="8" w:space="0" w:color="A21E34" w:themeColor="accent6" w:themeTint="BF"/>
        <w:right w:val="single" w:sz="8" w:space="0" w:color="A21E34" w:themeColor="accent6" w:themeTint="BF"/>
        <w:insideH w:val="single" w:sz="8" w:space="0" w:color="A21E34" w:themeColor="accent6" w:themeTint="BF"/>
        <w:insideV w:val="single" w:sz="8" w:space="0" w:color="A21E34" w:themeColor="accent6" w:themeTint="BF"/>
      </w:tblBorders>
    </w:tblPr>
    <w:tcPr>
      <w:shd w:val="clear" w:color="auto" w:fill="EEA7B2" w:themeFill="accent6" w:themeFillTint="3F"/>
    </w:tcPr>
    <w:tblStylePr w:type="firstRow">
      <w:rPr>
        <w:b/>
        <w:bCs/>
      </w:rPr>
    </w:tblStylePr>
    <w:tblStylePr w:type="lastRow">
      <w:rPr>
        <w:b/>
        <w:bCs/>
      </w:rPr>
      <w:tblPr/>
      <w:tcPr>
        <w:tcBorders>
          <w:top w:val="single" w:sz="18" w:space="0" w:color="A21E34" w:themeColor="accent6" w:themeTint="BF"/>
        </w:tcBorders>
      </w:tcPr>
    </w:tblStylePr>
    <w:tblStylePr w:type="firstCol">
      <w:rPr>
        <w:b/>
        <w:bCs/>
      </w:rPr>
    </w:tblStylePr>
    <w:tblStylePr w:type="lastCol">
      <w:rPr>
        <w:b/>
        <w:bCs/>
      </w:rPr>
    </w:tblStylePr>
    <w:tblStylePr w:type="band1Vert">
      <w:tblPr/>
      <w:tcPr>
        <w:shd w:val="clear" w:color="auto" w:fill="DD4E65" w:themeFill="accent6" w:themeFillTint="7F"/>
      </w:tcPr>
    </w:tblStylePr>
    <w:tblStylePr w:type="band1Horz">
      <w:tblPr/>
      <w:tcPr>
        <w:shd w:val="clear" w:color="auto" w:fill="DD4E65" w:themeFill="accent6" w:themeFillTint="7F"/>
      </w:tcPr>
    </w:tblStylePr>
  </w:style>
  <w:style w:type="table" w:styleId="MediumGrid2">
    <w:name w:val="Medium Grid 2"/>
    <w:basedOn w:val="TableNormal"/>
    <w:uiPriority w:val="68"/>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31B2F" w:themeColor="accent1"/>
        <w:left w:val="single" w:sz="8" w:space="0" w:color="931B2F" w:themeColor="accent1"/>
        <w:bottom w:val="single" w:sz="8" w:space="0" w:color="931B2F" w:themeColor="accent1"/>
        <w:right w:val="single" w:sz="8" w:space="0" w:color="931B2F" w:themeColor="accent1"/>
        <w:insideH w:val="single" w:sz="8" w:space="0" w:color="931B2F" w:themeColor="accent1"/>
        <w:insideV w:val="single" w:sz="8" w:space="0" w:color="931B2F" w:themeColor="accent1"/>
      </w:tblBorders>
    </w:tblPr>
    <w:tcPr>
      <w:shd w:val="clear" w:color="auto" w:fill="F2B8C1" w:themeFill="accent1" w:themeFillTint="3F"/>
    </w:tcPr>
    <w:tblStylePr w:type="firstRow">
      <w:rPr>
        <w:b/>
        <w:bCs/>
        <w:color w:val="000000" w:themeColor="text1"/>
      </w:rPr>
      <w:tblPr/>
      <w:tcPr>
        <w:shd w:val="clear" w:color="auto" w:fill="FAE3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6CD" w:themeFill="accent1" w:themeFillTint="33"/>
      </w:tcPr>
    </w:tblStylePr>
    <w:tblStylePr w:type="band1Vert">
      <w:tblPr/>
      <w:tcPr>
        <w:shd w:val="clear" w:color="auto" w:fill="E57184" w:themeFill="accent1" w:themeFillTint="7F"/>
      </w:tcPr>
    </w:tblStylePr>
    <w:tblStylePr w:type="band1Horz">
      <w:tblPr/>
      <w:tcPr>
        <w:tcBorders>
          <w:insideH w:val="single" w:sz="6" w:space="0" w:color="931B2F" w:themeColor="accent1"/>
          <w:insideV w:val="single" w:sz="6" w:space="0" w:color="931B2F" w:themeColor="accent1"/>
        </w:tcBorders>
        <w:shd w:val="clear" w:color="auto" w:fill="E5718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35F6D" w:themeColor="accent2"/>
        <w:left w:val="single" w:sz="8" w:space="0" w:color="B35F6D" w:themeColor="accent2"/>
        <w:bottom w:val="single" w:sz="8" w:space="0" w:color="B35F6D" w:themeColor="accent2"/>
        <w:right w:val="single" w:sz="8" w:space="0" w:color="B35F6D" w:themeColor="accent2"/>
        <w:insideH w:val="single" w:sz="8" w:space="0" w:color="B35F6D" w:themeColor="accent2"/>
        <w:insideV w:val="single" w:sz="8" w:space="0" w:color="B35F6D" w:themeColor="accent2"/>
      </w:tblBorders>
    </w:tblPr>
    <w:tcPr>
      <w:shd w:val="clear" w:color="auto" w:fill="ECD7DA" w:themeFill="accent2" w:themeFillTint="3F"/>
    </w:tcPr>
    <w:tblStylePr w:type="firstRow">
      <w:rPr>
        <w:b/>
        <w:bCs/>
        <w:color w:val="000000" w:themeColor="text1"/>
      </w:rPr>
      <w:tblPr/>
      <w:tcPr>
        <w:shd w:val="clear" w:color="auto" w:fill="F7EF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EE1" w:themeFill="accent2" w:themeFillTint="33"/>
      </w:tcPr>
    </w:tblStylePr>
    <w:tblStylePr w:type="band1Vert">
      <w:tblPr/>
      <w:tcPr>
        <w:shd w:val="clear" w:color="auto" w:fill="D9AFB6" w:themeFill="accent2" w:themeFillTint="7F"/>
      </w:tcPr>
    </w:tblStylePr>
    <w:tblStylePr w:type="band1Horz">
      <w:tblPr/>
      <w:tcPr>
        <w:tcBorders>
          <w:insideH w:val="single" w:sz="6" w:space="0" w:color="B35F6D" w:themeColor="accent2"/>
          <w:insideV w:val="single" w:sz="6" w:space="0" w:color="B35F6D" w:themeColor="accent2"/>
        </w:tcBorders>
        <w:shd w:val="clear" w:color="auto" w:fill="D9AFB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E7E7" w:themeColor="accent3"/>
        <w:left w:val="single" w:sz="8" w:space="0" w:color="E8E7E7" w:themeColor="accent3"/>
        <w:bottom w:val="single" w:sz="8" w:space="0" w:color="E8E7E7" w:themeColor="accent3"/>
        <w:right w:val="single" w:sz="8" w:space="0" w:color="E8E7E7" w:themeColor="accent3"/>
        <w:insideH w:val="single" w:sz="8" w:space="0" w:color="E8E7E7" w:themeColor="accent3"/>
        <w:insideV w:val="single" w:sz="8" w:space="0" w:color="E8E7E7" w:themeColor="accent3"/>
      </w:tblBorders>
    </w:tblPr>
    <w:tcPr>
      <w:shd w:val="clear" w:color="auto" w:fill="F9F9F9" w:themeFill="accent3" w:themeFillTint="3F"/>
    </w:tcPr>
    <w:tblStylePr w:type="firstRow">
      <w:rPr>
        <w:b/>
        <w:bCs/>
        <w:color w:val="000000" w:themeColor="text1"/>
      </w:rPr>
      <w:tblPr/>
      <w:tcPr>
        <w:shd w:val="clear" w:color="auto" w:fill="FCFC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3" w:themeFillTint="33"/>
      </w:tcPr>
    </w:tblStylePr>
    <w:tblStylePr w:type="band1Vert">
      <w:tblPr/>
      <w:tcPr>
        <w:shd w:val="clear" w:color="auto" w:fill="F3F2F2" w:themeFill="accent3" w:themeFillTint="7F"/>
      </w:tcPr>
    </w:tblStylePr>
    <w:tblStylePr w:type="band1Horz">
      <w:tblPr/>
      <w:tcPr>
        <w:tcBorders>
          <w:insideH w:val="single" w:sz="6" w:space="0" w:color="E8E7E7" w:themeColor="accent3"/>
          <w:insideV w:val="single" w:sz="6" w:space="0" w:color="E8E7E7" w:themeColor="accent3"/>
        </w:tcBorders>
        <w:shd w:val="clear" w:color="auto" w:fill="F3F2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C8686" w:themeColor="accent4"/>
        <w:left w:val="single" w:sz="8" w:space="0" w:color="8C8686" w:themeColor="accent4"/>
        <w:bottom w:val="single" w:sz="8" w:space="0" w:color="8C8686" w:themeColor="accent4"/>
        <w:right w:val="single" w:sz="8" w:space="0" w:color="8C8686" w:themeColor="accent4"/>
        <w:insideH w:val="single" w:sz="8" w:space="0" w:color="8C8686" w:themeColor="accent4"/>
        <w:insideV w:val="single" w:sz="8" w:space="0" w:color="8C8686" w:themeColor="accent4"/>
      </w:tblBorders>
    </w:tblPr>
    <w:tcPr>
      <w:shd w:val="clear" w:color="auto" w:fill="E2E1E1" w:themeFill="accent4" w:themeFillTint="3F"/>
    </w:tcPr>
    <w:tblStylePr w:type="firstRow">
      <w:rPr>
        <w:b/>
        <w:bCs/>
        <w:color w:val="000000" w:themeColor="text1"/>
      </w:rPr>
      <w:tblPr/>
      <w:tcPr>
        <w:shd w:val="clear" w:color="auto" w:fill="F3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6E6" w:themeFill="accent4" w:themeFillTint="33"/>
      </w:tcPr>
    </w:tblStylePr>
    <w:tblStylePr w:type="band1Vert">
      <w:tblPr/>
      <w:tcPr>
        <w:shd w:val="clear" w:color="auto" w:fill="C5C2C2" w:themeFill="accent4" w:themeFillTint="7F"/>
      </w:tcPr>
    </w:tblStylePr>
    <w:tblStylePr w:type="band1Horz">
      <w:tblPr/>
      <w:tcPr>
        <w:tcBorders>
          <w:insideH w:val="single" w:sz="6" w:space="0" w:color="8C8686" w:themeColor="accent4"/>
          <w:insideV w:val="single" w:sz="6" w:space="0" w:color="8C8686" w:themeColor="accent4"/>
        </w:tcBorders>
        <w:shd w:val="clear" w:color="auto" w:fill="C5C2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C2A2A" w:themeColor="accent5"/>
        <w:left w:val="single" w:sz="8" w:space="0" w:color="2C2A2A" w:themeColor="accent5"/>
        <w:bottom w:val="single" w:sz="8" w:space="0" w:color="2C2A2A" w:themeColor="accent5"/>
        <w:right w:val="single" w:sz="8" w:space="0" w:color="2C2A2A" w:themeColor="accent5"/>
        <w:insideH w:val="single" w:sz="8" w:space="0" w:color="2C2A2A" w:themeColor="accent5"/>
        <w:insideV w:val="single" w:sz="8" w:space="0" w:color="2C2A2A" w:themeColor="accent5"/>
      </w:tblBorders>
    </w:tblPr>
    <w:tcPr>
      <w:shd w:val="clear" w:color="auto" w:fill="CBC9C9" w:themeFill="accent5" w:themeFillTint="3F"/>
    </w:tcPr>
    <w:tblStylePr w:type="firstRow">
      <w:rPr>
        <w:b/>
        <w:bCs/>
        <w:color w:val="000000" w:themeColor="text1"/>
      </w:rPr>
      <w:tblPr/>
      <w:tcPr>
        <w:shd w:val="clear" w:color="auto" w:fill="EAE9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3D3" w:themeFill="accent5" w:themeFillTint="33"/>
      </w:tcPr>
    </w:tblStylePr>
    <w:tblStylePr w:type="band1Vert">
      <w:tblPr/>
      <w:tcPr>
        <w:shd w:val="clear" w:color="auto" w:fill="979292" w:themeFill="accent5" w:themeFillTint="7F"/>
      </w:tcPr>
    </w:tblStylePr>
    <w:tblStylePr w:type="band1Horz">
      <w:tblPr/>
      <w:tcPr>
        <w:tcBorders>
          <w:insideH w:val="single" w:sz="6" w:space="0" w:color="2C2A2A" w:themeColor="accent5"/>
          <w:insideV w:val="single" w:sz="6" w:space="0" w:color="2C2A2A" w:themeColor="accent5"/>
        </w:tcBorders>
        <w:shd w:val="clear" w:color="auto" w:fill="97929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A0E18" w:themeColor="accent6"/>
        <w:left w:val="single" w:sz="8" w:space="0" w:color="4A0E18" w:themeColor="accent6"/>
        <w:bottom w:val="single" w:sz="8" w:space="0" w:color="4A0E18" w:themeColor="accent6"/>
        <w:right w:val="single" w:sz="8" w:space="0" w:color="4A0E18" w:themeColor="accent6"/>
        <w:insideH w:val="single" w:sz="8" w:space="0" w:color="4A0E18" w:themeColor="accent6"/>
        <w:insideV w:val="single" w:sz="8" w:space="0" w:color="4A0E18" w:themeColor="accent6"/>
      </w:tblBorders>
    </w:tblPr>
    <w:tcPr>
      <w:shd w:val="clear" w:color="auto" w:fill="EEA7B2" w:themeFill="accent6" w:themeFillTint="3F"/>
    </w:tcPr>
    <w:tblStylePr w:type="firstRow">
      <w:rPr>
        <w:b/>
        <w:bCs/>
        <w:color w:val="000000" w:themeColor="text1"/>
      </w:rPr>
      <w:tblPr/>
      <w:tcPr>
        <w:shd w:val="clear" w:color="auto" w:fill="F8DBE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B7C1" w:themeFill="accent6" w:themeFillTint="33"/>
      </w:tcPr>
    </w:tblStylePr>
    <w:tblStylePr w:type="band1Vert">
      <w:tblPr/>
      <w:tcPr>
        <w:shd w:val="clear" w:color="auto" w:fill="DD4E65" w:themeFill="accent6" w:themeFillTint="7F"/>
      </w:tcPr>
    </w:tblStylePr>
    <w:tblStylePr w:type="band1Horz">
      <w:tblPr/>
      <w:tcPr>
        <w:tcBorders>
          <w:insideH w:val="single" w:sz="6" w:space="0" w:color="4A0E18" w:themeColor="accent6"/>
          <w:insideV w:val="single" w:sz="6" w:space="0" w:color="4A0E18" w:themeColor="accent6"/>
        </w:tcBorders>
        <w:shd w:val="clear" w:color="auto" w:fill="DD4E6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C551E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C551E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B8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1B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1B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1B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1B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718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7184" w:themeFill="accent1" w:themeFillTint="7F"/>
      </w:tcPr>
    </w:tblStylePr>
  </w:style>
  <w:style w:type="table" w:styleId="MediumGrid3-Accent2">
    <w:name w:val="Medium Grid 3 Accent 2"/>
    <w:basedOn w:val="TableNormal"/>
    <w:uiPriority w:val="69"/>
    <w:semiHidden/>
    <w:unhideWhenUsed/>
    <w:locked/>
    <w:rsid w:val="00C551E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5F6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5F6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5F6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5F6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AFB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AFB6" w:themeFill="accent2" w:themeFillTint="7F"/>
      </w:tcPr>
    </w:tblStylePr>
  </w:style>
  <w:style w:type="table" w:styleId="MediumGrid3-Accent3">
    <w:name w:val="Medium Grid 3 Accent 3"/>
    <w:basedOn w:val="TableNormal"/>
    <w:uiPriority w:val="69"/>
    <w:semiHidden/>
    <w:unhideWhenUsed/>
    <w:locked/>
    <w:rsid w:val="00C551E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E7E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E7E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E7E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E7E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2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2F2" w:themeFill="accent3" w:themeFillTint="7F"/>
      </w:tcPr>
    </w:tblStylePr>
  </w:style>
  <w:style w:type="table" w:styleId="MediumGrid3-Accent4">
    <w:name w:val="Medium Grid 3 Accent 4"/>
    <w:basedOn w:val="TableNormal"/>
    <w:uiPriority w:val="69"/>
    <w:semiHidden/>
    <w:unhideWhenUsed/>
    <w:locked/>
    <w:rsid w:val="00C551E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68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68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68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68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2C2" w:themeFill="accent4" w:themeFillTint="7F"/>
      </w:tcPr>
    </w:tblStylePr>
  </w:style>
  <w:style w:type="table" w:styleId="MediumGrid3-Accent5">
    <w:name w:val="Medium Grid 3 Accent 5"/>
    <w:basedOn w:val="TableNormal"/>
    <w:uiPriority w:val="69"/>
    <w:semiHidden/>
    <w:unhideWhenUsed/>
    <w:locked/>
    <w:rsid w:val="00C551E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9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2A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2A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2A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2A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929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9292" w:themeFill="accent5" w:themeFillTint="7F"/>
      </w:tcPr>
    </w:tblStylePr>
  </w:style>
  <w:style w:type="table" w:styleId="MediumGrid3-Accent6">
    <w:name w:val="Medium Grid 3 Accent 6"/>
    <w:basedOn w:val="TableNormal"/>
    <w:uiPriority w:val="69"/>
    <w:semiHidden/>
    <w:unhideWhenUsed/>
    <w:locked/>
    <w:rsid w:val="00C551E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A7B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0E1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0E1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0E1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0E1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4E6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4E65" w:themeFill="accent6" w:themeFillTint="7F"/>
      </w:tcPr>
    </w:tblStylePr>
  </w:style>
  <w:style w:type="table" w:styleId="MediumList1">
    <w:name w:val="Medium List 1"/>
    <w:basedOn w:val="TableNormal"/>
    <w:uiPriority w:val="65"/>
    <w:semiHidden/>
    <w:unhideWhenUsed/>
    <w:locked/>
    <w:rsid w:val="00C551E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C551E1"/>
    <w:pPr>
      <w:spacing w:after="0"/>
    </w:pPr>
    <w:rPr>
      <w:color w:val="000000" w:themeColor="text1"/>
    </w:rPr>
    <w:tblPr>
      <w:tblStyleRowBandSize w:val="1"/>
      <w:tblStyleColBandSize w:val="1"/>
      <w:tblBorders>
        <w:top w:val="single" w:sz="8" w:space="0" w:color="931B2F" w:themeColor="accent1"/>
        <w:bottom w:val="single" w:sz="8" w:space="0" w:color="931B2F" w:themeColor="accent1"/>
      </w:tblBorders>
    </w:tblPr>
    <w:tblStylePr w:type="firstRow">
      <w:rPr>
        <w:rFonts w:asciiTheme="majorHAnsi" w:eastAsiaTheme="majorEastAsia" w:hAnsiTheme="majorHAnsi" w:cstheme="majorBidi"/>
      </w:rPr>
      <w:tblPr/>
      <w:tcPr>
        <w:tcBorders>
          <w:top w:val="nil"/>
          <w:bottom w:val="single" w:sz="8" w:space="0" w:color="931B2F" w:themeColor="accent1"/>
        </w:tcBorders>
      </w:tcPr>
    </w:tblStylePr>
    <w:tblStylePr w:type="lastRow">
      <w:rPr>
        <w:b/>
        <w:bCs/>
        <w:color w:val="4D4D4D" w:themeColor="text2"/>
      </w:rPr>
      <w:tblPr/>
      <w:tcPr>
        <w:tcBorders>
          <w:top w:val="single" w:sz="8" w:space="0" w:color="931B2F" w:themeColor="accent1"/>
          <w:bottom w:val="single" w:sz="8" w:space="0" w:color="931B2F" w:themeColor="accent1"/>
        </w:tcBorders>
      </w:tcPr>
    </w:tblStylePr>
    <w:tblStylePr w:type="firstCol">
      <w:rPr>
        <w:b/>
        <w:bCs/>
      </w:rPr>
    </w:tblStylePr>
    <w:tblStylePr w:type="lastCol">
      <w:rPr>
        <w:b/>
        <w:bCs/>
      </w:rPr>
      <w:tblPr/>
      <w:tcPr>
        <w:tcBorders>
          <w:top w:val="single" w:sz="8" w:space="0" w:color="931B2F" w:themeColor="accent1"/>
          <w:bottom w:val="single" w:sz="8" w:space="0" w:color="931B2F" w:themeColor="accent1"/>
        </w:tcBorders>
      </w:tcPr>
    </w:tblStylePr>
    <w:tblStylePr w:type="band1Vert">
      <w:tblPr/>
      <w:tcPr>
        <w:shd w:val="clear" w:color="auto" w:fill="F2B8C1" w:themeFill="accent1" w:themeFillTint="3F"/>
      </w:tcPr>
    </w:tblStylePr>
    <w:tblStylePr w:type="band1Horz">
      <w:tblPr/>
      <w:tcPr>
        <w:shd w:val="clear" w:color="auto" w:fill="F2B8C1" w:themeFill="accent1" w:themeFillTint="3F"/>
      </w:tcPr>
    </w:tblStylePr>
  </w:style>
  <w:style w:type="table" w:styleId="MediumList1-Accent2">
    <w:name w:val="Medium List 1 Accent 2"/>
    <w:basedOn w:val="TableNormal"/>
    <w:uiPriority w:val="65"/>
    <w:semiHidden/>
    <w:unhideWhenUsed/>
    <w:locked/>
    <w:rsid w:val="00C551E1"/>
    <w:pPr>
      <w:spacing w:after="0"/>
    </w:pPr>
    <w:rPr>
      <w:color w:val="000000" w:themeColor="text1"/>
    </w:rPr>
    <w:tblPr>
      <w:tblStyleRowBandSize w:val="1"/>
      <w:tblStyleColBandSize w:val="1"/>
      <w:tblBorders>
        <w:top w:val="single" w:sz="8" w:space="0" w:color="B35F6D" w:themeColor="accent2"/>
        <w:bottom w:val="single" w:sz="8" w:space="0" w:color="B35F6D" w:themeColor="accent2"/>
      </w:tblBorders>
    </w:tblPr>
    <w:tblStylePr w:type="firstRow">
      <w:rPr>
        <w:rFonts w:asciiTheme="majorHAnsi" w:eastAsiaTheme="majorEastAsia" w:hAnsiTheme="majorHAnsi" w:cstheme="majorBidi"/>
      </w:rPr>
      <w:tblPr/>
      <w:tcPr>
        <w:tcBorders>
          <w:top w:val="nil"/>
          <w:bottom w:val="single" w:sz="8" w:space="0" w:color="B35F6D" w:themeColor="accent2"/>
        </w:tcBorders>
      </w:tcPr>
    </w:tblStylePr>
    <w:tblStylePr w:type="lastRow">
      <w:rPr>
        <w:b/>
        <w:bCs/>
        <w:color w:val="4D4D4D" w:themeColor="text2"/>
      </w:rPr>
      <w:tblPr/>
      <w:tcPr>
        <w:tcBorders>
          <w:top w:val="single" w:sz="8" w:space="0" w:color="B35F6D" w:themeColor="accent2"/>
          <w:bottom w:val="single" w:sz="8" w:space="0" w:color="B35F6D" w:themeColor="accent2"/>
        </w:tcBorders>
      </w:tcPr>
    </w:tblStylePr>
    <w:tblStylePr w:type="firstCol">
      <w:rPr>
        <w:b/>
        <w:bCs/>
      </w:rPr>
    </w:tblStylePr>
    <w:tblStylePr w:type="lastCol">
      <w:rPr>
        <w:b/>
        <w:bCs/>
      </w:rPr>
      <w:tblPr/>
      <w:tcPr>
        <w:tcBorders>
          <w:top w:val="single" w:sz="8" w:space="0" w:color="B35F6D" w:themeColor="accent2"/>
          <w:bottom w:val="single" w:sz="8" w:space="0" w:color="B35F6D" w:themeColor="accent2"/>
        </w:tcBorders>
      </w:tcPr>
    </w:tblStylePr>
    <w:tblStylePr w:type="band1Vert">
      <w:tblPr/>
      <w:tcPr>
        <w:shd w:val="clear" w:color="auto" w:fill="ECD7DA" w:themeFill="accent2" w:themeFillTint="3F"/>
      </w:tcPr>
    </w:tblStylePr>
    <w:tblStylePr w:type="band1Horz">
      <w:tblPr/>
      <w:tcPr>
        <w:shd w:val="clear" w:color="auto" w:fill="ECD7DA" w:themeFill="accent2" w:themeFillTint="3F"/>
      </w:tcPr>
    </w:tblStylePr>
  </w:style>
  <w:style w:type="table" w:styleId="MediumList1-Accent3">
    <w:name w:val="Medium List 1 Accent 3"/>
    <w:basedOn w:val="TableNormal"/>
    <w:uiPriority w:val="65"/>
    <w:semiHidden/>
    <w:unhideWhenUsed/>
    <w:locked/>
    <w:rsid w:val="00C551E1"/>
    <w:pPr>
      <w:spacing w:after="0"/>
    </w:pPr>
    <w:rPr>
      <w:color w:val="000000" w:themeColor="text1"/>
    </w:rPr>
    <w:tblPr>
      <w:tblStyleRowBandSize w:val="1"/>
      <w:tblStyleColBandSize w:val="1"/>
      <w:tblBorders>
        <w:top w:val="single" w:sz="8" w:space="0" w:color="E8E7E7" w:themeColor="accent3"/>
        <w:bottom w:val="single" w:sz="8" w:space="0" w:color="E8E7E7" w:themeColor="accent3"/>
      </w:tblBorders>
    </w:tblPr>
    <w:tblStylePr w:type="firstRow">
      <w:rPr>
        <w:rFonts w:asciiTheme="majorHAnsi" w:eastAsiaTheme="majorEastAsia" w:hAnsiTheme="majorHAnsi" w:cstheme="majorBidi"/>
      </w:rPr>
      <w:tblPr/>
      <w:tcPr>
        <w:tcBorders>
          <w:top w:val="nil"/>
          <w:bottom w:val="single" w:sz="8" w:space="0" w:color="E8E7E7" w:themeColor="accent3"/>
        </w:tcBorders>
      </w:tcPr>
    </w:tblStylePr>
    <w:tblStylePr w:type="lastRow">
      <w:rPr>
        <w:b/>
        <w:bCs/>
        <w:color w:val="4D4D4D" w:themeColor="text2"/>
      </w:rPr>
      <w:tblPr/>
      <w:tcPr>
        <w:tcBorders>
          <w:top w:val="single" w:sz="8" w:space="0" w:color="E8E7E7" w:themeColor="accent3"/>
          <w:bottom w:val="single" w:sz="8" w:space="0" w:color="E8E7E7" w:themeColor="accent3"/>
        </w:tcBorders>
      </w:tcPr>
    </w:tblStylePr>
    <w:tblStylePr w:type="firstCol">
      <w:rPr>
        <w:b/>
        <w:bCs/>
      </w:rPr>
    </w:tblStylePr>
    <w:tblStylePr w:type="lastCol">
      <w:rPr>
        <w:b/>
        <w:bCs/>
      </w:rPr>
      <w:tblPr/>
      <w:tcPr>
        <w:tcBorders>
          <w:top w:val="single" w:sz="8" w:space="0" w:color="E8E7E7" w:themeColor="accent3"/>
          <w:bottom w:val="single" w:sz="8" w:space="0" w:color="E8E7E7" w:themeColor="accent3"/>
        </w:tcBorders>
      </w:tcPr>
    </w:tblStylePr>
    <w:tblStylePr w:type="band1Vert">
      <w:tblPr/>
      <w:tcPr>
        <w:shd w:val="clear" w:color="auto" w:fill="F9F9F9" w:themeFill="accent3" w:themeFillTint="3F"/>
      </w:tcPr>
    </w:tblStylePr>
    <w:tblStylePr w:type="band1Horz">
      <w:tblPr/>
      <w:tcPr>
        <w:shd w:val="clear" w:color="auto" w:fill="F9F9F9" w:themeFill="accent3" w:themeFillTint="3F"/>
      </w:tcPr>
    </w:tblStylePr>
  </w:style>
  <w:style w:type="table" w:styleId="MediumList1-Accent4">
    <w:name w:val="Medium List 1 Accent 4"/>
    <w:basedOn w:val="TableNormal"/>
    <w:uiPriority w:val="65"/>
    <w:semiHidden/>
    <w:unhideWhenUsed/>
    <w:locked/>
    <w:rsid w:val="00C551E1"/>
    <w:pPr>
      <w:spacing w:after="0"/>
    </w:pPr>
    <w:rPr>
      <w:color w:val="000000" w:themeColor="text1"/>
    </w:rPr>
    <w:tblPr>
      <w:tblStyleRowBandSize w:val="1"/>
      <w:tblStyleColBandSize w:val="1"/>
      <w:tblBorders>
        <w:top w:val="single" w:sz="8" w:space="0" w:color="8C8686" w:themeColor="accent4"/>
        <w:bottom w:val="single" w:sz="8" w:space="0" w:color="8C8686" w:themeColor="accent4"/>
      </w:tblBorders>
    </w:tblPr>
    <w:tblStylePr w:type="firstRow">
      <w:rPr>
        <w:rFonts w:asciiTheme="majorHAnsi" w:eastAsiaTheme="majorEastAsia" w:hAnsiTheme="majorHAnsi" w:cstheme="majorBidi"/>
      </w:rPr>
      <w:tblPr/>
      <w:tcPr>
        <w:tcBorders>
          <w:top w:val="nil"/>
          <w:bottom w:val="single" w:sz="8" w:space="0" w:color="8C8686" w:themeColor="accent4"/>
        </w:tcBorders>
      </w:tcPr>
    </w:tblStylePr>
    <w:tblStylePr w:type="lastRow">
      <w:rPr>
        <w:b/>
        <w:bCs/>
        <w:color w:val="4D4D4D" w:themeColor="text2"/>
      </w:rPr>
      <w:tblPr/>
      <w:tcPr>
        <w:tcBorders>
          <w:top w:val="single" w:sz="8" w:space="0" w:color="8C8686" w:themeColor="accent4"/>
          <w:bottom w:val="single" w:sz="8" w:space="0" w:color="8C8686" w:themeColor="accent4"/>
        </w:tcBorders>
      </w:tcPr>
    </w:tblStylePr>
    <w:tblStylePr w:type="firstCol">
      <w:rPr>
        <w:b/>
        <w:bCs/>
      </w:rPr>
    </w:tblStylePr>
    <w:tblStylePr w:type="lastCol">
      <w:rPr>
        <w:b/>
        <w:bCs/>
      </w:rPr>
      <w:tblPr/>
      <w:tcPr>
        <w:tcBorders>
          <w:top w:val="single" w:sz="8" w:space="0" w:color="8C8686" w:themeColor="accent4"/>
          <w:bottom w:val="single" w:sz="8" w:space="0" w:color="8C8686" w:themeColor="accent4"/>
        </w:tcBorders>
      </w:tcPr>
    </w:tblStylePr>
    <w:tblStylePr w:type="band1Vert">
      <w:tblPr/>
      <w:tcPr>
        <w:shd w:val="clear" w:color="auto" w:fill="E2E1E1" w:themeFill="accent4" w:themeFillTint="3F"/>
      </w:tcPr>
    </w:tblStylePr>
    <w:tblStylePr w:type="band1Horz">
      <w:tblPr/>
      <w:tcPr>
        <w:shd w:val="clear" w:color="auto" w:fill="E2E1E1" w:themeFill="accent4" w:themeFillTint="3F"/>
      </w:tcPr>
    </w:tblStylePr>
  </w:style>
  <w:style w:type="table" w:styleId="MediumList1-Accent5">
    <w:name w:val="Medium List 1 Accent 5"/>
    <w:basedOn w:val="TableNormal"/>
    <w:uiPriority w:val="65"/>
    <w:semiHidden/>
    <w:unhideWhenUsed/>
    <w:locked/>
    <w:rsid w:val="00C551E1"/>
    <w:pPr>
      <w:spacing w:after="0"/>
    </w:pPr>
    <w:rPr>
      <w:color w:val="000000" w:themeColor="text1"/>
    </w:rPr>
    <w:tblPr>
      <w:tblStyleRowBandSize w:val="1"/>
      <w:tblStyleColBandSize w:val="1"/>
      <w:tblBorders>
        <w:top w:val="single" w:sz="8" w:space="0" w:color="2C2A2A" w:themeColor="accent5"/>
        <w:bottom w:val="single" w:sz="8" w:space="0" w:color="2C2A2A" w:themeColor="accent5"/>
      </w:tblBorders>
    </w:tblPr>
    <w:tblStylePr w:type="firstRow">
      <w:rPr>
        <w:rFonts w:asciiTheme="majorHAnsi" w:eastAsiaTheme="majorEastAsia" w:hAnsiTheme="majorHAnsi" w:cstheme="majorBidi"/>
      </w:rPr>
      <w:tblPr/>
      <w:tcPr>
        <w:tcBorders>
          <w:top w:val="nil"/>
          <w:bottom w:val="single" w:sz="8" w:space="0" w:color="2C2A2A" w:themeColor="accent5"/>
        </w:tcBorders>
      </w:tcPr>
    </w:tblStylePr>
    <w:tblStylePr w:type="lastRow">
      <w:rPr>
        <w:b/>
        <w:bCs/>
        <w:color w:val="4D4D4D" w:themeColor="text2"/>
      </w:rPr>
      <w:tblPr/>
      <w:tcPr>
        <w:tcBorders>
          <w:top w:val="single" w:sz="8" w:space="0" w:color="2C2A2A" w:themeColor="accent5"/>
          <w:bottom w:val="single" w:sz="8" w:space="0" w:color="2C2A2A" w:themeColor="accent5"/>
        </w:tcBorders>
      </w:tcPr>
    </w:tblStylePr>
    <w:tblStylePr w:type="firstCol">
      <w:rPr>
        <w:b/>
        <w:bCs/>
      </w:rPr>
    </w:tblStylePr>
    <w:tblStylePr w:type="lastCol">
      <w:rPr>
        <w:b/>
        <w:bCs/>
      </w:rPr>
      <w:tblPr/>
      <w:tcPr>
        <w:tcBorders>
          <w:top w:val="single" w:sz="8" w:space="0" w:color="2C2A2A" w:themeColor="accent5"/>
          <w:bottom w:val="single" w:sz="8" w:space="0" w:color="2C2A2A" w:themeColor="accent5"/>
        </w:tcBorders>
      </w:tcPr>
    </w:tblStylePr>
    <w:tblStylePr w:type="band1Vert">
      <w:tblPr/>
      <w:tcPr>
        <w:shd w:val="clear" w:color="auto" w:fill="CBC9C9" w:themeFill="accent5" w:themeFillTint="3F"/>
      </w:tcPr>
    </w:tblStylePr>
    <w:tblStylePr w:type="band1Horz">
      <w:tblPr/>
      <w:tcPr>
        <w:shd w:val="clear" w:color="auto" w:fill="CBC9C9" w:themeFill="accent5" w:themeFillTint="3F"/>
      </w:tcPr>
    </w:tblStylePr>
  </w:style>
  <w:style w:type="table" w:styleId="MediumList1-Accent6">
    <w:name w:val="Medium List 1 Accent 6"/>
    <w:basedOn w:val="TableNormal"/>
    <w:uiPriority w:val="65"/>
    <w:semiHidden/>
    <w:unhideWhenUsed/>
    <w:locked/>
    <w:rsid w:val="00C551E1"/>
    <w:pPr>
      <w:spacing w:after="0"/>
    </w:pPr>
    <w:rPr>
      <w:color w:val="000000" w:themeColor="text1"/>
    </w:rPr>
    <w:tblPr>
      <w:tblStyleRowBandSize w:val="1"/>
      <w:tblStyleColBandSize w:val="1"/>
      <w:tblBorders>
        <w:top w:val="single" w:sz="8" w:space="0" w:color="4A0E18" w:themeColor="accent6"/>
        <w:bottom w:val="single" w:sz="8" w:space="0" w:color="4A0E18" w:themeColor="accent6"/>
      </w:tblBorders>
    </w:tblPr>
    <w:tblStylePr w:type="firstRow">
      <w:rPr>
        <w:rFonts w:asciiTheme="majorHAnsi" w:eastAsiaTheme="majorEastAsia" w:hAnsiTheme="majorHAnsi" w:cstheme="majorBidi"/>
      </w:rPr>
      <w:tblPr/>
      <w:tcPr>
        <w:tcBorders>
          <w:top w:val="nil"/>
          <w:bottom w:val="single" w:sz="8" w:space="0" w:color="4A0E18" w:themeColor="accent6"/>
        </w:tcBorders>
      </w:tcPr>
    </w:tblStylePr>
    <w:tblStylePr w:type="lastRow">
      <w:rPr>
        <w:b/>
        <w:bCs/>
        <w:color w:val="4D4D4D" w:themeColor="text2"/>
      </w:rPr>
      <w:tblPr/>
      <w:tcPr>
        <w:tcBorders>
          <w:top w:val="single" w:sz="8" w:space="0" w:color="4A0E18" w:themeColor="accent6"/>
          <w:bottom w:val="single" w:sz="8" w:space="0" w:color="4A0E18" w:themeColor="accent6"/>
        </w:tcBorders>
      </w:tcPr>
    </w:tblStylePr>
    <w:tblStylePr w:type="firstCol">
      <w:rPr>
        <w:b/>
        <w:bCs/>
      </w:rPr>
    </w:tblStylePr>
    <w:tblStylePr w:type="lastCol">
      <w:rPr>
        <w:b/>
        <w:bCs/>
      </w:rPr>
      <w:tblPr/>
      <w:tcPr>
        <w:tcBorders>
          <w:top w:val="single" w:sz="8" w:space="0" w:color="4A0E18" w:themeColor="accent6"/>
          <w:bottom w:val="single" w:sz="8" w:space="0" w:color="4A0E18" w:themeColor="accent6"/>
        </w:tcBorders>
      </w:tcPr>
    </w:tblStylePr>
    <w:tblStylePr w:type="band1Vert">
      <w:tblPr/>
      <w:tcPr>
        <w:shd w:val="clear" w:color="auto" w:fill="EEA7B2" w:themeFill="accent6" w:themeFillTint="3F"/>
      </w:tcPr>
    </w:tblStylePr>
    <w:tblStylePr w:type="band1Horz">
      <w:tblPr/>
      <w:tcPr>
        <w:shd w:val="clear" w:color="auto" w:fill="EEA7B2" w:themeFill="accent6" w:themeFillTint="3F"/>
      </w:tcPr>
    </w:tblStylePr>
  </w:style>
  <w:style w:type="table" w:styleId="MediumList2">
    <w:name w:val="Medium List 2"/>
    <w:basedOn w:val="TableNormal"/>
    <w:uiPriority w:val="66"/>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31B2F" w:themeColor="accent1"/>
        <w:left w:val="single" w:sz="8" w:space="0" w:color="931B2F" w:themeColor="accent1"/>
        <w:bottom w:val="single" w:sz="8" w:space="0" w:color="931B2F" w:themeColor="accent1"/>
        <w:right w:val="single" w:sz="8" w:space="0" w:color="931B2F" w:themeColor="accent1"/>
      </w:tblBorders>
    </w:tblPr>
    <w:tblStylePr w:type="firstRow">
      <w:rPr>
        <w:sz w:val="24"/>
        <w:szCs w:val="24"/>
      </w:rPr>
      <w:tblPr/>
      <w:tcPr>
        <w:tcBorders>
          <w:top w:val="nil"/>
          <w:left w:val="nil"/>
          <w:bottom w:val="single" w:sz="24" w:space="0" w:color="931B2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1B2F" w:themeColor="accent1"/>
          <w:insideH w:val="nil"/>
          <w:insideV w:val="nil"/>
        </w:tcBorders>
        <w:shd w:val="clear" w:color="auto" w:fill="FFFFFF" w:themeFill="background1"/>
      </w:tcPr>
    </w:tblStylePr>
    <w:tblStylePr w:type="lastCol">
      <w:tblPr/>
      <w:tcPr>
        <w:tcBorders>
          <w:top w:val="nil"/>
          <w:left w:val="single" w:sz="8" w:space="0" w:color="931B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B8C1" w:themeFill="accent1" w:themeFillTint="3F"/>
      </w:tcPr>
    </w:tblStylePr>
    <w:tblStylePr w:type="band1Horz">
      <w:tblPr/>
      <w:tcPr>
        <w:tcBorders>
          <w:top w:val="nil"/>
          <w:bottom w:val="nil"/>
          <w:insideH w:val="nil"/>
          <w:insideV w:val="nil"/>
        </w:tcBorders>
        <w:shd w:val="clear" w:color="auto" w:fill="F2B8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35F6D" w:themeColor="accent2"/>
        <w:left w:val="single" w:sz="8" w:space="0" w:color="B35F6D" w:themeColor="accent2"/>
        <w:bottom w:val="single" w:sz="8" w:space="0" w:color="B35F6D" w:themeColor="accent2"/>
        <w:right w:val="single" w:sz="8" w:space="0" w:color="B35F6D" w:themeColor="accent2"/>
      </w:tblBorders>
    </w:tblPr>
    <w:tblStylePr w:type="firstRow">
      <w:rPr>
        <w:sz w:val="24"/>
        <w:szCs w:val="24"/>
      </w:rPr>
      <w:tblPr/>
      <w:tcPr>
        <w:tcBorders>
          <w:top w:val="nil"/>
          <w:left w:val="nil"/>
          <w:bottom w:val="single" w:sz="24" w:space="0" w:color="B35F6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5F6D" w:themeColor="accent2"/>
          <w:insideH w:val="nil"/>
          <w:insideV w:val="nil"/>
        </w:tcBorders>
        <w:shd w:val="clear" w:color="auto" w:fill="FFFFFF" w:themeFill="background1"/>
      </w:tcPr>
    </w:tblStylePr>
    <w:tblStylePr w:type="lastCol">
      <w:tblPr/>
      <w:tcPr>
        <w:tcBorders>
          <w:top w:val="nil"/>
          <w:left w:val="single" w:sz="8" w:space="0" w:color="B35F6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A" w:themeFill="accent2" w:themeFillTint="3F"/>
      </w:tcPr>
    </w:tblStylePr>
    <w:tblStylePr w:type="band1Horz">
      <w:tblPr/>
      <w:tcPr>
        <w:tcBorders>
          <w:top w:val="nil"/>
          <w:bottom w:val="nil"/>
          <w:insideH w:val="nil"/>
          <w:insideV w:val="nil"/>
        </w:tcBorders>
        <w:shd w:val="clear" w:color="auto" w:fill="ECD7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E7E7" w:themeColor="accent3"/>
        <w:left w:val="single" w:sz="8" w:space="0" w:color="E8E7E7" w:themeColor="accent3"/>
        <w:bottom w:val="single" w:sz="8" w:space="0" w:color="E8E7E7" w:themeColor="accent3"/>
        <w:right w:val="single" w:sz="8" w:space="0" w:color="E8E7E7" w:themeColor="accent3"/>
      </w:tblBorders>
    </w:tblPr>
    <w:tblStylePr w:type="firstRow">
      <w:rPr>
        <w:sz w:val="24"/>
        <w:szCs w:val="24"/>
      </w:rPr>
      <w:tblPr/>
      <w:tcPr>
        <w:tcBorders>
          <w:top w:val="nil"/>
          <w:left w:val="nil"/>
          <w:bottom w:val="single" w:sz="24" w:space="0" w:color="E8E7E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E7E7" w:themeColor="accent3"/>
          <w:insideH w:val="nil"/>
          <w:insideV w:val="nil"/>
        </w:tcBorders>
        <w:shd w:val="clear" w:color="auto" w:fill="FFFFFF" w:themeFill="background1"/>
      </w:tcPr>
    </w:tblStylePr>
    <w:tblStylePr w:type="lastCol">
      <w:tblPr/>
      <w:tcPr>
        <w:tcBorders>
          <w:top w:val="nil"/>
          <w:left w:val="single" w:sz="8" w:space="0" w:color="E8E7E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9F9" w:themeFill="accent3" w:themeFillTint="3F"/>
      </w:tcPr>
    </w:tblStylePr>
    <w:tblStylePr w:type="band1Horz">
      <w:tblPr/>
      <w:tcPr>
        <w:tcBorders>
          <w:top w:val="nil"/>
          <w:bottom w:val="nil"/>
          <w:insideH w:val="nil"/>
          <w:insideV w:val="nil"/>
        </w:tcBorders>
        <w:shd w:val="clear" w:color="auto" w:fill="F9F9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C8686" w:themeColor="accent4"/>
        <w:left w:val="single" w:sz="8" w:space="0" w:color="8C8686" w:themeColor="accent4"/>
        <w:bottom w:val="single" w:sz="8" w:space="0" w:color="8C8686" w:themeColor="accent4"/>
        <w:right w:val="single" w:sz="8" w:space="0" w:color="8C8686" w:themeColor="accent4"/>
      </w:tblBorders>
    </w:tblPr>
    <w:tblStylePr w:type="firstRow">
      <w:rPr>
        <w:sz w:val="24"/>
        <w:szCs w:val="24"/>
      </w:rPr>
      <w:tblPr/>
      <w:tcPr>
        <w:tcBorders>
          <w:top w:val="nil"/>
          <w:left w:val="nil"/>
          <w:bottom w:val="single" w:sz="24" w:space="0" w:color="8C868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686" w:themeColor="accent4"/>
          <w:insideH w:val="nil"/>
          <w:insideV w:val="nil"/>
        </w:tcBorders>
        <w:shd w:val="clear" w:color="auto" w:fill="FFFFFF" w:themeFill="background1"/>
      </w:tcPr>
    </w:tblStylePr>
    <w:tblStylePr w:type="lastCol">
      <w:tblPr/>
      <w:tcPr>
        <w:tcBorders>
          <w:top w:val="nil"/>
          <w:left w:val="single" w:sz="8" w:space="0" w:color="8C868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1E1" w:themeFill="accent4" w:themeFillTint="3F"/>
      </w:tcPr>
    </w:tblStylePr>
    <w:tblStylePr w:type="band1Horz">
      <w:tblPr/>
      <w:tcPr>
        <w:tcBorders>
          <w:top w:val="nil"/>
          <w:bottom w:val="nil"/>
          <w:insideH w:val="nil"/>
          <w:insideV w:val="nil"/>
        </w:tcBorders>
        <w:shd w:val="clear" w:color="auto" w:fill="E2E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C2A2A" w:themeColor="accent5"/>
        <w:left w:val="single" w:sz="8" w:space="0" w:color="2C2A2A" w:themeColor="accent5"/>
        <w:bottom w:val="single" w:sz="8" w:space="0" w:color="2C2A2A" w:themeColor="accent5"/>
        <w:right w:val="single" w:sz="8" w:space="0" w:color="2C2A2A" w:themeColor="accent5"/>
      </w:tblBorders>
    </w:tblPr>
    <w:tblStylePr w:type="firstRow">
      <w:rPr>
        <w:sz w:val="24"/>
        <w:szCs w:val="24"/>
      </w:rPr>
      <w:tblPr/>
      <w:tcPr>
        <w:tcBorders>
          <w:top w:val="nil"/>
          <w:left w:val="nil"/>
          <w:bottom w:val="single" w:sz="24" w:space="0" w:color="2C2A2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2A2A" w:themeColor="accent5"/>
          <w:insideH w:val="nil"/>
          <w:insideV w:val="nil"/>
        </w:tcBorders>
        <w:shd w:val="clear" w:color="auto" w:fill="FFFFFF" w:themeFill="background1"/>
      </w:tcPr>
    </w:tblStylePr>
    <w:tblStylePr w:type="lastCol">
      <w:tblPr/>
      <w:tcPr>
        <w:tcBorders>
          <w:top w:val="nil"/>
          <w:left w:val="single" w:sz="8" w:space="0" w:color="2C2A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9C9" w:themeFill="accent5" w:themeFillTint="3F"/>
      </w:tcPr>
    </w:tblStylePr>
    <w:tblStylePr w:type="band1Horz">
      <w:tblPr/>
      <w:tcPr>
        <w:tcBorders>
          <w:top w:val="nil"/>
          <w:bottom w:val="nil"/>
          <w:insideH w:val="nil"/>
          <w:insideV w:val="nil"/>
        </w:tcBorders>
        <w:shd w:val="clear" w:color="auto" w:fill="CBC9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C551E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A0E18" w:themeColor="accent6"/>
        <w:left w:val="single" w:sz="8" w:space="0" w:color="4A0E18" w:themeColor="accent6"/>
        <w:bottom w:val="single" w:sz="8" w:space="0" w:color="4A0E18" w:themeColor="accent6"/>
        <w:right w:val="single" w:sz="8" w:space="0" w:color="4A0E18" w:themeColor="accent6"/>
      </w:tblBorders>
    </w:tblPr>
    <w:tblStylePr w:type="firstRow">
      <w:rPr>
        <w:sz w:val="24"/>
        <w:szCs w:val="24"/>
      </w:rPr>
      <w:tblPr/>
      <w:tcPr>
        <w:tcBorders>
          <w:top w:val="nil"/>
          <w:left w:val="nil"/>
          <w:bottom w:val="single" w:sz="24" w:space="0" w:color="4A0E1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0E18" w:themeColor="accent6"/>
          <w:insideH w:val="nil"/>
          <w:insideV w:val="nil"/>
        </w:tcBorders>
        <w:shd w:val="clear" w:color="auto" w:fill="FFFFFF" w:themeFill="background1"/>
      </w:tcPr>
    </w:tblStylePr>
    <w:tblStylePr w:type="lastCol">
      <w:tblPr/>
      <w:tcPr>
        <w:tcBorders>
          <w:top w:val="nil"/>
          <w:left w:val="single" w:sz="8" w:space="0" w:color="4A0E1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A7B2" w:themeFill="accent6" w:themeFillTint="3F"/>
      </w:tcPr>
    </w:tblStylePr>
    <w:tblStylePr w:type="band1Horz">
      <w:tblPr/>
      <w:tcPr>
        <w:tcBorders>
          <w:top w:val="nil"/>
          <w:bottom w:val="nil"/>
          <w:insideH w:val="nil"/>
          <w:insideV w:val="nil"/>
        </w:tcBorders>
        <w:shd w:val="clear" w:color="auto" w:fill="EEA7B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C551E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C551E1"/>
    <w:pPr>
      <w:spacing w:after="0"/>
    </w:pPr>
    <w:tblPr>
      <w:tblStyleRowBandSize w:val="1"/>
      <w:tblStyleColBandSize w:val="1"/>
      <w:tblBorders>
        <w:top w:val="single" w:sz="8" w:space="0" w:color="D82A46" w:themeColor="accent1" w:themeTint="BF"/>
        <w:left w:val="single" w:sz="8" w:space="0" w:color="D82A46" w:themeColor="accent1" w:themeTint="BF"/>
        <w:bottom w:val="single" w:sz="8" w:space="0" w:color="D82A46" w:themeColor="accent1" w:themeTint="BF"/>
        <w:right w:val="single" w:sz="8" w:space="0" w:color="D82A46" w:themeColor="accent1" w:themeTint="BF"/>
        <w:insideH w:val="single" w:sz="8" w:space="0" w:color="D82A46" w:themeColor="accent1" w:themeTint="BF"/>
      </w:tblBorders>
    </w:tblPr>
    <w:tblStylePr w:type="firstRow">
      <w:pPr>
        <w:spacing w:before="0" w:after="0" w:line="240" w:lineRule="auto"/>
      </w:pPr>
      <w:rPr>
        <w:b/>
        <w:bCs/>
        <w:color w:val="FFFFFF" w:themeColor="background1"/>
      </w:rPr>
      <w:tblPr/>
      <w:tcPr>
        <w:tcBorders>
          <w:top w:val="single" w:sz="8" w:space="0" w:color="D82A46" w:themeColor="accent1" w:themeTint="BF"/>
          <w:left w:val="single" w:sz="8" w:space="0" w:color="D82A46" w:themeColor="accent1" w:themeTint="BF"/>
          <w:bottom w:val="single" w:sz="8" w:space="0" w:color="D82A46" w:themeColor="accent1" w:themeTint="BF"/>
          <w:right w:val="single" w:sz="8" w:space="0" w:color="D82A46" w:themeColor="accent1" w:themeTint="BF"/>
          <w:insideH w:val="nil"/>
          <w:insideV w:val="nil"/>
        </w:tcBorders>
        <w:shd w:val="clear" w:color="auto" w:fill="931B2F" w:themeFill="accent1"/>
      </w:tcPr>
    </w:tblStylePr>
    <w:tblStylePr w:type="lastRow">
      <w:pPr>
        <w:spacing w:before="0" w:after="0" w:line="240" w:lineRule="auto"/>
      </w:pPr>
      <w:rPr>
        <w:b/>
        <w:bCs/>
      </w:rPr>
      <w:tblPr/>
      <w:tcPr>
        <w:tcBorders>
          <w:top w:val="double" w:sz="6" w:space="0" w:color="D82A46" w:themeColor="accent1" w:themeTint="BF"/>
          <w:left w:val="single" w:sz="8" w:space="0" w:color="D82A46" w:themeColor="accent1" w:themeTint="BF"/>
          <w:bottom w:val="single" w:sz="8" w:space="0" w:color="D82A46" w:themeColor="accent1" w:themeTint="BF"/>
          <w:right w:val="single" w:sz="8" w:space="0" w:color="D82A4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B8C1" w:themeFill="accent1" w:themeFillTint="3F"/>
      </w:tcPr>
    </w:tblStylePr>
    <w:tblStylePr w:type="band1Horz">
      <w:tblPr/>
      <w:tcPr>
        <w:tcBorders>
          <w:insideH w:val="nil"/>
          <w:insideV w:val="nil"/>
        </w:tcBorders>
        <w:shd w:val="clear" w:color="auto" w:fill="F2B8C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C551E1"/>
    <w:pPr>
      <w:spacing w:after="0"/>
    </w:pPr>
    <w:tblPr>
      <w:tblStyleRowBandSize w:val="1"/>
      <w:tblStyleColBandSize w:val="1"/>
      <w:tblBorders>
        <w:top w:val="single" w:sz="8" w:space="0" w:color="C68791" w:themeColor="accent2" w:themeTint="BF"/>
        <w:left w:val="single" w:sz="8" w:space="0" w:color="C68791" w:themeColor="accent2" w:themeTint="BF"/>
        <w:bottom w:val="single" w:sz="8" w:space="0" w:color="C68791" w:themeColor="accent2" w:themeTint="BF"/>
        <w:right w:val="single" w:sz="8" w:space="0" w:color="C68791" w:themeColor="accent2" w:themeTint="BF"/>
        <w:insideH w:val="single" w:sz="8" w:space="0" w:color="C68791" w:themeColor="accent2" w:themeTint="BF"/>
      </w:tblBorders>
    </w:tblPr>
    <w:tblStylePr w:type="firstRow">
      <w:pPr>
        <w:spacing w:before="0" w:after="0" w:line="240" w:lineRule="auto"/>
      </w:pPr>
      <w:rPr>
        <w:b/>
        <w:bCs/>
        <w:color w:val="FFFFFF" w:themeColor="background1"/>
      </w:rPr>
      <w:tblPr/>
      <w:tcPr>
        <w:tcBorders>
          <w:top w:val="single" w:sz="8" w:space="0" w:color="C68791" w:themeColor="accent2" w:themeTint="BF"/>
          <w:left w:val="single" w:sz="8" w:space="0" w:color="C68791" w:themeColor="accent2" w:themeTint="BF"/>
          <w:bottom w:val="single" w:sz="8" w:space="0" w:color="C68791" w:themeColor="accent2" w:themeTint="BF"/>
          <w:right w:val="single" w:sz="8" w:space="0" w:color="C68791" w:themeColor="accent2" w:themeTint="BF"/>
          <w:insideH w:val="nil"/>
          <w:insideV w:val="nil"/>
        </w:tcBorders>
        <w:shd w:val="clear" w:color="auto" w:fill="B35F6D" w:themeFill="accent2"/>
      </w:tcPr>
    </w:tblStylePr>
    <w:tblStylePr w:type="lastRow">
      <w:pPr>
        <w:spacing w:before="0" w:after="0" w:line="240" w:lineRule="auto"/>
      </w:pPr>
      <w:rPr>
        <w:b/>
        <w:bCs/>
      </w:rPr>
      <w:tblPr/>
      <w:tcPr>
        <w:tcBorders>
          <w:top w:val="double" w:sz="6" w:space="0" w:color="C68791" w:themeColor="accent2" w:themeTint="BF"/>
          <w:left w:val="single" w:sz="8" w:space="0" w:color="C68791" w:themeColor="accent2" w:themeTint="BF"/>
          <w:bottom w:val="single" w:sz="8" w:space="0" w:color="C68791" w:themeColor="accent2" w:themeTint="BF"/>
          <w:right w:val="single" w:sz="8" w:space="0" w:color="C6879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CD7DA" w:themeFill="accent2" w:themeFillTint="3F"/>
      </w:tcPr>
    </w:tblStylePr>
    <w:tblStylePr w:type="band1Horz">
      <w:tblPr/>
      <w:tcPr>
        <w:tcBorders>
          <w:insideH w:val="nil"/>
          <w:insideV w:val="nil"/>
        </w:tcBorders>
        <w:shd w:val="clear" w:color="auto" w:fill="ECD7D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C551E1"/>
    <w:pPr>
      <w:spacing w:after="0"/>
    </w:pPr>
    <w:tblPr>
      <w:tblStyleRowBandSize w:val="1"/>
      <w:tblStyleColBandSize w:val="1"/>
      <w:tblBorders>
        <w:top w:val="single" w:sz="8" w:space="0" w:color="EDECEC" w:themeColor="accent3" w:themeTint="BF"/>
        <w:left w:val="single" w:sz="8" w:space="0" w:color="EDECEC" w:themeColor="accent3" w:themeTint="BF"/>
        <w:bottom w:val="single" w:sz="8" w:space="0" w:color="EDECEC" w:themeColor="accent3" w:themeTint="BF"/>
        <w:right w:val="single" w:sz="8" w:space="0" w:color="EDECEC" w:themeColor="accent3" w:themeTint="BF"/>
        <w:insideH w:val="single" w:sz="8" w:space="0" w:color="EDECEC" w:themeColor="accent3" w:themeTint="BF"/>
      </w:tblBorders>
    </w:tblPr>
    <w:tblStylePr w:type="firstRow">
      <w:pPr>
        <w:spacing w:before="0" w:after="0" w:line="240" w:lineRule="auto"/>
      </w:pPr>
      <w:rPr>
        <w:b/>
        <w:bCs/>
        <w:color w:val="FFFFFF" w:themeColor="background1"/>
      </w:rPr>
      <w:tblPr/>
      <w:tcPr>
        <w:tcBorders>
          <w:top w:val="single" w:sz="8" w:space="0" w:color="EDECEC" w:themeColor="accent3" w:themeTint="BF"/>
          <w:left w:val="single" w:sz="8" w:space="0" w:color="EDECEC" w:themeColor="accent3" w:themeTint="BF"/>
          <w:bottom w:val="single" w:sz="8" w:space="0" w:color="EDECEC" w:themeColor="accent3" w:themeTint="BF"/>
          <w:right w:val="single" w:sz="8" w:space="0" w:color="EDECEC" w:themeColor="accent3" w:themeTint="BF"/>
          <w:insideH w:val="nil"/>
          <w:insideV w:val="nil"/>
        </w:tcBorders>
        <w:shd w:val="clear" w:color="auto" w:fill="E8E7E7" w:themeFill="accent3"/>
      </w:tcPr>
    </w:tblStylePr>
    <w:tblStylePr w:type="lastRow">
      <w:pPr>
        <w:spacing w:before="0" w:after="0" w:line="240" w:lineRule="auto"/>
      </w:pPr>
      <w:rPr>
        <w:b/>
        <w:bCs/>
      </w:rPr>
      <w:tblPr/>
      <w:tcPr>
        <w:tcBorders>
          <w:top w:val="double" w:sz="6" w:space="0" w:color="EDECEC" w:themeColor="accent3" w:themeTint="BF"/>
          <w:left w:val="single" w:sz="8" w:space="0" w:color="EDECEC" w:themeColor="accent3" w:themeTint="BF"/>
          <w:bottom w:val="single" w:sz="8" w:space="0" w:color="EDECEC" w:themeColor="accent3" w:themeTint="BF"/>
          <w:right w:val="single" w:sz="8" w:space="0" w:color="EDEC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9F9" w:themeFill="accent3" w:themeFillTint="3F"/>
      </w:tcPr>
    </w:tblStylePr>
    <w:tblStylePr w:type="band1Horz">
      <w:tblPr/>
      <w:tcPr>
        <w:tcBorders>
          <w:insideH w:val="nil"/>
          <w:insideV w:val="nil"/>
        </w:tcBorders>
        <w:shd w:val="clear" w:color="auto" w:fill="F9F9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C551E1"/>
    <w:pPr>
      <w:spacing w:after="0"/>
    </w:pPr>
    <w:tblPr>
      <w:tblStyleRowBandSize w:val="1"/>
      <w:tblStyleColBandSize w:val="1"/>
      <w:tblBorders>
        <w:top w:val="single" w:sz="8" w:space="0" w:color="A8A4A4" w:themeColor="accent4" w:themeTint="BF"/>
        <w:left w:val="single" w:sz="8" w:space="0" w:color="A8A4A4" w:themeColor="accent4" w:themeTint="BF"/>
        <w:bottom w:val="single" w:sz="8" w:space="0" w:color="A8A4A4" w:themeColor="accent4" w:themeTint="BF"/>
        <w:right w:val="single" w:sz="8" w:space="0" w:color="A8A4A4" w:themeColor="accent4" w:themeTint="BF"/>
        <w:insideH w:val="single" w:sz="8" w:space="0" w:color="A8A4A4" w:themeColor="accent4" w:themeTint="BF"/>
      </w:tblBorders>
    </w:tblPr>
    <w:tblStylePr w:type="firstRow">
      <w:pPr>
        <w:spacing w:before="0" w:after="0" w:line="240" w:lineRule="auto"/>
      </w:pPr>
      <w:rPr>
        <w:b/>
        <w:bCs/>
        <w:color w:val="FFFFFF" w:themeColor="background1"/>
      </w:rPr>
      <w:tblPr/>
      <w:tcPr>
        <w:tcBorders>
          <w:top w:val="single" w:sz="8" w:space="0" w:color="A8A4A4" w:themeColor="accent4" w:themeTint="BF"/>
          <w:left w:val="single" w:sz="8" w:space="0" w:color="A8A4A4" w:themeColor="accent4" w:themeTint="BF"/>
          <w:bottom w:val="single" w:sz="8" w:space="0" w:color="A8A4A4" w:themeColor="accent4" w:themeTint="BF"/>
          <w:right w:val="single" w:sz="8" w:space="0" w:color="A8A4A4" w:themeColor="accent4" w:themeTint="BF"/>
          <w:insideH w:val="nil"/>
          <w:insideV w:val="nil"/>
        </w:tcBorders>
        <w:shd w:val="clear" w:color="auto" w:fill="8C8686" w:themeFill="accent4"/>
      </w:tcPr>
    </w:tblStylePr>
    <w:tblStylePr w:type="lastRow">
      <w:pPr>
        <w:spacing w:before="0" w:after="0" w:line="240" w:lineRule="auto"/>
      </w:pPr>
      <w:rPr>
        <w:b/>
        <w:bCs/>
      </w:rPr>
      <w:tblPr/>
      <w:tcPr>
        <w:tcBorders>
          <w:top w:val="double" w:sz="6" w:space="0" w:color="A8A4A4" w:themeColor="accent4" w:themeTint="BF"/>
          <w:left w:val="single" w:sz="8" w:space="0" w:color="A8A4A4" w:themeColor="accent4" w:themeTint="BF"/>
          <w:bottom w:val="single" w:sz="8" w:space="0" w:color="A8A4A4" w:themeColor="accent4" w:themeTint="BF"/>
          <w:right w:val="single" w:sz="8" w:space="0" w:color="A8A4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E1E1" w:themeFill="accent4" w:themeFillTint="3F"/>
      </w:tcPr>
    </w:tblStylePr>
    <w:tblStylePr w:type="band1Horz">
      <w:tblPr/>
      <w:tcPr>
        <w:tcBorders>
          <w:insideH w:val="nil"/>
          <w:insideV w:val="nil"/>
        </w:tcBorders>
        <w:shd w:val="clear" w:color="auto" w:fill="E2E1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C551E1"/>
    <w:pPr>
      <w:spacing w:after="0"/>
    </w:pPr>
    <w:tblPr>
      <w:tblStyleRowBandSize w:val="1"/>
      <w:tblStyleColBandSize w:val="1"/>
      <w:tblBorders>
        <w:top w:val="single" w:sz="8" w:space="0" w:color="625E5E" w:themeColor="accent5" w:themeTint="BF"/>
        <w:left w:val="single" w:sz="8" w:space="0" w:color="625E5E" w:themeColor="accent5" w:themeTint="BF"/>
        <w:bottom w:val="single" w:sz="8" w:space="0" w:color="625E5E" w:themeColor="accent5" w:themeTint="BF"/>
        <w:right w:val="single" w:sz="8" w:space="0" w:color="625E5E" w:themeColor="accent5" w:themeTint="BF"/>
        <w:insideH w:val="single" w:sz="8" w:space="0" w:color="625E5E" w:themeColor="accent5" w:themeTint="BF"/>
      </w:tblBorders>
    </w:tblPr>
    <w:tblStylePr w:type="firstRow">
      <w:pPr>
        <w:spacing w:before="0" w:after="0" w:line="240" w:lineRule="auto"/>
      </w:pPr>
      <w:rPr>
        <w:b/>
        <w:bCs/>
        <w:color w:val="FFFFFF" w:themeColor="background1"/>
      </w:rPr>
      <w:tblPr/>
      <w:tcPr>
        <w:tcBorders>
          <w:top w:val="single" w:sz="8" w:space="0" w:color="625E5E" w:themeColor="accent5" w:themeTint="BF"/>
          <w:left w:val="single" w:sz="8" w:space="0" w:color="625E5E" w:themeColor="accent5" w:themeTint="BF"/>
          <w:bottom w:val="single" w:sz="8" w:space="0" w:color="625E5E" w:themeColor="accent5" w:themeTint="BF"/>
          <w:right w:val="single" w:sz="8" w:space="0" w:color="625E5E" w:themeColor="accent5" w:themeTint="BF"/>
          <w:insideH w:val="nil"/>
          <w:insideV w:val="nil"/>
        </w:tcBorders>
        <w:shd w:val="clear" w:color="auto" w:fill="2C2A2A" w:themeFill="accent5"/>
      </w:tcPr>
    </w:tblStylePr>
    <w:tblStylePr w:type="lastRow">
      <w:pPr>
        <w:spacing w:before="0" w:after="0" w:line="240" w:lineRule="auto"/>
      </w:pPr>
      <w:rPr>
        <w:b/>
        <w:bCs/>
      </w:rPr>
      <w:tblPr/>
      <w:tcPr>
        <w:tcBorders>
          <w:top w:val="double" w:sz="6" w:space="0" w:color="625E5E" w:themeColor="accent5" w:themeTint="BF"/>
          <w:left w:val="single" w:sz="8" w:space="0" w:color="625E5E" w:themeColor="accent5" w:themeTint="BF"/>
          <w:bottom w:val="single" w:sz="8" w:space="0" w:color="625E5E" w:themeColor="accent5" w:themeTint="BF"/>
          <w:right w:val="single" w:sz="8" w:space="0" w:color="625E5E"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C9C9" w:themeFill="accent5" w:themeFillTint="3F"/>
      </w:tcPr>
    </w:tblStylePr>
    <w:tblStylePr w:type="band1Horz">
      <w:tblPr/>
      <w:tcPr>
        <w:tcBorders>
          <w:insideH w:val="nil"/>
          <w:insideV w:val="nil"/>
        </w:tcBorders>
        <w:shd w:val="clear" w:color="auto" w:fill="CBC9C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C551E1"/>
    <w:pPr>
      <w:spacing w:after="0"/>
    </w:pPr>
    <w:tblPr>
      <w:tblStyleRowBandSize w:val="1"/>
      <w:tblStyleColBandSize w:val="1"/>
      <w:tblBorders>
        <w:top w:val="single" w:sz="8" w:space="0" w:color="A21E34" w:themeColor="accent6" w:themeTint="BF"/>
        <w:left w:val="single" w:sz="8" w:space="0" w:color="A21E34" w:themeColor="accent6" w:themeTint="BF"/>
        <w:bottom w:val="single" w:sz="8" w:space="0" w:color="A21E34" w:themeColor="accent6" w:themeTint="BF"/>
        <w:right w:val="single" w:sz="8" w:space="0" w:color="A21E34" w:themeColor="accent6" w:themeTint="BF"/>
        <w:insideH w:val="single" w:sz="8" w:space="0" w:color="A21E34" w:themeColor="accent6" w:themeTint="BF"/>
      </w:tblBorders>
    </w:tblPr>
    <w:tblStylePr w:type="firstRow">
      <w:pPr>
        <w:spacing w:before="0" w:after="0" w:line="240" w:lineRule="auto"/>
      </w:pPr>
      <w:rPr>
        <w:b/>
        <w:bCs/>
        <w:color w:val="FFFFFF" w:themeColor="background1"/>
      </w:rPr>
      <w:tblPr/>
      <w:tcPr>
        <w:tcBorders>
          <w:top w:val="single" w:sz="8" w:space="0" w:color="A21E34" w:themeColor="accent6" w:themeTint="BF"/>
          <w:left w:val="single" w:sz="8" w:space="0" w:color="A21E34" w:themeColor="accent6" w:themeTint="BF"/>
          <w:bottom w:val="single" w:sz="8" w:space="0" w:color="A21E34" w:themeColor="accent6" w:themeTint="BF"/>
          <w:right w:val="single" w:sz="8" w:space="0" w:color="A21E34" w:themeColor="accent6" w:themeTint="BF"/>
          <w:insideH w:val="nil"/>
          <w:insideV w:val="nil"/>
        </w:tcBorders>
        <w:shd w:val="clear" w:color="auto" w:fill="4A0E18" w:themeFill="accent6"/>
      </w:tcPr>
    </w:tblStylePr>
    <w:tblStylePr w:type="lastRow">
      <w:pPr>
        <w:spacing w:before="0" w:after="0" w:line="240" w:lineRule="auto"/>
      </w:pPr>
      <w:rPr>
        <w:b/>
        <w:bCs/>
      </w:rPr>
      <w:tblPr/>
      <w:tcPr>
        <w:tcBorders>
          <w:top w:val="double" w:sz="6" w:space="0" w:color="A21E34" w:themeColor="accent6" w:themeTint="BF"/>
          <w:left w:val="single" w:sz="8" w:space="0" w:color="A21E34" w:themeColor="accent6" w:themeTint="BF"/>
          <w:bottom w:val="single" w:sz="8" w:space="0" w:color="A21E34" w:themeColor="accent6" w:themeTint="BF"/>
          <w:right w:val="single" w:sz="8" w:space="0" w:color="A21E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A7B2" w:themeFill="accent6" w:themeFillTint="3F"/>
      </w:tcPr>
    </w:tblStylePr>
    <w:tblStylePr w:type="band1Horz">
      <w:tblPr/>
      <w:tcPr>
        <w:tcBorders>
          <w:insideH w:val="nil"/>
          <w:insideV w:val="nil"/>
        </w:tcBorders>
        <w:shd w:val="clear" w:color="auto" w:fill="EEA7B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C551E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C551E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1B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1B2F" w:themeFill="accent1"/>
      </w:tcPr>
    </w:tblStylePr>
    <w:tblStylePr w:type="lastCol">
      <w:rPr>
        <w:b/>
        <w:bCs/>
        <w:color w:val="FFFFFF" w:themeColor="background1"/>
      </w:rPr>
      <w:tblPr/>
      <w:tcPr>
        <w:tcBorders>
          <w:left w:val="nil"/>
          <w:right w:val="nil"/>
          <w:insideH w:val="nil"/>
          <w:insideV w:val="nil"/>
        </w:tcBorders>
        <w:shd w:val="clear" w:color="auto" w:fill="931B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C551E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5F6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5F6D" w:themeFill="accent2"/>
      </w:tcPr>
    </w:tblStylePr>
    <w:tblStylePr w:type="lastCol">
      <w:rPr>
        <w:b/>
        <w:bCs/>
        <w:color w:val="FFFFFF" w:themeColor="background1"/>
      </w:rPr>
      <w:tblPr/>
      <w:tcPr>
        <w:tcBorders>
          <w:left w:val="nil"/>
          <w:right w:val="nil"/>
          <w:insideH w:val="nil"/>
          <w:insideV w:val="nil"/>
        </w:tcBorders>
        <w:shd w:val="clear" w:color="auto" w:fill="B35F6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C551E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E7E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E7E7" w:themeFill="accent3"/>
      </w:tcPr>
    </w:tblStylePr>
    <w:tblStylePr w:type="lastCol">
      <w:rPr>
        <w:b/>
        <w:bCs/>
        <w:color w:val="FFFFFF" w:themeColor="background1"/>
      </w:rPr>
      <w:tblPr/>
      <w:tcPr>
        <w:tcBorders>
          <w:left w:val="nil"/>
          <w:right w:val="nil"/>
          <w:insideH w:val="nil"/>
          <w:insideV w:val="nil"/>
        </w:tcBorders>
        <w:shd w:val="clear" w:color="auto" w:fill="E8E7E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C551E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68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C8686" w:themeFill="accent4"/>
      </w:tcPr>
    </w:tblStylePr>
    <w:tblStylePr w:type="lastCol">
      <w:rPr>
        <w:b/>
        <w:bCs/>
        <w:color w:val="FFFFFF" w:themeColor="background1"/>
      </w:rPr>
      <w:tblPr/>
      <w:tcPr>
        <w:tcBorders>
          <w:left w:val="nil"/>
          <w:right w:val="nil"/>
          <w:insideH w:val="nil"/>
          <w:insideV w:val="nil"/>
        </w:tcBorders>
        <w:shd w:val="clear" w:color="auto" w:fill="8C868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C551E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2A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2A2A" w:themeFill="accent5"/>
      </w:tcPr>
    </w:tblStylePr>
    <w:tblStylePr w:type="lastCol">
      <w:rPr>
        <w:b/>
        <w:bCs/>
        <w:color w:val="FFFFFF" w:themeColor="background1"/>
      </w:rPr>
      <w:tblPr/>
      <w:tcPr>
        <w:tcBorders>
          <w:left w:val="nil"/>
          <w:right w:val="nil"/>
          <w:insideH w:val="nil"/>
          <w:insideV w:val="nil"/>
        </w:tcBorders>
        <w:shd w:val="clear" w:color="auto" w:fill="2C2A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C551E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0E1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0E18" w:themeFill="accent6"/>
      </w:tcPr>
    </w:tblStylePr>
    <w:tblStylePr w:type="lastCol">
      <w:rPr>
        <w:b/>
        <w:bCs/>
        <w:color w:val="FFFFFF" w:themeColor="background1"/>
      </w:rPr>
      <w:tblPr/>
      <w:tcPr>
        <w:tcBorders>
          <w:left w:val="nil"/>
          <w:right w:val="nil"/>
          <w:insideH w:val="nil"/>
          <w:insideV w:val="nil"/>
        </w:tcBorders>
        <w:shd w:val="clear" w:color="auto" w:fill="4A0E1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semiHidden/>
    <w:rsid w:val="00C551E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C551E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C551E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C551E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C551E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locked/>
    <w:rsid w:val="00C551E1"/>
    <w:pPr>
      <w:spacing w:after="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C551E1"/>
    <w:pPr>
      <w:spacing w:after="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C551E1"/>
    <w:pPr>
      <w:spacing w:after="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C551E1"/>
    <w:pPr>
      <w:spacing w:after="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C551E1"/>
    <w:pPr>
      <w:spacing w:after="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C551E1"/>
    <w:pPr>
      <w:spacing w:after="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C551E1"/>
    <w:pPr>
      <w:spacing w:after="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C551E1"/>
    <w:pPr>
      <w:spacing w:after="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C551E1"/>
    <w:pPr>
      <w:spacing w:after="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C551E1"/>
    <w:pPr>
      <w:spacing w:after="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C551E1"/>
    <w:pPr>
      <w:spacing w:after="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C551E1"/>
    <w:pPr>
      <w:spacing w:after="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C551E1"/>
    <w:pPr>
      <w:spacing w:after="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C551E1"/>
    <w:pPr>
      <w:spacing w:after="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C551E1"/>
    <w:pPr>
      <w:spacing w:after="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C551E1"/>
    <w:pPr>
      <w:spacing w:after="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C551E1"/>
    <w:pPr>
      <w:spacing w:after="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C551E1"/>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C551E1"/>
    <w:pPr>
      <w:spacing w:after="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C551E1"/>
    <w:pPr>
      <w:spacing w:after="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C551E1"/>
    <w:pPr>
      <w:spacing w:after="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C551E1"/>
    <w:pPr>
      <w:spacing w:after="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C551E1"/>
    <w:pPr>
      <w:spacing w:after="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C551E1"/>
    <w:pPr>
      <w:spacing w:after="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C551E1"/>
    <w:pPr>
      <w:spacing w:after="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semiHidden/>
    <w:rsid w:val="00C551E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C551E1"/>
    <w:pPr>
      <w:spacing w:after="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C551E1"/>
    <w:pPr>
      <w:spacing w:after="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C551E1"/>
    <w:pPr>
      <w:spacing w:after="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C551E1"/>
    <w:pPr>
      <w:spacing w:after="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C551E1"/>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C551E1"/>
    <w:pPr>
      <w:spacing w:after="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C551E1"/>
    <w:pPr>
      <w:spacing w:after="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C551E1"/>
    <w:pPr>
      <w:spacing w:after="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C551E1"/>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C551E1"/>
    <w:pPr>
      <w:spacing w:after="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C551E1"/>
    <w:pPr>
      <w:spacing w:after="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C551E1"/>
    <w:pPr>
      <w:spacing w:after="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C551E1"/>
    <w:pPr>
      <w:spacing w:after="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C551E1"/>
    <w:pPr>
      <w:spacing w:after="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C551E1"/>
    <w:pPr>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C551E1"/>
    <w:pPr>
      <w:spacing w:after="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C551E1"/>
    <w:pPr>
      <w:spacing w:after="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C551E1"/>
    <w:pPr>
      <w:spacing w:after="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iPriority w:val="10"/>
    <w:semiHidden/>
    <w:qFormat/>
    <w:locked/>
    <w:rsid w:val="005B5952"/>
    <w:pPr>
      <w:spacing w:before="240" w:after="60"/>
      <w:contextualSpacing/>
    </w:pPr>
    <w:rPr>
      <w:b/>
      <w:iCs/>
      <w:szCs w:val="18"/>
    </w:rPr>
  </w:style>
  <w:style w:type="paragraph" w:customStyle="1" w:styleId="Source">
    <w:name w:val="Source"/>
    <w:basedOn w:val="Normal"/>
    <w:uiPriority w:val="8"/>
    <w:semiHidden/>
    <w:qFormat/>
    <w:rsid w:val="008177F4"/>
    <w:pPr>
      <w:spacing w:before="60" w:line="200" w:lineRule="atLeast"/>
    </w:pPr>
    <w:rPr>
      <w:i/>
      <w:color w:val="595959" w:themeColor="text1" w:themeTint="A6"/>
    </w:rPr>
  </w:style>
  <w:style w:type="paragraph" w:customStyle="1" w:styleId="SignOffSender">
    <w:name w:val="Sign Off Sender"/>
    <w:basedOn w:val="SignOff"/>
    <w:uiPriority w:val="9"/>
    <w:semiHidden/>
    <w:qFormat/>
    <w:rsid w:val="009C2F02"/>
    <w:pPr>
      <w:spacing w:before="0" w:line="200" w:lineRule="atLeast"/>
    </w:pPr>
    <w:rPr>
      <w:rFonts w:asciiTheme="majorHAnsi" w:hAnsiTheme="majorHAnsi"/>
      <w:caps/>
    </w:rPr>
  </w:style>
  <w:style w:type="character" w:customStyle="1" w:styleId="boldtextCHR">
    <w:name w:val="bold text CHR"/>
    <w:basedOn w:val="DefaultParagraphFont"/>
    <w:uiPriority w:val="9"/>
    <w:semiHidden/>
    <w:qFormat/>
    <w:rsid w:val="00917E72"/>
    <w:rPr>
      <w:rFonts w:asciiTheme="majorHAnsi" w:hAnsiTheme="majorHAnsi"/>
      <w:b w:val="0"/>
    </w:rPr>
  </w:style>
  <w:style w:type="paragraph" w:customStyle="1" w:styleId="chrHyperlink">
    <w:name w:val="chr_Hyperlink"/>
    <w:basedOn w:val="Footer"/>
    <w:link w:val="chrHyperlinkChar"/>
    <w:uiPriority w:val="9"/>
    <w:semiHidden/>
    <w:qFormat/>
    <w:rsid w:val="008D5B4F"/>
  </w:style>
  <w:style w:type="character" w:customStyle="1" w:styleId="chrHyperlinkChar">
    <w:name w:val="chr_Hyperlink Char"/>
    <w:basedOn w:val="FooterChar"/>
    <w:link w:val="chrHyperlink"/>
    <w:uiPriority w:val="9"/>
    <w:semiHidden/>
    <w:rsid w:val="00FB1FDC"/>
    <w:rPr>
      <w:rFonts w:asciiTheme="majorHAnsi" w:hAnsiTheme="majorHAnsi"/>
      <w:color w:val="000000" w:themeColor="text1"/>
      <w:sz w:val="18"/>
    </w:rPr>
  </w:style>
  <w:style w:type="paragraph" w:customStyle="1" w:styleId="DocumentTitle">
    <w:name w:val="Document Title"/>
    <w:uiPriority w:val="3"/>
    <w:semiHidden/>
    <w:qFormat/>
    <w:rsid w:val="0078267A"/>
    <w:pPr>
      <w:spacing w:line="280" w:lineRule="atLeast"/>
      <w:ind w:right="1021"/>
      <w:jc w:val="center"/>
    </w:pPr>
    <w:rPr>
      <w:rFonts w:eastAsiaTheme="minorEastAsia" w:cs="Century Gothic"/>
      <w:caps/>
      <w:noProof/>
      <w:color w:val="931B2F" w:themeColor="accent1"/>
      <w:sz w:val="22"/>
      <w:lang w:eastAsia="en-AU"/>
    </w:rPr>
  </w:style>
  <w:style w:type="paragraph" w:customStyle="1" w:styleId="FooterHeading">
    <w:name w:val="Footer Heading"/>
    <w:basedOn w:val="Footer"/>
    <w:uiPriority w:val="9"/>
    <w:semiHidden/>
    <w:rsid w:val="0011199F"/>
    <w:pPr>
      <w:spacing w:after="57" w:line="200" w:lineRule="atLeast"/>
    </w:pPr>
  </w:style>
  <w:style w:type="paragraph" w:customStyle="1" w:styleId="AddressBlock">
    <w:name w:val="Address Block"/>
    <w:basedOn w:val="Normal"/>
    <w:uiPriority w:val="21"/>
    <w:semiHidden/>
    <w:rsid w:val="00A449FF"/>
    <w:pPr>
      <w:spacing w:line="230" w:lineRule="atLeast"/>
    </w:pPr>
    <w:rPr>
      <w:rFonts w:asciiTheme="majorHAnsi" w:hAnsiTheme="majorHAnsi"/>
      <w:sz w:val="18"/>
    </w:rPr>
  </w:style>
  <w:style w:type="paragraph" w:customStyle="1" w:styleId="HeaderTitle">
    <w:name w:val="Header Title"/>
    <w:basedOn w:val="Header"/>
    <w:uiPriority w:val="3"/>
    <w:semiHidden/>
    <w:rsid w:val="00934B90"/>
    <w:pPr>
      <w:jc w:val="right"/>
    </w:pPr>
    <w:rPr>
      <w:rFonts w:asciiTheme="majorHAnsi" w:hAnsiTheme="majorHAnsi"/>
      <w:b/>
      <w:sz w:val="32"/>
    </w:rPr>
  </w:style>
  <w:style w:type="character" w:styleId="UnresolvedMention">
    <w:name w:val="Unresolved Mention"/>
    <w:basedOn w:val="DefaultParagraphFont"/>
    <w:uiPriority w:val="99"/>
    <w:semiHidden/>
    <w:unhideWhenUsed/>
    <w:rsid w:val="00B02CF5"/>
    <w:rPr>
      <w:color w:val="808080"/>
      <w:shd w:val="clear" w:color="auto" w:fill="E6E6E6"/>
    </w:rPr>
  </w:style>
  <w:style w:type="table" w:styleId="GridTable1Light-Accent2">
    <w:name w:val="Grid Table 1 Light Accent 2"/>
    <w:basedOn w:val="TableNormal"/>
    <w:uiPriority w:val="46"/>
    <w:semiHidden/>
    <w:rsid w:val="00A449FF"/>
    <w:pPr>
      <w:spacing w:after="0"/>
    </w:pPr>
    <w:tblPr>
      <w:tblStyleRowBandSize w:val="1"/>
      <w:tblStyleColBandSize w:val="1"/>
      <w:tblBorders>
        <w:top w:val="single" w:sz="4" w:space="0" w:color="E0BEC4" w:themeColor="accent2" w:themeTint="66"/>
        <w:left w:val="single" w:sz="4" w:space="0" w:color="E0BEC4" w:themeColor="accent2" w:themeTint="66"/>
        <w:bottom w:val="single" w:sz="4" w:space="0" w:color="E0BEC4" w:themeColor="accent2" w:themeTint="66"/>
        <w:right w:val="single" w:sz="4" w:space="0" w:color="E0BEC4" w:themeColor="accent2" w:themeTint="66"/>
        <w:insideH w:val="single" w:sz="4" w:space="0" w:color="E0BEC4" w:themeColor="accent2" w:themeTint="66"/>
        <w:insideV w:val="single" w:sz="4" w:space="0" w:color="E0BEC4" w:themeColor="accent2" w:themeTint="66"/>
      </w:tblBorders>
    </w:tblPr>
    <w:tblStylePr w:type="firstRow">
      <w:rPr>
        <w:b/>
        <w:bCs/>
      </w:rPr>
      <w:tblPr/>
      <w:tcPr>
        <w:tcBorders>
          <w:bottom w:val="single" w:sz="12" w:space="0" w:color="D19EA7" w:themeColor="accent2" w:themeTint="99"/>
        </w:tcBorders>
      </w:tcPr>
    </w:tblStylePr>
    <w:tblStylePr w:type="lastRow">
      <w:rPr>
        <w:b/>
        <w:bCs/>
      </w:rPr>
      <w:tblPr/>
      <w:tcPr>
        <w:tcBorders>
          <w:top w:val="double" w:sz="2" w:space="0" w:color="D19EA7" w:themeColor="accent2" w:themeTint="99"/>
        </w:tcBorders>
      </w:tcPr>
    </w:tblStylePr>
    <w:tblStylePr w:type="firstCol">
      <w:rPr>
        <w:b/>
        <w:bCs/>
      </w:rPr>
    </w:tblStylePr>
    <w:tblStylePr w:type="lastCol">
      <w:rPr>
        <w:b/>
        <w:bCs/>
      </w:rPr>
    </w:tblStylePr>
  </w:style>
  <w:style w:type="paragraph" w:customStyle="1" w:styleId="FooterDetails">
    <w:name w:val="Footer Details"/>
    <w:basedOn w:val="Footer"/>
    <w:link w:val="FooterDetailsChar"/>
    <w:uiPriority w:val="29"/>
    <w:semiHidden/>
    <w:rsid w:val="00436135"/>
    <w:pPr>
      <w:spacing w:before="60"/>
    </w:pPr>
    <w:rPr>
      <w:b/>
      <w:sz w:val="15"/>
    </w:rPr>
  </w:style>
  <w:style w:type="table" w:customStyle="1" w:styleId="ColouredTable">
    <w:name w:val="Coloured Table"/>
    <w:basedOn w:val="TableNormal"/>
    <w:uiPriority w:val="99"/>
    <w:rsid w:val="00C82CBF"/>
    <w:pPr>
      <w:spacing w:after="0"/>
    </w:pPr>
    <w:rPr>
      <w:color w:val="000000" w:themeColor="text1"/>
    </w:rPr>
    <w:tblPr>
      <w:tblStyleRowBandSize w:val="1"/>
      <w:tblBorders>
        <w:top w:val="single" w:sz="4" w:space="0" w:color="931B2F" w:themeColor="background2"/>
        <w:left w:val="single" w:sz="4" w:space="0" w:color="931B2F" w:themeColor="background2"/>
        <w:bottom w:val="single" w:sz="4" w:space="0" w:color="931B2F" w:themeColor="background2"/>
        <w:right w:val="single" w:sz="4" w:space="0" w:color="931B2F" w:themeColor="background2"/>
        <w:insideH w:val="single" w:sz="4" w:space="0" w:color="931B2F" w:themeColor="background2"/>
        <w:insideV w:val="single" w:sz="4" w:space="0" w:color="931B2F" w:themeColor="background2"/>
      </w:tblBorders>
      <w:tblCellMar>
        <w:top w:w="85" w:type="dxa"/>
        <w:left w:w="85" w:type="dxa"/>
        <w:bottom w:w="85" w:type="dxa"/>
        <w:right w:w="85" w:type="dxa"/>
      </w:tblCellMar>
    </w:tblPr>
    <w:tblStylePr w:type="firstRow">
      <w:pPr>
        <w:wordWrap/>
        <w:spacing w:beforeLines="0" w:before="0" w:beforeAutospacing="0" w:afterLines="0" w:after="0" w:afterAutospacing="0" w:line="240" w:lineRule="auto"/>
      </w:pPr>
      <w:rPr>
        <w:color w:val="FFFFFF" w:themeColor="background1"/>
      </w:rPr>
      <w:tblPr/>
      <w:tcPr>
        <w:tcBorders>
          <w:top w:val="nil"/>
          <w:left w:val="nil"/>
          <w:bottom w:val="nil"/>
          <w:right w:val="nil"/>
          <w:insideH w:val="nil"/>
          <w:insideV w:val="nil"/>
          <w:tl2br w:val="nil"/>
          <w:tr2bl w:val="nil"/>
        </w:tcBorders>
        <w:shd w:val="clear" w:color="auto" w:fill="931B2F" w:themeFill="background2"/>
      </w:tcPr>
    </w:tblStylePr>
    <w:tblStylePr w:type="firstCol">
      <w:rPr>
        <w:color w:val="FFFFFF" w:themeColor="background1"/>
      </w:rPr>
      <w:tblPr/>
      <w:tcPr>
        <w:shd w:val="clear" w:color="auto" w:fill="931B2F" w:themeFill="background2"/>
      </w:tcPr>
    </w:tblStylePr>
    <w:tblStylePr w:type="band2Horz">
      <w:rPr>
        <w:color w:val="auto"/>
      </w:rPr>
      <w:tblPr/>
      <w:tcPr>
        <w:shd w:val="clear" w:color="auto" w:fill="F2F2F2" w:themeFill="background1" w:themeFillShade="F2"/>
      </w:tcPr>
    </w:tblStylePr>
  </w:style>
  <w:style w:type="numbering" w:customStyle="1" w:styleId="HeadingsNumbered0">
    <w:name w:val="_Headings Numbered"/>
    <w:uiPriority w:val="99"/>
    <w:rsid w:val="008014DD"/>
    <w:pPr>
      <w:numPr>
        <w:numId w:val="9"/>
      </w:numPr>
    </w:pPr>
  </w:style>
  <w:style w:type="paragraph" w:customStyle="1" w:styleId="blue">
    <w:name w:val="blue"/>
    <w:basedOn w:val="FooterDetails"/>
    <w:link w:val="blueChar"/>
    <w:uiPriority w:val="3"/>
    <w:semiHidden/>
    <w:rsid w:val="00436135"/>
    <w:rPr>
      <w:b w:val="0"/>
      <w:color w:val="931B2F" w:themeColor="background2"/>
    </w:rPr>
  </w:style>
  <w:style w:type="paragraph" w:customStyle="1" w:styleId="Heading1Normal">
    <w:name w:val="Heading 1 Normal"/>
    <w:basedOn w:val="Heading1"/>
    <w:uiPriority w:val="2"/>
    <w:qFormat/>
    <w:rsid w:val="008014DD"/>
    <w:pPr>
      <w:ind w:left="0" w:firstLine="0"/>
    </w:pPr>
  </w:style>
  <w:style w:type="character" w:customStyle="1" w:styleId="FooterDetailsChar">
    <w:name w:val="Footer Details Char"/>
    <w:basedOn w:val="FooterChar"/>
    <w:link w:val="FooterDetails"/>
    <w:uiPriority w:val="29"/>
    <w:semiHidden/>
    <w:rsid w:val="00094390"/>
    <w:rPr>
      <w:rFonts w:asciiTheme="majorHAnsi" w:hAnsiTheme="majorHAnsi"/>
      <w:b/>
      <w:color w:val="000000" w:themeColor="text1"/>
      <w:sz w:val="15"/>
    </w:rPr>
  </w:style>
  <w:style w:type="character" w:customStyle="1" w:styleId="blueChar">
    <w:name w:val="blue Char"/>
    <w:basedOn w:val="FooterDetailsChar"/>
    <w:link w:val="blue"/>
    <w:uiPriority w:val="3"/>
    <w:semiHidden/>
    <w:rsid w:val="00E24151"/>
    <w:rPr>
      <w:rFonts w:asciiTheme="majorHAnsi" w:hAnsiTheme="majorHAnsi"/>
      <w:b w:val="0"/>
      <w:color w:val="931B2F" w:themeColor="background2"/>
      <w:sz w:val="15"/>
    </w:rPr>
  </w:style>
  <w:style w:type="paragraph" w:customStyle="1" w:styleId="Heading2Normal">
    <w:name w:val="Heading 2 Normal"/>
    <w:basedOn w:val="Heading2"/>
    <w:uiPriority w:val="2"/>
    <w:qFormat/>
    <w:rsid w:val="008014DD"/>
    <w:pPr>
      <w:ind w:left="0" w:firstLine="0"/>
    </w:pPr>
  </w:style>
  <w:style w:type="paragraph" w:customStyle="1" w:styleId="Heading3Normal">
    <w:name w:val="Heading 3 Normal"/>
    <w:basedOn w:val="Heading3"/>
    <w:uiPriority w:val="2"/>
    <w:qFormat/>
    <w:rsid w:val="00B27A34"/>
    <w:pPr>
      <w:numPr>
        <w:ilvl w:val="0"/>
        <w:numId w:val="0"/>
      </w:numPr>
      <w:spacing w:before="240"/>
    </w:pPr>
    <w:rPr>
      <w:color w:val="931B2F" w:themeColor="background2"/>
    </w:rPr>
  </w:style>
  <w:style w:type="paragraph" w:styleId="TOC3">
    <w:name w:val="toc 3"/>
    <w:basedOn w:val="Normal"/>
    <w:next w:val="Normal"/>
    <w:autoRedefine/>
    <w:uiPriority w:val="39"/>
    <w:locked/>
    <w:rsid w:val="006409A3"/>
    <w:pPr>
      <w:tabs>
        <w:tab w:val="right" w:pos="9638"/>
      </w:tabs>
      <w:spacing w:after="100"/>
    </w:pPr>
    <w:rPr>
      <w:i/>
      <w:sz w:val="16"/>
    </w:rPr>
  </w:style>
  <w:style w:type="paragraph" w:customStyle="1" w:styleId="SourceNotes">
    <w:name w:val="Source Notes"/>
    <w:basedOn w:val="Normal"/>
    <w:uiPriority w:val="8"/>
    <w:qFormat/>
    <w:rsid w:val="0027179E"/>
    <w:rPr>
      <w:sz w:val="16"/>
    </w:rPr>
  </w:style>
  <w:style w:type="table" w:styleId="GridTable1Light">
    <w:name w:val="Grid Table 1 Light"/>
    <w:basedOn w:val="TableNormal"/>
    <w:uiPriority w:val="46"/>
    <w:semiHidden/>
    <w:rsid w:val="00776AC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6AC3"/>
    <w:pPr>
      <w:spacing w:after="0"/>
    </w:pPr>
    <w:tblPr>
      <w:tblStyleRowBandSize w:val="1"/>
      <w:tblStyleColBandSize w:val="1"/>
      <w:tblBorders>
        <w:top w:val="single" w:sz="4" w:space="0" w:color="EA8D9C" w:themeColor="accent1" w:themeTint="66"/>
        <w:left w:val="single" w:sz="4" w:space="0" w:color="EA8D9C" w:themeColor="accent1" w:themeTint="66"/>
        <w:bottom w:val="single" w:sz="4" w:space="0" w:color="EA8D9C" w:themeColor="accent1" w:themeTint="66"/>
        <w:right w:val="single" w:sz="4" w:space="0" w:color="EA8D9C" w:themeColor="accent1" w:themeTint="66"/>
        <w:insideH w:val="single" w:sz="4" w:space="0" w:color="EA8D9C" w:themeColor="accent1" w:themeTint="66"/>
        <w:insideV w:val="single" w:sz="4" w:space="0" w:color="EA8D9C" w:themeColor="accent1" w:themeTint="66"/>
      </w:tblBorders>
    </w:tblPr>
    <w:tblStylePr w:type="firstRow">
      <w:rPr>
        <w:b/>
        <w:bCs/>
      </w:rPr>
      <w:tblPr/>
      <w:tcPr>
        <w:tcBorders>
          <w:bottom w:val="single" w:sz="12" w:space="0" w:color="DF546B" w:themeColor="accent1" w:themeTint="99"/>
        </w:tcBorders>
      </w:tcPr>
    </w:tblStylePr>
    <w:tblStylePr w:type="lastRow">
      <w:rPr>
        <w:b/>
        <w:bCs/>
      </w:rPr>
      <w:tblPr/>
      <w:tcPr>
        <w:tcBorders>
          <w:top w:val="double" w:sz="2" w:space="0" w:color="DF546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6AC3"/>
    <w:pPr>
      <w:spacing w:after="0"/>
    </w:pPr>
    <w:tblPr>
      <w:tblStyleRowBandSize w:val="1"/>
      <w:tblStyleColBandSize w:val="1"/>
      <w:tblBorders>
        <w:top w:val="single" w:sz="4" w:space="0" w:color="F5F5F5" w:themeColor="accent3" w:themeTint="66"/>
        <w:left w:val="single" w:sz="4" w:space="0" w:color="F5F5F5" w:themeColor="accent3" w:themeTint="66"/>
        <w:bottom w:val="single" w:sz="4" w:space="0" w:color="F5F5F5" w:themeColor="accent3" w:themeTint="66"/>
        <w:right w:val="single" w:sz="4" w:space="0" w:color="F5F5F5" w:themeColor="accent3" w:themeTint="66"/>
        <w:insideH w:val="single" w:sz="4" w:space="0" w:color="F5F5F5" w:themeColor="accent3" w:themeTint="66"/>
        <w:insideV w:val="single" w:sz="4" w:space="0" w:color="F5F5F5" w:themeColor="accent3" w:themeTint="66"/>
      </w:tblBorders>
    </w:tblPr>
    <w:tblStylePr w:type="firstRow">
      <w:rPr>
        <w:b/>
        <w:bCs/>
      </w:rPr>
      <w:tblPr/>
      <w:tcPr>
        <w:tcBorders>
          <w:bottom w:val="single" w:sz="12" w:space="0" w:color="F1F0F0" w:themeColor="accent3" w:themeTint="99"/>
        </w:tcBorders>
      </w:tcPr>
    </w:tblStylePr>
    <w:tblStylePr w:type="lastRow">
      <w:rPr>
        <w:b/>
        <w:bCs/>
      </w:rPr>
      <w:tblPr/>
      <w:tcPr>
        <w:tcBorders>
          <w:top w:val="double" w:sz="2" w:space="0" w:color="F1F0F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6AC3"/>
    <w:pPr>
      <w:spacing w:after="0"/>
    </w:pPr>
    <w:tblPr>
      <w:tblStyleRowBandSize w:val="1"/>
      <w:tblStyleColBandSize w:val="1"/>
      <w:tblBorders>
        <w:top w:val="single" w:sz="4" w:space="0" w:color="D1CECE" w:themeColor="accent4" w:themeTint="66"/>
        <w:left w:val="single" w:sz="4" w:space="0" w:color="D1CECE" w:themeColor="accent4" w:themeTint="66"/>
        <w:bottom w:val="single" w:sz="4" w:space="0" w:color="D1CECE" w:themeColor="accent4" w:themeTint="66"/>
        <w:right w:val="single" w:sz="4" w:space="0" w:color="D1CECE" w:themeColor="accent4" w:themeTint="66"/>
        <w:insideH w:val="single" w:sz="4" w:space="0" w:color="D1CECE" w:themeColor="accent4" w:themeTint="66"/>
        <w:insideV w:val="single" w:sz="4" w:space="0" w:color="D1CECE" w:themeColor="accent4" w:themeTint="66"/>
      </w:tblBorders>
    </w:tblPr>
    <w:tblStylePr w:type="firstRow">
      <w:rPr>
        <w:b/>
        <w:bCs/>
      </w:rPr>
      <w:tblPr/>
      <w:tcPr>
        <w:tcBorders>
          <w:bottom w:val="single" w:sz="12" w:space="0" w:color="BAB6B6" w:themeColor="accent4" w:themeTint="99"/>
        </w:tcBorders>
      </w:tcPr>
    </w:tblStylePr>
    <w:tblStylePr w:type="lastRow">
      <w:rPr>
        <w:b/>
        <w:bCs/>
      </w:rPr>
      <w:tblPr/>
      <w:tcPr>
        <w:tcBorders>
          <w:top w:val="double" w:sz="2" w:space="0" w:color="BAB6B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6AC3"/>
    <w:pPr>
      <w:spacing w:after="0"/>
    </w:pPr>
    <w:tblPr>
      <w:tblStyleRowBandSize w:val="1"/>
      <w:tblStyleColBandSize w:val="1"/>
      <w:tblBorders>
        <w:top w:val="single" w:sz="4" w:space="0" w:color="ACA8A8" w:themeColor="accent5" w:themeTint="66"/>
        <w:left w:val="single" w:sz="4" w:space="0" w:color="ACA8A8" w:themeColor="accent5" w:themeTint="66"/>
        <w:bottom w:val="single" w:sz="4" w:space="0" w:color="ACA8A8" w:themeColor="accent5" w:themeTint="66"/>
        <w:right w:val="single" w:sz="4" w:space="0" w:color="ACA8A8" w:themeColor="accent5" w:themeTint="66"/>
        <w:insideH w:val="single" w:sz="4" w:space="0" w:color="ACA8A8" w:themeColor="accent5" w:themeTint="66"/>
        <w:insideV w:val="single" w:sz="4" w:space="0" w:color="ACA8A8" w:themeColor="accent5" w:themeTint="66"/>
      </w:tblBorders>
    </w:tblPr>
    <w:tblStylePr w:type="firstRow">
      <w:rPr>
        <w:b/>
        <w:bCs/>
      </w:rPr>
      <w:tblPr/>
      <w:tcPr>
        <w:tcBorders>
          <w:bottom w:val="single" w:sz="12" w:space="0" w:color="827C7C" w:themeColor="accent5" w:themeTint="99"/>
        </w:tcBorders>
      </w:tcPr>
    </w:tblStylePr>
    <w:tblStylePr w:type="lastRow">
      <w:rPr>
        <w:b/>
        <w:bCs/>
      </w:rPr>
      <w:tblPr/>
      <w:tcPr>
        <w:tcBorders>
          <w:top w:val="double" w:sz="2" w:space="0" w:color="827C7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6AC3"/>
    <w:pPr>
      <w:spacing w:after="0"/>
    </w:pPr>
    <w:tblPr>
      <w:tblStyleRowBandSize w:val="1"/>
      <w:tblStyleColBandSize w:val="1"/>
      <w:tblBorders>
        <w:top w:val="single" w:sz="4" w:space="0" w:color="E47083" w:themeColor="accent6" w:themeTint="66"/>
        <w:left w:val="single" w:sz="4" w:space="0" w:color="E47083" w:themeColor="accent6" w:themeTint="66"/>
        <w:bottom w:val="single" w:sz="4" w:space="0" w:color="E47083" w:themeColor="accent6" w:themeTint="66"/>
        <w:right w:val="single" w:sz="4" w:space="0" w:color="E47083" w:themeColor="accent6" w:themeTint="66"/>
        <w:insideH w:val="single" w:sz="4" w:space="0" w:color="E47083" w:themeColor="accent6" w:themeTint="66"/>
        <w:insideV w:val="single" w:sz="4" w:space="0" w:color="E47083" w:themeColor="accent6" w:themeTint="66"/>
      </w:tblBorders>
    </w:tblPr>
    <w:tblStylePr w:type="firstRow">
      <w:rPr>
        <w:b/>
        <w:bCs/>
      </w:rPr>
      <w:tblPr/>
      <w:tcPr>
        <w:tcBorders>
          <w:bottom w:val="single" w:sz="12" w:space="0" w:color="D62946" w:themeColor="accent6" w:themeTint="99"/>
        </w:tcBorders>
      </w:tcPr>
    </w:tblStylePr>
    <w:tblStylePr w:type="lastRow">
      <w:rPr>
        <w:b/>
        <w:bCs/>
      </w:rPr>
      <w:tblPr/>
      <w:tcPr>
        <w:tcBorders>
          <w:top w:val="double" w:sz="2" w:space="0" w:color="D6294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6AC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6AC3"/>
    <w:pPr>
      <w:spacing w:after="0"/>
    </w:pPr>
    <w:tblPr>
      <w:tblStyleRowBandSize w:val="1"/>
      <w:tblStyleColBandSize w:val="1"/>
      <w:tblBorders>
        <w:top w:val="single" w:sz="2" w:space="0" w:color="DF546B" w:themeColor="accent1" w:themeTint="99"/>
        <w:bottom w:val="single" w:sz="2" w:space="0" w:color="DF546B" w:themeColor="accent1" w:themeTint="99"/>
        <w:insideH w:val="single" w:sz="2" w:space="0" w:color="DF546B" w:themeColor="accent1" w:themeTint="99"/>
        <w:insideV w:val="single" w:sz="2" w:space="0" w:color="DF546B" w:themeColor="accent1" w:themeTint="99"/>
      </w:tblBorders>
    </w:tblPr>
    <w:tblStylePr w:type="firstRow">
      <w:rPr>
        <w:b/>
        <w:bCs/>
      </w:rPr>
      <w:tblPr/>
      <w:tcPr>
        <w:tcBorders>
          <w:top w:val="nil"/>
          <w:bottom w:val="single" w:sz="12" w:space="0" w:color="DF546B" w:themeColor="accent1" w:themeTint="99"/>
          <w:insideH w:val="nil"/>
          <w:insideV w:val="nil"/>
        </w:tcBorders>
        <w:shd w:val="clear" w:color="auto" w:fill="FFFFFF" w:themeFill="background1"/>
      </w:tcPr>
    </w:tblStylePr>
    <w:tblStylePr w:type="lastRow">
      <w:rPr>
        <w:b/>
        <w:bCs/>
      </w:rPr>
      <w:tblPr/>
      <w:tcPr>
        <w:tcBorders>
          <w:top w:val="double" w:sz="2" w:space="0" w:color="DF5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GridTable2-Accent2">
    <w:name w:val="Grid Table 2 Accent 2"/>
    <w:basedOn w:val="TableNormal"/>
    <w:uiPriority w:val="47"/>
    <w:semiHidden/>
    <w:rsid w:val="00776AC3"/>
    <w:pPr>
      <w:spacing w:after="0"/>
    </w:pPr>
    <w:tblPr>
      <w:tblStyleRowBandSize w:val="1"/>
      <w:tblStyleColBandSize w:val="1"/>
      <w:tblBorders>
        <w:top w:val="single" w:sz="2" w:space="0" w:color="D19EA7" w:themeColor="accent2" w:themeTint="99"/>
        <w:bottom w:val="single" w:sz="2" w:space="0" w:color="D19EA7" w:themeColor="accent2" w:themeTint="99"/>
        <w:insideH w:val="single" w:sz="2" w:space="0" w:color="D19EA7" w:themeColor="accent2" w:themeTint="99"/>
        <w:insideV w:val="single" w:sz="2" w:space="0" w:color="D19EA7" w:themeColor="accent2" w:themeTint="99"/>
      </w:tblBorders>
    </w:tblPr>
    <w:tblStylePr w:type="firstRow">
      <w:rPr>
        <w:b/>
        <w:bCs/>
      </w:rPr>
      <w:tblPr/>
      <w:tcPr>
        <w:tcBorders>
          <w:top w:val="nil"/>
          <w:bottom w:val="single" w:sz="12" w:space="0" w:color="D19EA7" w:themeColor="accent2" w:themeTint="99"/>
          <w:insideH w:val="nil"/>
          <w:insideV w:val="nil"/>
        </w:tcBorders>
        <w:shd w:val="clear" w:color="auto" w:fill="FFFFFF" w:themeFill="background1"/>
      </w:tcPr>
    </w:tblStylePr>
    <w:tblStylePr w:type="lastRow">
      <w:rPr>
        <w:b/>
        <w:bCs/>
      </w:rPr>
      <w:tblPr/>
      <w:tcPr>
        <w:tcBorders>
          <w:top w:val="double" w:sz="2" w:space="0" w:color="D19EA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styleId="GridTable2-Accent3">
    <w:name w:val="Grid Table 2 Accent 3"/>
    <w:basedOn w:val="TableNormal"/>
    <w:uiPriority w:val="47"/>
    <w:semiHidden/>
    <w:rsid w:val="00776AC3"/>
    <w:pPr>
      <w:spacing w:after="0"/>
    </w:pPr>
    <w:tblPr>
      <w:tblStyleRowBandSize w:val="1"/>
      <w:tblStyleColBandSize w:val="1"/>
      <w:tblBorders>
        <w:top w:val="single" w:sz="2" w:space="0" w:color="F1F0F0" w:themeColor="accent3" w:themeTint="99"/>
        <w:bottom w:val="single" w:sz="2" w:space="0" w:color="F1F0F0" w:themeColor="accent3" w:themeTint="99"/>
        <w:insideH w:val="single" w:sz="2" w:space="0" w:color="F1F0F0" w:themeColor="accent3" w:themeTint="99"/>
        <w:insideV w:val="single" w:sz="2" w:space="0" w:color="F1F0F0" w:themeColor="accent3" w:themeTint="99"/>
      </w:tblBorders>
    </w:tblPr>
    <w:tblStylePr w:type="firstRow">
      <w:rPr>
        <w:b/>
        <w:bCs/>
      </w:rPr>
      <w:tblPr/>
      <w:tcPr>
        <w:tcBorders>
          <w:top w:val="nil"/>
          <w:bottom w:val="single" w:sz="12" w:space="0" w:color="F1F0F0" w:themeColor="accent3" w:themeTint="99"/>
          <w:insideH w:val="nil"/>
          <w:insideV w:val="nil"/>
        </w:tcBorders>
        <w:shd w:val="clear" w:color="auto" w:fill="FFFFFF" w:themeFill="background1"/>
      </w:tcPr>
    </w:tblStylePr>
    <w:tblStylePr w:type="lastRow">
      <w:rPr>
        <w:b/>
        <w:bCs/>
      </w:rPr>
      <w:tblPr/>
      <w:tcPr>
        <w:tcBorders>
          <w:top w:val="double" w:sz="2" w:space="0" w:color="F1F0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GridTable2-Accent4">
    <w:name w:val="Grid Table 2 Accent 4"/>
    <w:basedOn w:val="TableNormal"/>
    <w:uiPriority w:val="47"/>
    <w:semiHidden/>
    <w:rsid w:val="00776AC3"/>
    <w:pPr>
      <w:spacing w:after="0"/>
    </w:pPr>
    <w:tblPr>
      <w:tblStyleRowBandSize w:val="1"/>
      <w:tblStyleColBandSize w:val="1"/>
      <w:tblBorders>
        <w:top w:val="single" w:sz="2" w:space="0" w:color="BAB6B6" w:themeColor="accent4" w:themeTint="99"/>
        <w:bottom w:val="single" w:sz="2" w:space="0" w:color="BAB6B6" w:themeColor="accent4" w:themeTint="99"/>
        <w:insideH w:val="single" w:sz="2" w:space="0" w:color="BAB6B6" w:themeColor="accent4" w:themeTint="99"/>
        <w:insideV w:val="single" w:sz="2" w:space="0" w:color="BAB6B6" w:themeColor="accent4" w:themeTint="99"/>
      </w:tblBorders>
    </w:tblPr>
    <w:tblStylePr w:type="firstRow">
      <w:rPr>
        <w:b/>
        <w:bCs/>
      </w:rPr>
      <w:tblPr/>
      <w:tcPr>
        <w:tcBorders>
          <w:top w:val="nil"/>
          <w:bottom w:val="single" w:sz="12" w:space="0" w:color="BAB6B6" w:themeColor="accent4" w:themeTint="99"/>
          <w:insideH w:val="nil"/>
          <w:insideV w:val="nil"/>
        </w:tcBorders>
        <w:shd w:val="clear" w:color="auto" w:fill="FFFFFF" w:themeFill="background1"/>
      </w:tcPr>
    </w:tblStylePr>
    <w:tblStylePr w:type="lastRow">
      <w:rPr>
        <w:b/>
        <w:bCs/>
      </w:rPr>
      <w:tblPr/>
      <w:tcPr>
        <w:tcBorders>
          <w:top w:val="double" w:sz="2" w:space="0" w:color="BAB6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styleId="GridTable2-Accent5">
    <w:name w:val="Grid Table 2 Accent 5"/>
    <w:basedOn w:val="TableNormal"/>
    <w:uiPriority w:val="47"/>
    <w:semiHidden/>
    <w:rsid w:val="00776AC3"/>
    <w:pPr>
      <w:spacing w:after="0"/>
    </w:pPr>
    <w:tblPr>
      <w:tblStyleRowBandSize w:val="1"/>
      <w:tblStyleColBandSize w:val="1"/>
      <w:tblBorders>
        <w:top w:val="single" w:sz="2" w:space="0" w:color="827C7C" w:themeColor="accent5" w:themeTint="99"/>
        <w:bottom w:val="single" w:sz="2" w:space="0" w:color="827C7C" w:themeColor="accent5" w:themeTint="99"/>
        <w:insideH w:val="single" w:sz="2" w:space="0" w:color="827C7C" w:themeColor="accent5" w:themeTint="99"/>
        <w:insideV w:val="single" w:sz="2" w:space="0" w:color="827C7C" w:themeColor="accent5" w:themeTint="99"/>
      </w:tblBorders>
    </w:tblPr>
    <w:tblStylePr w:type="firstRow">
      <w:rPr>
        <w:b/>
        <w:bCs/>
      </w:rPr>
      <w:tblPr/>
      <w:tcPr>
        <w:tcBorders>
          <w:top w:val="nil"/>
          <w:bottom w:val="single" w:sz="12" w:space="0" w:color="827C7C" w:themeColor="accent5" w:themeTint="99"/>
          <w:insideH w:val="nil"/>
          <w:insideV w:val="nil"/>
        </w:tcBorders>
        <w:shd w:val="clear" w:color="auto" w:fill="FFFFFF" w:themeFill="background1"/>
      </w:tcPr>
    </w:tblStylePr>
    <w:tblStylePr w:type="lastRow">
      <w:rPr>
        <w:b/>
        <w:bCs/>
      </w:rPr>
      <w:tblPr/>
      <w:tcPr>
        <w:tcBorders>
          <w:top w:val="double" w:sz="2" w:space="0" w:color="82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styleId="GridTable2-Accent6">
    <w:name w:val="Grid Table 2 Accent 6"/>
    <w:basedOn w:val="TableNormal"/>
    <w:uiPriority w:val="47"/>
    <w:semiHidden/>
    <w:rsid w:val="00776AC3"/>
    <w:pPr>
      <w:spacing w:after="0"/>
    </w:pPr>
    <w:tblPr>
      <w:tblStyleRowBandSize w:val="1"/>
      <w:tblStyleColBandSize w:val="1"/>
      <w:tblBorders>
        <w:top w:val="single" w:sz="2" w:space="0" w:color="D62946" w:themeColor="accent6" w:themeTint="99"/>
        <w:bottom w:val="single" w:sz="2" w:space="0" w:color="D62946" w:themeColor="accent6" w:themeTint="99"/>
        <w:insideH w:val="single" w:sz="2" w:space="0" w:color="D62946" w:themeColor="accent6" w:themeTint="99"/>
        <w:insideV w:val="single" w:sz="2" w:space="0" w:color="D62946" w:themeColor="accent6" w:themeTint="99"/>
      </w:tblBorders>
    </w:tblPr>
    <w:tblStylePr w:type="firstRow">
      <w:rPr>
        <w:b/>
        <w:bCs/>
      </w:rPr>
      <w:tblPr/>
      <w:tcPr>
        <w:tcBorders>
          <w:top w:val="nil"/>
          <w:bottom w:val="single" w:sz="12" w:space="0" w:color="D62946" w:themeColor="accent6" w:themeTint="99"/>
          <w:insideH w:val="nil"/>
          <w:insideV w:val="nil"/>
        </w:tcBorders>
        <w:shd w:val="clear" w:color="auto" w:fill="FFFFFF" w:themeFill="background1"/>
      </w:tcPr>
    </w:tblStylePr>
    <w:tblStylePr w:type="lastRow">
      <w:rPr>
        <w:b/>
        <w:bCs/>
      </w:rPr>
      <w:tblPr/>
      <w:tcPr>
        <w:tcBorders>
          <w:top w:val="double" w:sz="2" w:space="0" w:color="D6294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styleId="GridTable3">
    <w:name w:val="Grid Table 3"/>
    <w:basedOn w:val="TableNormal"/>
    <w:uiPriority w:val="48"/>
    <w:semiHidden/>
    <w:rsid w:val="00776AC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6AC3"/>
    <w:pPr>
      <w:spacing w:after="0"/>
    </w:p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6CD" w:themeFill="accent1" w:themeFillTint="33"/>
      </w:tcPr>
    </w:tblStylePr>
    <w:tblStylePr w:type="band1Horz">
      <w:tblPr/>
      <w:tcPr>
        <w:shd w:val="clear" w:color="auto" w:fill="F4C6CD" w:themeFill="accent1" w:themeFillTint="33"/>
      </w:tcPr>
    </w:tblStylePr>
    <w:tblStylePr w:type="neCell">
      <w:tblPr/>
      <w:tcPr>
        <w:tcBorders>
          <w:bottom w:val="single" w:sz="4" w:space="0" w:color="DF546B" w:themeColor="accent1" w:themeTint="99"/>
        </w:tcBorders>
      </w:tcPr>
    </w:tblStylePr>
    <w:tblStylePr w:type="nwCell">
      <w:tblPr/>
      <w:tcPr>
        <w:tcBorders>
          <w:bottom w:val="single" w:sz="4" w:space="0" w:color="DF546B" w:themeColor="accent1" w:themeTint="99"/>
        </w:tcBorders>
      </w:tcPr>
    </w:tblStylePr>
    <w:tblStylePr w:type="seCell">
      <w:tblPr/>
      <w:tcPr>
        <w:tcBorders>
          <w:top w:val="single" w:sz="4" w:space="0" w:color="DF546B" w:themeColor="accent1" w:themeTint="99"/>
        </w:tcBorders>
      </w:tcPr>
    </w:tblStylePr>
    <w:tblStylePr w:type="swCell">
      <w:tblPr/>
      <w:tcPr>
        <w:tcBorders>
          <w:top w:val="single" w:sz="4" w:space="0" w:color="DF546B" w:themeColor="accent1" w:themeTint="99"/>
        </w:tcBorders>
      </w:tcPr>
    </w:tblStylePr>
  </w:style>
  <w:style w:type="table" w:styleId="GridTable3-Accent2">
    <w:name w:val="Grid Table 3 Accent 2"/>
    <w:basedOn w:val="TableNormal"/>
    <w:uiPriority w:val="48"/>
    <w:semiHidden/>
    <w:rsid w:val="00776AC3"/>
    <w:pPr>
      <w:spacing w:after="0"/>
    </w:p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EE1" w:themeFill="accent2" w:themeFillTint="33"/>
      </w:tcPr>
    </w:tblStylePr>
    <w:tblStylePr w:type="band1Horz">
      <w:tblPr/>
      <w:tcPr>
        <w:shd w:val="clear" w:color="auto" w:fill="EFDEE1" w:themeFill="accent2" w:themeFillTint="33"/>
      </w:tcPr>
    </w:tblStylePr>
    <w:tblStylePr w:type="neCell">
      <w:tblPr/>
      <w:tcPr>
        <w:tcBorders>
          <w:bottom w:val="single" w:sz="4" w:space="0" w:color="D19EA7" w:themeColor="accent2" w:themeTint="99"/>
        </w:tcBorders>
      </w:tcPr>
    </w:tblStylePr>
    <w:tblStylePr w:type="nwCell">
      <w:tblPr/>
      <w:tcPr>
        <w:tcBorders>
          <w:bottom w:val="single" w:sz="4" w:space="0" w:color="D19EA7" w:themeColor="accent2" w:themeTint="99"/>
        </w:tcBorders>
      </w:tcPr>
    </w:tblStylePr>
    <w:tblStylePr w:type="seCell">
      <w:tblPr/>
      <w:tcPr>
        <w:tcBorders>
          <w:top w:val="single" w:sz="4" w:space="0" w:color="D19EA7" w:themeColor="accent2" w:themeTint="99"/>
        </w:tcBorders>
      </w:tcPr>
    </w:tblStylePr>
    <w:tblStylePr w:type="swCell">
      <w:tblPr/>
      <w:tcPr>
        <w:tcBorders>
          <w:top w:val="single" w:sz="4" w:space="0" w:color="D19EA7" w:themeColor="accent2" w:themeTint="99"/>
        </w:tcBorders>
      </w:tcPr>
    </w:tblStylePr>
  </w:style>
  <w:style w:type="table" w:styleId="GridTable3-Accent3">
    <w:name w:val="Grid Table 3 Accent 3"/>
    <w:basedOn w:val="TableNormal"/>
    <w:uiPriority w:val="48"/>
    <w:semiHidden/>
    <w:rsid w:val="00776AC3"/>
    <w:pPr>
      <w:spacing w:after="0"/>
    </w:p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bottom w:val="single" w:sz="4" w:space="0" w:color="F1F0F0" w:themeColor="accent3" w:themeTint="99"/>
        </w:tcBorders>
      </w:tcPr>
    </w:tblStylePr>
    <w:tblStylePr w:type="nwCell">
      <w:tblPr/>
      <w:tcPr>
        <w:tcBorders>
          <w:bottom w:val="single" w:sz="4" w:space="0" w:color="F1F0F0" w:themeColor="accent3" w:themeTint="99"/>
        </w:tcBorders>
      </w:tcPr>
    </w:tblStylePr>
    <w:tblStylePr w:type="seCell">
      <w:tblPr/>
      <w:tcPr>
        <w:tcBorders>
          <w:top w:val="single" w:sz="4" w:space="0" w:color="F1F0F0" w:themeColor="accent3" w:themeTint="99"/>
        </w:tcBorders>
      </w:tcPr>
    </w:tblStylePr>
    <w:tblStylePr w:type="swCell">
      <w:tblPr/>
      <w:tcPr>
        <w:tcBorders>
          <w:top w:val="single" w:sz="4" w:space="0" w:color="F1F0F0" w:themeColor="accent3" w:themeTint="99"/>
        </w:tcBorders>
      </w:tcPr>
    </w:tblStylePr>
  </w:style>
  <w:style w:type="table" w:styleId="GridTable3-Accent4">
    <w:name w:val="Grid Table 3 Accent 4"/>
    <w:basedOn w:val="TableNormal"/>
    <w:uiPriority w:val="48"/>
    <w:semiHidden/>
    <w:rsid w:val="00776AC3"/>
    <w:pPr>
      <w:spacing w:after="0"/>
    </w:p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6E6" w:themeFill="accent4" w:themeFillTint="33"/>
      </w:tcPr>
    </w:tblStylePr>
    <w:tblStylePr w:type="band1Horz">
      <w:tblPr/>
      <w:tcPr>
        <w:shd w:val="clear" w:color="auto" w:fill="E8E6E6" w:themeFill="accent4" w:themeFillTint="33"/>
      </w:tcPr>
    </w:tblStylePr>
    <w:tblStylePr w:type="neCell">
      <w:tblPr/>
      <w:tcPr>
        <w:tcBorders>
          <w:bottom w:val="single" w:sz="4" w:space="0" w:color="BAB6B6" w:themeColor="accent4" w:themeTint="99"/>
        </w:tcBorders>
      </w:tcPr>
    </w:tblStylePr>
    <w:tblStylePr w:type="nwCell">
      <w:tblPr/>
      <w:tcPr>
        <w:tcBorders>
          <w:bottom w:val="single" w:sz="4" w:space="0" w:color="BAB6B6" w:themeColor="accent4" w:themeTint="99"/>
        </w:tcBorders>
      </w:tcPr>
    </w:tblStylePr>
    <w:tblStylePr w:type="seCell">
      <w:tblPr/>
      <w:tcPr>
        <w:tcBorders>
          <w:top w:val="single" w:sz="4" w:space="0" w:color="BAB6B6" w:themeColor="accent4" w:themeTint="99"/>
        </w:tcBorders>
      </w:tcPr>
    </w:tblStylePr>
    <w:tblStylePr w:type="swCell">
      <w:tblPr/>
      <w:tcPr>
        <w:tcBorders>
          <w:top w:val="single" w:sz="4" w:space="0" w:color="BAB6B6" w:themeColor="accent4" w:themeTint="99"/>
        </w:tcBorders>
      </w:tcPr>
    </w:tblStylePr>
  </w:style>
  <w:style w:type="table" w:styleId="GridTable3-Accent5">
    <w:name w:val="Grid Table 3 Accent 5"/>
    <w:basedOn w:val="TableNormal"/>
    <w:uiPriority w:val="48"/>
    <w:semiHidden/>
    <w:rsid w:val="00776AC3"/>
    <w:pPr>
      <w:spacing w:after="0"/>
    </w:p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3D3" w:themeFill="accent5" w:themeFillTint="33"/>
      </w:tcPr>
    </w:tblStylePr>
    <w:tblStylePr w:type="band1Horz">
      <w:tblPr/>
      <w:tcPr>
        <w:shd w:val="clear" w:color="auto" w:fill="D5D3D3" w:themeFill="accent5" w:themeFillTint="33"/>
      </w:tcPr>
    </w:tblStylePr>
    <w:tblStylePr w:type="neCell">
      <w:tblPr/>
      <w:tcPr>
        <w:tcBorders>
          <w:bottom w:val="single" w:sz="4" w:space="0" w:color="827C7C" w:themeColor="accent5" w:themeTint="99"/>
        </w:tcBorders>
      </w:tcPr>
    </w:tblStylePr>
    <w:tblStylePr w:type="nwCell">
      <w:tblPr/>
      <w:tcPr>
        <w:tcBorders>
          <w:bottom w:val="single" w:sz="4" w:space="0" w:color="827C7C" w:themeColor="accent5" w:themeTint="99"/>
        </w:tcBorders>
      </w:tcPr>
    </w:tblStylePr>
    <w:tblStylePr w:type="seCell">
      <w:tblPr/>
      <w:tcPr>
        <w:tcBorders>
          <w:top w:val="single" w:sz="4" w:space="0" w:color="827C7C" w:themeColor="accent5" w:themeTint="99"/>
        </w:tcBorders>
      </w:tcPr>
    </w:tblStylePr>
    <w:tblStylePr w:type="swCell">
      <w:tblPr/>
      <w:tcPr>
        <w:tcBorders>
          <w:top w:val="single" w:sz="4" w:space="0" w:color="827C7C" w:themeColor="accent5" w:themeTint="99"/>
        </w:tcBorders>
      </w:tcPr>
    </w:tblStylePr>
  </w:style>
  <w:style w:type="table" w:styleId="GridTable3-Accent6">
    <w:name w:val="Grid Table 3 Accent 6"/>
    <w:basedOn w:val="TableNormal"/>
    <w:uiPriority w:val="48"/>
    <w:semiHidden/>
    <w:rsid w:val="00776AC3"/>
    <w:pPr>
      <w:spacing w:after="0"/>
    </w:p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B7C1" w:themeFill="accent6" w:themeFillTint="33"/>
      </w:tcPr>
    </w:tblStylePr>
    <w:tblStylePr w:type="band1Horz">
      <w:tblPr/>
      <w:tcPr>
        <w:shd w:val="clear" w:color="auto" w:fill="F1B7C1" w:themeFill="accent6" w:themeFillTint="33"/>
      </w:tcPr>
    </w:tblStylePr>
    <w:tblStylePr w:type="neCell">
      <w:tblPr/>
      <w:tcPr>
        <w:tcBorders>
          <w:bottom w:val="single" w:sz="4" w:space="0" w:color="D62946" w:themeColor="accent6" w:themeTint="99"/>
        </w:tcBorders>
      </w:tcPr>
    </w:tblStylePr>
    <w:tblStylePr w:type="nwCell">
      <w:tblPr/>
      <w:tcPr>
        <w:tcBorders>
          <w:bottom w:val="single" w:sz="4" w:space="0" w:color="D62946" w:themeColor="accent6" w:themeTint="99"/>
        </w:tcBorders>
      </w:tcPr>
    </w:tblStylePr>
    <w:tblStylePr w:type="seCell">
      <w:tblPr/>
      <w:tcPr>
        <w:tcBorders>
          <w:top w:val="single" w:sz="4" w:space="0" w:color="D62946" w:themeColor="accent6" w:themeTint="99"/>
        </w:tcBorders>
      </w:tcPr>
    </w:tblStylePr>
    <w:tblStylePr w:type="swCell">
      <w:tblPr/>
      <w:tcPr>
        <w:tcBorders>
          <w:top w:val="single" w:sz="4" w:space="0" w:color="D62946" w:themeColor="accent6" w:themeTint="99"/>
        </w:tcBorders>
      </w:tcPr>
    </w:tblStylePr>
  </w:style>
  <w:style w:type="table" w:styleId="GridTable4">
    <w:name w:val="Grid Table 4"/>
    <w:basedOn w:val="TableNormal"/>
    <w:uiPriority w:val="49"/>
    <w:semiHidden/>
    <w:rsid w:val="00776AC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6AC3"/>
    <w:pPr>
      <w:spacing w:after="0"/>
    </w:p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color w:val="FFFFFF" w:themeColor="background1"/>
      </w:rPr>
      <w:tblPr/>
      <w:tcPr>
        <w:tcBorders>
          <w:top w:val="single" w:sz="4" w:space="0" w:color="931B2F" w:themeColor="accent1"/>
          <w:left w:val="single" w:sz="4" w:space="0" w:color="931B2F" w:themeColor="accent1"/>
          <w:bottom w:val="single" w:sz="4" w:space="0" w:color="931B2F" w:themeColor="accent1"/>
          <w:right w:val="single" w:sz="4" w:space="0" w:color="931B2F" w:themeColor="accent1"/>
          <w:insideH w:val="nil"/>
          <w:insideV w:val="nil"/>
        </w:tcBorders>
        <w:shd w:val="clear" w:color="auto" w:fill="931B2F" w:themeFill="accent1"/>
      </w:tcPr>
    </w:tblStylePr>
    <w:tblStylePr w:type="lastRow">
      <w:rPr>
        <w:b/>
        <w:bCs/>
      </w:rPr>
      <w:tblPr/>
      <w:tcPr>
        <w:tcBorders>
          <w:top w:val="double" w:sz="4" w:space="0" w:color="931B2F" w:themeColor="accent1"/>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GridTable4-Accent2">
    <w:name w:val="Grid Table 4 Accent 2"/>
    <w:basedOn w:val="TableNormal"/>
    <w:uiPriority w:val="49"/>
    <w:semiHidden/>
    <w:rsid w:val="00776AC3"/>
    <w:pPr>
      <w:spacing w:after="0"/>
    </w:p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color w:val="FFFFFF" w:themeColor="background1"/>
      </w:rPr>
      <w:tblPr/>
      <w:tcPr>
        <w:tcBorders>
          <w:top w:val="single" w:sz="4" w:space="0" w:color="B35F6D" w:themeColor="accent2"/>
          <w:left w:val="single" w:sz="4" w:space="0" w:color="B35F6D" w:themeColor="accent2"/>
          <w:bottom w:val="single" w:sz="4" w:space="0" w:color="B35F6D" w:themeColor="accent2"/>
          <w:right w:val="single" w:sz="4" w:space="0" w:color="B35F6D" w:themeColor="accent2"/>
          <w:insideH w:val="nil"/>
          <w:insideV w:val="nil"/>
        </w:tcBorders>
        <w:shd w:val="clear" w:color="auto" w:fill="B35F6D" w:themeFill="accent2"/>
      </w:tcPr>
    </w:tblStylePr>
    <w:tblStylePr w:type="lastRow">
      <w:rPr>
        <w:b/>
        <w:bCs/>
      </w:rPr>
      <w:tblPr/>
      <w:tcPr>
        <w:tcBorders>
          <w:top w:val="double" w:sz="4" w:space="0" w:color="B35F6D" w:themeColor="accent2"/>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styleId="GridTable4-Accent3">
    <w:name w:val="Grid Table 4 Accent 3"/>
    <w:basedOn w:val="TableNormal"/>
    <w:uiPriority w:val="49"/>
    <w:semiHidden/>
    <w:rsid w:val="00776AC3"/>
    <w:pPr>
      <w:spacing w:after="0"/>
    </w:p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color w:val="FFFFFF" w:themeColor="background1"/>
      </w:rPr>
      <w:tblPr/>
      <w:tcPr>
        <w:tcBorders>
          <w:top w:val="single" w:sz="4" w:space="0" w:color="E8E7E7" w:themeColor="accent3"/>
          <w:left w:val="single" w:sz="4" w:space="0" w:color="E8E7E7" w:themeColor="accent3"/>
          <w:bottom w:val="single" w:sz="4" w:space="0" w:color="E8E7E7" w:themeColor="accent3"/>
          <w:right w:val="single" w:sz="4" w:space="0" w:color="E8E7E7" w:themeColor="accent3"/>
          <w:insideH w:val="nil"/>
          <w:insideV w:val="nil"/>
        </w:tcBorders>
        <w:shd w:val="clear" w:color="auto" w:fill="E8E7E7" w:themeFill="accent3"/>
      </w:tcPr>
    </w:tblStylePr>
    <w:tblStylePr w:type="lastRow">
      <w:rPr>
        <w:b/>
        <w:bCs/>
      </w:rPr>
      <w:tblPr/>
      <w:tcPr>
        <w:tcBorders>
          <w:top w:val="double" w:sz="4" w:space="0" w:color="E8E7E7"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GridTable4-Accent4">
    <w:name w:val="Grid Table 4 Accent 4"/>
    <w:basedOn w:val="TableNormal"/>
    <w:uiPriority w:val="49"/>
    <w:semiHidden/>
    <w:rsid w:val="00776AC3"/>
    <w:pPr>
      <w:spacing w:after="0"/>
    </w:p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color w:val="FFFFFF" w:themeColor="background1"/>
      </w:rPr>
      <w:tblPr/>
      <w:tcPr>
        <w:tcBorders>
          <w:top w:val="single" w:sz="4" w:space="0" w:color="8C8686" w:themeColor="accent4"/>
          <w:left w:val="single" w:sz="4" w:space="0" w:color="8C8686" w:themeColor="accent4"/>
          <w:bottom w:val="single" w:sz="4" w:space="0" w:color="8C8686" w:themeColor="accent4"/>
          <w:right w:val="single" w:sz="4" w:space="0" w:color="8C8686" w:themeColor="accent4"/>
          <w:insideH w:val="nil"/>
          <w:insideV w:val="nil"/>
        </w:tcBorders>
        <w:shd w:val="clear" w:color="auto" w:fill="8C8686" w:themeFill="accent4"/>
      </w:tcPr>
    </w:tblStylePr>
    <w:tblStylePr w:type="lastRow">
      <w:rPr>
        <w:b/>
        <w:bCs/>
      </w:rPr>
      <w:tblPr/>
      <w:tcPr>
        <w:tcBorders>
          <w:top w:val="double" w:sz="4" w:space="0" w:color="8C8686" w:themeColor="accent4"/>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styleId="GridTable4-Accent5">
    <w:name w:val="Grid Table 4 Accent 5"/>
    <w:basedOn w:val="TableNormal"/>
    <w:uiPriority w:val="49"/>
    <w:semiHidden/>
    <w:rsid w:val="00776AC3"/>
    <w:pPr>
      <w:spacing w:after="0"/>
    </w:p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color w:val="FFFFFF" w:themeColor="background1"/>
      </w:rPr>
      <w:tblPr/>
      <w:tcPr>
        <w:tcBorders>
          <w:top w:val="single" w:sz="4" w:space="0" w:color="2C2A2A" w:themeColor="accent5"/>
          <w:left w:val="single" w:sz="4" w:space="0" w:color="2C2A2A" w:themeColor="accent5"/>
          <w:bottom w:val="single" w:sz="4" w:space="0" w:color="2C2A2A" w:themeColor="accent5"/>
          <w:right w:val="single" w:sz="4" w:space="0" w:color="2C2A2A" w:themeColor="accent5"/>
          <w:insideH w:val="nil"/>
          <w:insideV w:val="nil"/>
        </w:tcBorders>
        <w:shd w:val="clear" w:color="auto" w:fill="2C2A2A" w:themeFill="accent5"/>
      </w:tcPr>
    </w:tblStylePr>
    <w:tblStylePr w:type="lastRow">
      <w:rPr>
        <w:b/>
        <w:bCs/>
      </w:rPr>
      <w:tblPr/>
      <w:tcPr>
        <w:tcBorders>
          <w:top w:val="double" w:sz="4" w:space="0" w:color="2C2A2A" w:themeColor="accent5"/>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styleId="GridTable4-Accent6">
    <w:name w:val="Grid Table 4 Accent 6"/>
    <w:basedOn w:val="TableNormal"/>
    <w:uiPriority w:val="49"/>
    <w:semiHidden/>
    <w:rsid w:val="00776AC3"/>
    <w:pPr>
      <w:spacing w:after="0"/>
    </w:p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color w:val="FFFFFF" w:themeColor="background1"/>
      </w:rPr>
      <w:tblPr/>
      <w:tcPr>
        <w:tcBorders>
          <w:top w:val="single" w:sz="4" w:space="0" w:color="4A0E18" w:themeColor="accent6"/>
          <w:left w:val="single" w:sz="4" w:space="0" w:color="4A0E18" w:themeColor="accent6"/>
          <w:bottom w:val="single" w:sz="4" w:space="0" w:color="4A0E18" w:themeColor="accent6"/>
          <w:right w:val="single" w:sz="4" w:space="0" w:color="4A0E18" w:themeColor="accent6"/>
          <w:insideH w:val="nil"/>
          <w:insideV w:val="nil"/>
        </w:tcBorders>
        <w:shd w:val="clear" w:color="auto" w:fill="4A0E18" w:themeFill="accent6"/>
      </w:tcPr>
    </w:tblStylePr>
    <w:tblStylePr w:type="lastRow">
      <w:rPr>
        <w:b/>
        <w:bCs/>
      </w:rPr>
      <w:tblPr/>
      <w:tcPr>
        <w:tcBorders>
          <w:top w:val="double" w:sz="4" w:space="0" w:color="4A0E18" w:themeColor="accent6"/>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styleId="GridTable5Dark">
    <w:name w:val="Grid Table 5 Dark"/>
    <w:basedOn w:val="TableNormal"/>
    <w:uiPriority w:val="50"/>
    <w:semiHidden/>
    <w:rsid w:val="00776A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6A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1B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1B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1B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1B2F" w:themeFill="accent1"/>
      </w:tcPr>
    </w:tblStylePr>
    <w:tblStylePr w:type="band1Vert">
      <w:tblPr/>
      <w:tcPr>
        <w:shd w:val="clear" w:color="auto" w:fill="EA8D9C" w:themeFill="accent1" w:themeFillTint="66"/>
      </w:tcPr>
    </w:tblStylePr>
    <w:tblStylePr w:type="band1Horz">
      <w:tblPr/>
      <w:tcPr>
        <w:shd w:val="clear" w:color="auto" w:fill="EA8D9C" w:themeFill="accent1" w:themeFillTint="66"/>
      </w:tcPr>
    </w:tblStylePr>
  </w:style>
  <w:style w:type="table" w:styleId="GridTable5Dark-Accent2">
    <w:name w:val="Grid Table 5 Dark Accent 2"/>
    <w:basedOn w:val="TableNormal"/>
    <w:uiPriority w:val="50"/>
    <w:semiHidden/>
    <w:rsid w:val="00776A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5F6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5F6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5F6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5F6D" w:themeFill="accent2"/>
      </w:tcPr>
    </w:tblStylePr>
    <w:tblStylePr w:type="band1Vert">
      <w:tblPr/>
      <w:tcPr>
        <w:shd w:val="clear" w:color="auto" w:fill="E0BEC4" w:themeFill="accent2" w:themeFillTint="66"/>
      </w:tcPr>
    </w:tblStylePr>
    <w:tblStylePr w:type="band1Horz">
      <w:tblPr/>
      <w:tcPr>
        <w:shd w:val="clear" w:color="auto" w:fill="E0BEC4" w:themeFill="accent2" w:themeFillTint="66"/>
      </w:tcPr>
    </w:tblStylePr>
  </w:style>
  <w:style w:type="table" w:styleId="GridTable5Dark-Accent3">
    <w:name w:val="Grid Table 5 Dark Accent 3"/>
    <w:basedOn w:val="TableNormal"/>
    <w:uiPriority w:val="50"/>
    <w:semiHidden/>
    <w:rsid w:val="00776A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E7E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E7E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E7E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E7E7" w:themeFill="accent3"/>
      </w:tcPr>
    </w:tblStylePr>
    <w:tblStylePr w:type="band1Vert">
      <w:tblPr/>
      <w:tcPr>
        <w:shd w:val="clear" w:color="auto" w:fill="F5F5F5" w:themeFill="accent3" w:themeFillTint="66"/>
      </w:tcPr>
    </w:tblStylePr>
    <w:tblStylePr w:type="band1Horz">
      <w:tblPr/>
      <w:tcPr>
        <w:shd w:val="clear" w:color="auto" w:fill="F5F5F5" w:themeFill="accent3" w:themeFillTint="66"/>
      </w:tcPr>
    </w:tblStylePr>
  </w:style>
  <w:style w:type="table" w:styleId="GridTable5Dark-Accent4">
    <w:name w:val="Grid Table 5 Dark Accent 4"/>
    <w:basedOn w:val="TableNormal"/>
    <w:uiPriority w:val="50"/>
    <w:semiHidden/>
    <w:rsid w:val="00776A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6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6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6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686" w:themeFill="accent4"/>
      </w:tcPr>
    </w:tblStylePr>
    <w:tblStylePr w:type="band1Vert">
      <w:tblPr/>
      <w:tcPr>
        <w:shd w:val="clear" w:color="auto" w:fill="D1CECE" w:themeFill="accent4" w:themeFillTint="66"/>
      </w:tcPr>
    </w:tblStylePr>
    <w:tblStylePr w:type="band1Horz">
      <w:tblPr/>
      <w:tcPr>
        <w:shd w:val="clear" w:color="auto" w:fill="D1CECE" w:themeFill="accent4" w:themeFillTint="66"/>
      </w:tcPr>
    </w:tblStylePr>
  </w:style>
  <w:style w:type="table" w:styleId="GridTable5Dark-Accent5">
    <w:name w:val="Grid Table 5 Dark Accent 5"/>
    <w:basedOn w:val="TableNormal"/>
    <w:uiPriority w:val="50"/>
    <w:semiHidden/>
    <w:rsid w:val="00776A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3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A2A" w:themeFill="accent5"/>
      </w:tcPr>
    </w:tblStylePr>
    <w:tblStylePr w:type="band1Vert">
      <w:tblPr/>
      <w:tcPr>
        <w:shd w:val="clear" w:color="auto" w:fill="ACA8A8" w:themeFill="accent5" w:themeFillTint="66"/>
      </w:tcPr>
    </w:tblStylePr>
    <w:tblStylePr w:type="band1Horz">
      <w:tblPr/>
      <w:tcPr>
        <w:shd w:val="clear" w:color="auto" w:fill="ACA8A8" w:themeFill="accent5" w:themeFillTint="66"/>
      </w:tcPr>
    </w:tblStylePr>
  </w:style>
  <w:style w:type="table" w:styleId="GridTable5Dark-Accent6">
    <w:name w:val="Grid Table 5 Dark Accent 6"/>
    <w:basedOn w:val="TableNormal"/>
    <w:uiPriority w:val="50"/>
    <w:semiHidden/>
    <w:rsid w:val="00776A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B7C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0E1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0E1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0E1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0E18" w:themeFill="accent6"/>
      </w:tcPr>
    </w:tblStylePr>
    <w:tblStylePr w:type="band1Vert">
      <w:tblPr/>
      <w:tcPr>
        <w:shd w:val="clear" w:color="auto" w:fill="E47083" w:themeFill="accent6" w:themeFillTint="66"/>
      </w:tcPr>
    </w:tblStylePr>
    <w:tblStylePr w:type="band1Horz">
      <w:tblPr/>
      <w:tcPr>
        <w:shd w:val="clear" w:color="auto" w:fill="E47083" w:themeFill="accent6" w:themeFillTint="66"/>
      </w:tcPr>
    </w:tblStylePr>
  </w:style>
  <w:style w:type="table" w:styleId="GridTable6Colorful">
    <w:name w:val="Grid Table 6 Colorful"/>
    <w:basedOn w:val="TableNormal"/>
    <w:uiPriority w:val="51"/>
    <w:semiHidden/>
    <w:rsid w:val="00776AC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6AC3"/>
    <w:pPr>
      <w:spacing w:after="0"/>
    </w:pPr>
    <w:rPr>
      <w:color w:val="6D1423" w:themeColor="accent1" w:themeShade="BF"/>
    </w:r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rPr>
      <w:tblPr/>
      <w:tcPr>
        <w:tcBorders>
          <w:bottom w:val="single" w:sz="12" w:space="0" w:color="DF546B" w:themeColor="accent1" w:themeTint="99"/>
        </w:tcBorders>
      </w:tcPr>
    </w:tblStylePr>
    <w:tblStylePr w:type="lastRow">
      <w:rPr>
        <w:b/>
        <w:bCs/>
      </w:rPr>
      <w:tblPr/>
      <w:tcPr>
        <w:tcBorders>
          <w:top w:val="double" w:sz="4" w:space="0" w:color="DF546B" w:themeColor="accent1" w:themeTint="99"/>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GridTable6Colorful-Accent2">
    <w:name w:val="Grid Table 6 Colorful Accent 2"/>
    <w:basedOn w:val="TableNormal"/>
    <w:uiPriority w:val="51"/>
    <w:semiHidden/>
    <w:rsid w:val="00776AC3"/>
    <w:pPr>
      <w:spacing w:after="0"/>
    </w:pPr>
    <w:rPr>
      <w:color w:val="8A424E" w:themeColor="accent2" w:themeShade="BF"/>
    </w:r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rPr>
      <w:tblPr/>
      <w:tcPr>
        <w:tcBorders>
          <w:bottom w:val="single" w:sz="12" w:space="0" w:color="D19EA7" w:themeColor="accent2" w:themeTint="99"/>
        </w:tcBorders>
      </w:tcPr>
    </w:tblStylePr>
    <w:tblStylePr w:type="lastRow">
      <w:rPr>
        <w:b/>
        <w:bCs/>
      </w:rPr>
      <w:tblPr/>
      <w:tcPr>
        <w:tcBorders>
          <w:top w:val="double" w:sz="4" w:space="0" w:color="D19EA7" w:themeColor="accent2" w:themeTint="99"/>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styleId="GridTable6Colorful-Accent3">
    <w:name w:val="Grid Table 6 Colorful Accent 3"/>
    <w:basedOn w:val="TableNormal"/>
    <w:uiPriority w:val="51"/>
    <w:semiHidden/>
    <w:rsid w:val="00776AC3"/>
    <w:pPr>
      <w:spacing w:after="0"/>
    </w:pPr>
    <w:rPr>
      <w:color w:val="AFABAB" w:themeColor="accent3" w:themeShade="BF"/>
    </w:r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rPr>
      <w:tblPr/>
      <w:tcPr>
        <w:tcBorders>
          <w:bottom w:val="single" w:sz="12" w:space="0" w:color="F1F0F0" w:themeColor="accent3" w:themeTint="99"/>
        </w:tcBorders>
      </w:tcPr>
    </w:tblStylePr>
    <w:tblStylePr w:type="lastRow">
      <w:rPr>
        <w:b/>
        <w:bCs/>
      </w:rPr>
      <w:tblPr/>
      <w:tcPr>
        <w:tcBorders>
          <w:top w:val="double" w:sz="4" w:space="0" w:color="F1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GridTable6Colorful-Accent4">
    <w:name w:val="Grid Table 6 Colorful Accent 4"/>
    <w:basedOn w:val="TableNormal"/>
    <w:uiPriority w:val="51"/>
    <w:semiHidden/>
    <w:rsid w:val="00776AC3"/>
    <w:pPr>
      <w:spacing w:after="0"/>
    </w:pPr>
    <w:rPr>
      <w:color w:val="696464" w:themeColor="accent4" w:themeShade="BF"/>
    </w:r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rPr>
      <w:tblPr/>
      <w:tcPr>
        <w:tcBorders>
          <w:bottom w:val="single" w:sz="12" w:space="0" w:color="BAB6B6" w:themeColor="accent4" w:themeTint="99"/>
        </w:tcBorders>
      </w:tcPr>
    </w:tblStylePr>
    <w:tblStylePr w:type="lastRow">
      <w:rPr>
        <w:b/>
        <w:bCs/>
      </w:rPr>
      <w:tblPr/>
      <w:tcPr>
        <w:tcBorders>
          <w:top w:val="double" w:sz="4" w:space="0" w:color="BAB6B6" w:themeColor="accent4" w:themeTint="99"/>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styleId="GridTable6Colorful-Accent5">
    <w:name w:val="Grid Table 6 Colorful Accent 5"/>
    <w:basedOn w:val="TableNormal"/>
    <w:uiPriority w:val="51"/>
    <w:semiHidden/>
    <w:rsid w:val="00776AC3"/>
    <w:pPr>
      <w:spacing w:after="0"/>
    </w:pPr>
    <w:rPr>
      <w:color w:val="201F1F" w:themeColor="accent5" w:themeShade="BF"/>
    </w:r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rPr>
      <w:tblPr/>
      <w:tcPr>
        <w:tcBorders>
          <w:bottom w:val="single" w:sz="12" w:space="0" w:color="827C7C" w:themeColor="accent5" w:themeTint="99"/>
        </w:tcBorders>
      </w:tcPr>
    </w:tblStylePr>
    <w:tblStylePr w:type="lastRow">
      <w:rPr>
        <w:b/>
        <w:bCs/>
      </w:rPr>
      <w:tblPr/>
      <w:tcPr>
        <w:tcBorders>
          <w:top w:val="double" w:sz="4" w:space="0" w:color="827C7C" w:themeColor="accent5" w:themeTint="99"/>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styleId="GridTable6Colorful-Accent6">
    <w:name w:val="Grid Table 6 Colorful Accent 6"/>
    <w:basedOn w:val="TableNormal"/>
    <w:uiPriority w:val="51"/>
    <w:semiHidden/>
    <w:rsid w:val="00776AC3"/>
    <w:pPr>
      <w:spacing w:after="0"/>
    </w:pPr>
    <w:rPr>
      <w:color w:val="370A11" w:themeColor="accent6" w:themeShade="BF"/>
    </w:r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rPr>
      <w:tblPr/>
      <w:tcPr>
        <w:tcBorders>
          <w:bottom w:val="single" w:sz="12" w:space="0" w:color="D62946" w:themeColor="accent6" w:themeTint="99"/>
        </w:tcBorders>
      </w:tcPr>
    </w:tblStylePr>
    <w:tblStylePr w:type="lastRow">
      <w:rPr>
        <w:b/>
        <w:bCs/>
      </w:rPr>
      <w:tblPr/>
      <w:tcPr>
        <w:tcBorders>
          <w:top w:val="double" w:sz="4" w:space="0" w:color="D62946" w:themeColor="accent6" w:themeTint="99"/>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styleId="GridTable7Colorful">
    <w:name w:val="Grid Table 7 Colorful"/>
    <w:basedOn w:val="TableNormal"/>
    <w:uiPriority w:val="52"/>
    <w:semiHidden/>
    <w:rsid w:val="00776AC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6AC3"/>
    <w:pPr>
      <w:spacing w:after="0"/>
    </w:pPr>
    <w:rPr>
      <w:color w:val="6D1423" w:themeColor="accent1" w:themeShade="BF"/>
    </w:r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insideV w:val="single" w:sz="4" w:space="0" w:color="DF5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6CD" w:themeFill="accent1" w:themeFillTint="33"/>
      </w:tcPr>
    </w:tblStylePr>
    <w:tblStylePr w:type="band1Horz">
      <w:tblPr/>
      <w:tcPr>
        <w:shd w:val="clear" w:color="auto" w:fill="F4C6CD" w:themeFill="accent1" w:themeFillTint="33"/>
      </w:tcPr>
    </w:tblStylePr>
    <w:tblStylePr w:type="neCell">
      <w:tblPr/>
      <w:tcPr>
        <w:tcBorders>
          <w:bottom w:val="single" w:sz="4" w:space="0" w:color="DF546B" w:themeColor="accent1" w:themeTint="99"/>
        </w:tcBorders>
      </w:tcPr>
    </w:tblStylePr>
    <w:tblStylePr w:type="nwCell">
      <w:tblPr/>
      <w:tcPr>
        <w:tcBorders>
          <w:bottom w:val="single" w:sz="4" w:space="0" w:color="DF546B" w:themeColor="accent1" w:themeTint="99"/>
        </w:tcBorders>
      </w:tcPr>
    </w:tblStylePr>
    <w:tblStylePr w:type="seCell">
      <w:tblPr/>
      <w:tcPr>
        <w:tcBorders>
          <w:top w:val="single" w:sz="4" w:space="0" w:color="DF546B" w:themeColor="accent1" w:themeTint="99"/>
        </w:tcBorders>
      </w:tcPr>
    </w:tblStylePr>
    <w:tblStylePr w:type="swCell">
      <w:tblPr/>
      <w:tcPr>
        <w:tcBorders>
          <w:top w:val="single" w:sz="4" w:space="0" w:color="DF546B" w:themeColor="accent1" w:themeTint="99"/>
        </w:tcBorders>
      </w:tcPr>
    </w:tblStylePr>
  </w:style>
  <w:style w:type="table" w:styleId="GridTable7Colorful-Accent2">
    <w:name w:val="Grid Table 7 Colorful Accent 2"/>
    <w:basedOn w:val="TableNormal"/>
    <w:uiPriority w:val="52"/>
    <w:semiHidden/>
    <w:rsid w:val="00776AC3"/>
    <w:pPr>
      <w:spacing w:after="0"/>
    </w:pPr>
    <w:rPr>
      <w:color w:val="8A424E" w:themeColor="accent2" w:themeShade="BF"/>
    </w:r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insideV w:val="single" w:sz="4" w:space="0" w:color="D19EA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EE1" w:themeFill="accent2" w:themeFillTint="33"/>
      </w:tcPr>
    </w:tblStylePr>
    <w:tblStylePr w:type="band1Horz">
      <w:tblPr/>
      <w:tcPr>
        <w:shd w:val="clear" w:color="auto" w:fill="EFDEE1" w:themeFill="accent2" w:themeFillTint="33"/>
      </w:tcPr>
    </w:tblStylePr>
    <w:tblStylePr w:type="neCell">
      <w:tblPr/>
      <w:tcPr>
        <w:tcBorders>
          <w:bottom w:val="single" w:sz="4" w:space="0" w:color="D19EA7" w:themeColor="accent2" w:themeTint="99"/>
        </w:tcBorders>
      </w:tcPr>
    </w:tblStylePr>
    <w:tblStylePr w:type="nwCell">
      <w:tblPr/>
      <w:tcPr>
        <w:tcBorders>
          <w:bottom w:val="single" w:sz="4" w:space="0" w:color="D19EA7" w:themeColor="accent2" w:themeTint="99"/>
        </w:tcBorders>
      </w:tcPr>
    </w:tblStylePr>
    <w:tblStylePr w:type="seCell">
      <w:tblPr/>
      <w:tcPr>
        <w:tcBorders>
          <w:top w:val="single" w:sz="4" w:space="0" w:color="D19EA7" w:themeColor="accent2" w:themeTint="99"/>
        </w:tcBorders>
      </w:tcPr>
    </w:tblStylePr>
    <w:tblStylePr w:type="swCell">
      <w:tblPr/>
      <w:tcPr>
        <w:tcBorders>
          <w:top w:val="single" w:sz="4" w:space="0" w:color="D19EA7" w:themeColor="accent2" w:themeTint="99"/>
        </w:tcBorders>
      </w:tcPr>
    </w:tblStylePr>
  </w:style>
  <w:style w:type="table" w:styleId="GridTable7Colorful-Accent3">
    <w:name w:val="Grid Table 7 Colorful Accent 3"/>
    <w:basedOn w:val="TableNormal"/>
    <w:uiPriority w:val="52"/>
    <w:semiHidden/>
    <w:rsid w:val="00776AC3"/>
    <w:pPr>
      <w:spacing w:after="0"/>
    </w:pPr>
    <w:rPr>
      <w:color w:val="AFABAB" w:themeColor="accent3" w:themeShade="BF"/>
    </w:r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insideV w:val="single" w:sz="4" w:space="0" w:color="F1F0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bottom w:val="single" w:sz="4" w:space="0" w:color="F1F0F0" w:themeColor="accent3" w:themeTint="99"/>
        </w:tcBorders>
      </w:tcPr>
    </w:tblStylePr>
    <w:tblStylePr w:type="nwCell">
      <w:tblPr/>
      <w:tcPr>
        <w:tcBorders>
          <w:bottom w:val="single" w:sz="4" w:space="0" w:color="F1F0F0" w:themeColor="accent3" w:themeTint="99"/>
        </w:tcBorders>
      </w:tcPr>
    </w:tblStylePr>
    <w:tblStylePr w:type="seCell">
      <w:tblPr/>
      <w:tcPr>
        <w:tcBorders>
          <w:top w:val="single" w:sz="4" w:space="0" w:color="F1F0F0" w:themeColor="accent3" w:themeTint="99"/>
        </w:tcBorders>
      </w:tcPr>
    </w:tblStylePr>
    <w:tblStylePr w:type="swCell">
      <w:tblPr/>
      <w:tcPr>
        <w:tcBorders>
          <w:top w:val="single" w:sz="4" w:space="0" w:color="F1F0F0" w:themeColor="accent3" w:themeTint="99"/>
        </w:tcBorders>
      </w:tcPr>
    </w:tblStylePr>
  </w:style>
  <w:style w:type="table" w:styleId="GridTable7Colorful-Accent4">
    <w:name w:val="Grid Table 7 Colorful Accent 4"/>
    <w:basedOn w:val="TableNormal"/>
    <w:uiPriority w:val="52"/>
    <w:semiHidden/>
    <w:rsid w:val="00776AC3"/>
    <w:pPr>
      <w:spacing w:after="0"/>
    </w:pPr>
    <w:rPr>
      <w:color w:val="696464" w:themeColor="accent4" w:themeShade="BF"/>
    </w:r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insideV w:val="single" w:sz="4" w:space="0" w:color="BAB6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6E6" w:themeFill="accent4" w:themeFillTint="33"/>
      </w:tcPr>
    </w:tblStylePr>
    <w:tblStylePr w:type="band1Horz">
      <w:tblPr/>
      <w:tcPr>
        <w:shd w:val="clear" w:color="auto" w:fill="E8E6E6" w:themeFill="accent4" w:themeFillTint="33"/>
      </w:tcPr>
    </w:tblStylePr>
    <w:tblStylePr w:type="neCell">
      <w:tblPr/>
      <w:tcPr>
        <w:tcBorders>
          <w:bottom w:val="single" w:sz="4" w:space="0" w:color="BAB6B6" w:themeColor="accent4" w:themeTint="99"/>
        </w:tcBorders>
      </w:tcPr>
    </w:tblStylePr>
    <w:tblStylePr w:type="nwCell">
      <w:tblPr/>
      <w:tcPr>
        <w:tcBorders>
          <w:bottom w:val="single" w:sz="4" w:space="0" w:color="BAB6B6" w:themeColor="accent4" w:themeTint="99"/>
        </w:tcBorders>
      </w:tcPr>
    </w:tblStylePr>
    <w:tblStylePr w:type="seCell">
      <w:tblPr/>
      <w:tcPr>
        <w:tcBorders>
          <w:top w:val="single" w:sz="4" w:space="0" w:color="BAB6B6" w:themeColor="accent4" w:themeTint="99"/>
        </w:tcBorders>
      </w:tcPr>
    </w:tblStylePr>
    <w:tblStylePr w:type="swCell">
      <w:tblPr/>
      <w:tcPr>
        <w:tcBorders>
          <w:top w:val="single" w:sz="4" w:space="0" w:color="BAB6B6" w:themeColor="accent4" w:themeTint="99"/>
        </w:tcBorders>
      </w:tcPr>
    </w:tblStylePr>
  </w:style>
  <w:style w:type="table" w:styleId="GridTable7Colorful-Accent5">
    <w:name w:val="Grid Table 7 Colorful Accent 5"/>
    <w:basedOn w:val="TableNormal"/>
    <w:uiPriority w:val="52"/>
    <w:semiHidden/>
    <w:rsid w:val="00776AC3"/>
    <w:pPr>
      <w:spacing w:after="0"/>
    </w:pPr>
    <w:rPr>
      <w:color w:val="201F1F" w:themeColor="accent5" w:themeShade="BF"/>
    </w:r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insideV w:val="single" w:sz="4" w:space="0" w:color="827C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3D3" w:themeFill="accent5" w:themeFillTint="33"/>
      </w:tcPr>
    </w:tblStylePr>
    <w:tblStylePr w:type="band1Horz">
      <w:tblPr/>
      <w:tcPr>
        <w:shd w:val="clear" w:color="auto" w:fill="D5D3D3" w:themeFill="accent5" w:themeFillTint="33"/>
      </w:tcPr>
    </w:tblStylePr>
    <w:tblStylePr w:type="neCell">
      <w:tblPr/>
      <w:tcPr>
        <w:tcBorders>
          <w:bottom w:val="single" w:sz="4" w:space="0" w:color="827C7C" w:themeColor="accent5" w:themeTint="99"/>
        </w:tcBorders>
      </w:tcPr>
    </w:tblStylePr>
    <w:tblStylePr w:type="nwCell">
      <w:tblPr/>
      <w:tcPr>
        <w:tcBorders>
          <w:bottom w:val="single" w:sz="4" w:space="0" w:color="827C7C" w:themeColor="accent5" w:themeTint="99"/>
        </w:tcBorders>
      </w:tcPr>
    </w:tblStylePr>
    <w:tblStylePr w:type="seCell">
      <w:tblPr/>
      <w:tcPr>
        <w:tcBorders>
          <w:top w:val="single" w:sz="4" w:space="0" w:color="827C7C" w:themeColor="accent5" w:themeTint="99"/>
        </w:tcBorders>
      </w:tcPr>
    </w:tblStylePr>
    <w:tblStylePr w:type="swCell">
      <w:tblPr/>
      <w:tcPr>
        <w:tcBorders>
          <w:top w:val="single" w:sz="4" w:space="0" w:color="827C7C" w:themeColor="accent5" w:themeTint="99"/>
        </w:tcBorders>
      </w:tcPr>
    </w:tblStylePr>
  </w:style>
  <w:style w:type="table" w:styleId="GridTable7Colorful-Accent6">
    <w:name w:val="Grid Table 7 Colorful Accent 6"/>
    <w:basedOn w:val="TableNormal"/>
    <w:uiPriority w:val="52"/>
    <w:semiHidden/>
    <w:rsid w:val="00776AC3"/>
    <w:pPr>
      <w:spacing w:after="0"/>
    </w:pPr>
    <w:rPr>
      <w:color w:val="370A11" w:themeColor="accent6" w:themeShade="BF"/>
    </w:r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insideV w:val="single" w:sz="4" w:space="0" w:color="D6294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B7C1" w:themeFill="accent6" w:themeFillTint="33"/>
      </w:tcPr>
    </w:tblStylePr>
    <w:tblStylePr w:type="band1Horz">
      <w:tblPr/>
      <w:tcPr>
        <w:shd w:val="clear" w:color="auto" w:fill="F1B7C1" w:themeFill="accent6" w:themeFillTint="33"/>
      </w:tcPr>
    </w:tblStylePr>
    <w:tblStylePr w:type="neCell">
      <w:tblPr/>
      <w:tcPr>
        <w:tcBorders>
          <w:bottom w:val="single" w:sz="4" w:space="0" w:color="D62946" w:themeColor="accent6" w:themeTint="99"/>
        </w:tcBorders>
      </w:tcPr>
    </w:tblStylePr>
    <w:tblStylePr w:type="nwCell">
      <w:tblPr/>
      <w:tcPr>
        <w:tcBorders>
          <w:bottom w:val="single" w:sz="4" w:space="0" w:color="D62946" w:themeColor="accent6" w:themeTint="99"/>
        </w:tcBorders>
      </w:tcPr>
    </w:tblStylePr>
    <w:tblStylePr w:type="seCell">
      <w:tblPr/>
      <w:tcPr>
        <w:tcBorders>
          <w:top w:val="single" w:sz="4" w:space="0" w:color="D62946" w:themeColor="accent6" w:themeTint="99"/>
        </w:tcBorders>
      </w:tcPr>
    </w:tblStylePr>
    <w:tblStylePr w:type="swCell">
      <w:tblPr/>
      <w:tcPr>
        <w:tcBorders>
          <w:top w:val="single" w:sz="4" w:space="0" w:color="D62946" w:themeColor="accent6" w:themeTint="99"/>
        </w:tcBorders>
      </w:tcPr>
    </w:tblStylePr>
  </w:style>
  <w:style w:type="table" w:styleId="ListTable1Light">
    <w:name w:val="List Table 1 Light"/>
    <w:basedOn w:val="TableNormal"/>
    <w:uiPriority w:val="46"/>
    <w:semiHidden/>
    <w:rsid w:val="00776AC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6AC3"/>
    <w:pPr>
      <w:spacing w:after="0"/>
    </w:pPr>
    <w:tblPr>
      <w:tblStyleRowBandSize w:val="1"/>
      <w:tblStyleColBandSize w:val="1"/>
    </w:tblPr>
    <w:tblStylePr w:type="firstRow">
      <w:rPr>
        <w:b/>
        <w:bCs/>
      </w:rPr>
      <w:tblPr/>
      <w:tcPr>
        <w:tcBorders>
          <w:bottom w:val="single" w:sz="4" w:space="0" w:color="DF546B" w:themeColor="accent1" w:themeTint="99"/>
        </w:tcBorders>
      </w:tcPr>
    </w:tblStylePr>
    <w:tblStylePr w:type="lastRow">
      <w:rPr>
        <w:b/>
        <w:bCs/>
      </w:rPr>
      <w:tblPr/>
      <w:tcPr>
        <w:tcBorders>
          <w:top w:val="single" w:sz="4" w:space="0" w:color="DF546B" w:themeColor="accent1" w:themeTint="99"/>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ListTable1Light-Accent2">
    <w:name w:val="List Table 1 Light Accent 2"/>
    <w:basedOn w:val="TableNormal"/>
    <w:uiPriority w:val="46"/>
    <w:semiHidden/>
    <w:rsid w:val="00776AC3"/>
    <w:pPr>
      <w:spacing w:after="0"/>
    </w:pPr>
    <w:tblPr>
      <w:tblStyleRowBandSize w:val="1"/>
      <w:tblStyleColBandSize w:val="1"/>
    </w:tblPr>
    <w:tblStylePr w:type="firstRow">
      <w:rPr>
        <w:b/>
        <w:bCs/>
      </w:rPr>
      <w:tblPr/>
      <w:tcPr>
        <w:tcBorders>
          <w:bottom w:val="single" w:sz="4" w:space="0" w:color="D19EA7" w:themeColor="accent2" w:themeTint="99"/>
        </w:tcBorders>
      </w:tcPr>
    </w:tblStylePr>
    <w:tblStylePr w:type="lastRow">
      <w:rPr>
        <w:b/>
        <w:bCs/>
      </w:rPr>
      <w:tblPr/>
      <w:tcPr>
        <w:tcBorders>
          <w:top w:val="single" w:sz="4" w:space="0" w:color="D19EA7" w:themeColor="accent2" w:themeTint="99"/>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styleId="ListTable1Light-Accent3">
    <w:name w:val="List Table 1 Light Accent 3"/>
    <w:basedOn w:val="TableNormal"/>
    <w:uiPriority w:val="46"/>
    <w:semiHidden/>
    <w:rsid w:val="00776AC3"/>
    <w:pPr>
      <w:spacing w:after="0"/>
    </w:pPr>
    <w:tblPr>
      <w:tblStyleRowBandSize w:val="1"/>
      <w:tblStyleColBandSize w:val="1"/>
    </w:tblPr>
    <w:tblStylePr w:type="firstRow">
      <w:rPr>
        <w:b/>
        <w:bCs/>
      </w:rPr>
      <w:tblPr/>
      <w:tcPr>
        <w:tcBorders>
          <w:bottom w:val="single" w:sz="4" w:space="0" w:color="F1F0F0" w:themeColor="accent3" w:themeTint="99"/>
        </w:tcBorders>
      </w:tcPr>
    </w:tblStylePr>
    <w:tblStylePr w:type="lastRow">
      <w:rPr>
        <w:b/>
        <w:bCs/>
      </w:rPr>
      <w:tblPr/>
      <w:tcPr>
        <w:tcBorders>
          <w:top w:val="single" w:sz="4" w:space="0" w:color="F1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1Light-Accent4">
    <w:name w:val="List Table 1 Light Accent 4"/>
    <w:basedOn w:val="TableNormal"/>
    <w:uiPriority w:val="46"/>
    <w:semiHidden/>
    <w:rsid w:val="00776AC3"/>
    <w:pPr>
      <w:spacing w:after="0"/>
    </w:pPr>
    <w:tblPr>
      <w:tblStyleRowBandSize w:val="1"/>
      <w:tblStyleColBandSize w:val="1"/>
    </w:tblPr>
    <w:tblStylePr w:type="firstRow">
      <w:rPr>
        <w:b/>
        <w:bCs/>
      </w:rPr>
      <w:tblPr/>
      <w:tcPr>
        <w:tcBorders>
          <w:bottom w:val="single" w:sz="4" w:space="0" w:color="BAB6B6" w:themeColor="accent4" w:themeTint="99"/>
        </w:tcBorders>
      </w:tcPr>
    </w:tblStylePr>
    <w:tblStylePr w:type="lastRow">
      <w:rPr>
        <w:b/>
        <w:bCs/>
      </w:rPr>
      <w:tblPr/>
      <w:tcPr>
        <w:tcBorders>
          <w:top w:val="single" w:sz="4" w:space="0" w:color="BAB6B6" w:themeColor="accent4" w:themeTint="99"/>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styleId="ListTable1Light-Accent5">
    <w:name w:val="List Table 1 Light Accent 5"/>
    <w:basedOn w:val="TableNormal"/>
    <w:uiPriority w:val="46"/>
    <w:semiHidden/>
    <w:rsid w:val="00776AC3"/>
    <w:pPr>
      <w:spacing w:after="0"/>
    </w:pPr>
    <w:tblPr>
      <w:tblStyleRowBandSize w:val="1"/>
      <w:tblStyleColBandSize w:val="1"/>
    </w:tblPr>
    <w:tblStylePr w:type="firstRow">
      <w:rPr>
        <w:b/>
        <w:bCs/>
      </w:rPr>
      <w:tblPr/>
      <w:tcPr>
        <w:tcBorders>
          <w:bottom w:val="single" w:sz="4" w:space="0" w:color="827C7C" w:themeColor="accent5" w:themeTint="99"/>
        </w:tcBorders>
      </w:tcPr>
    </w:tblStylePr>
    <w:tblStylePr w:type="lastRow">
      <w:rPr>
        <w:b/>
        <w:bCs/>
      </w:rPr>
      <w:tblPr/>
      <w:tcPr>
        <w:tcBorders>
          <w:top w:val="single" w:sz="4" w:space="0" w:color="827C7C" w:themeColor="accent5" w:themeTint="99"/>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styleId="ListTable1Light-Accent6">
    <w:name w:val="List Table 1 Light Accent 6"/>
    <w:basedOn w:val="TableNormal"/>
    <w:uiPriority w:val="46"/>
    <w:semiHidden/>
    <w:rsid w:val="00776AC3"/>
    <w:pPr>
      <w:spacing w:after="0"/>
    </w:pPr>
    <w:tblPr>
      <w:tblStyleRowBandSize w:val="1"/>
      <w:tblStyleColBandSize w:val="1"/>
    </w:tblPr>
    <w:tblStylePr w:type="firstRow">
      <w:rPr>
        <w:b/>
        <w:bCs/>
      </w:rPr>
      <w:tblPr/>
      <w:tcPr>
        <w:tcBorders>
          <w:bottom w:val="single" w:sz="4" w:space="0" w:color="D62946" w:themeColor="accent6" w:themeTint="99"/>
        </w:tcBorders>
      </w:tcPr>
    </w:tblStylePr>
    <w:tblStylePr w:type="lastRow">
      <w:rPr>
        <w:b/>
        <w:bCs/>
      </w:rPr>
      <w:tblPr/>
      <w:tcPr>
        <w:tcBorders>
          <w:top w:val="single" w:sz="4" w:space="0" w:color="D62946" w:themeColor="accent6" w:themeTint="99"/>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styleId="ListTable2">
    <w:name w:val="List Table 2"/>
    <w:basedOn w:val="TableNormal"/>
    <w:uiPriority w:val="47"/>
    <w:semiHidden/>
    <w:rsid w:val="00776AC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6AC3"/>
    <w:pPr>
      <w:spacing w:after="0"/>
    </w:pPr>
    <w:tblPr>
      <w:tblStyleRowBandSize w:val="1"/>
      <w:tblStyleColBandSize w:val="1"/>
      <w:tblBorders>
        <w:top w:val="single" w:sz="4" w:space="0" w:color="DF546B" w:themeColor="accent1" w:themeTint="99"/>
        <w:bottom w:val="single" w:sz="4" w:space="0" w:color="DF546B" w:themeColor="accent1" w:themeTint="99"/>
        <w:insideH w:val="single" w:sz="4" w:space="0" w:color="DF546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ListTable2-Accent2">
    <w:name w:val="List Table 2 Accent 2"/>
    <w:basedOn w:val="TableNormal"/>
    <w:uiPriority w:val="47"/>
    <w:semiHidden/>
    <w:rsid w:val="00776AC3"/>
    <w:pPr>
      <w:spacing w:after="0"/>
    </w:pPr>
    <w:tblPr>
      <w:tblStyleRowBandSize w:val="1"/>
      <w:tblStyleColBandSize w:val="1"/>
      <w:tblBorders>
        <w:top w:val="single" w:sz="4" w:space="0" w:color="D19EA7" w:themeColor="accent2" w:themeTint="99"/>
        <w:bottom w:val="single" w:sz="4" w:space="0" w:color="D19EA7" w:themeColor="accent2" w:themeTint="99"/>
        <w:insideH w:val="single" w:sz="4" w:space="0" w:color="D19EA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styleId="ListTable2-Accent3">
    <w:name w:val="List Table 2 Accent 3"/>
    <w:basedOn w:val="TableNormal"/>
    <w:uiPriority w:val="47"/>
    <w:semiHidden/>
    <w:rsid w:val="00776AC3"/>
    <w:pPr>
      <w:spacing w:after="0"/>
    </w:pPr>
    <w:tblPr>
      <w:tblStyleRowBandSize w:val="1"/>
      <w:tblStyleColBandSize w:val="1"/>
      <w:tblBorders>
        <w:top w:val="single" w:sz="4" w:space="0" w:color="F1F0F0" w:themeColor="accent3" w:themeTint="99"/>
        <w:bottom w:val="single" w:sz="4" w:space="0" w:color="F1F0F0" w:themeColor="accent3" w:themeTint="99"/>
        <w:insideH w:val="single" w:sz="4" w:space="0" w:color="F1F0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2-Accent4">
    <w:name w:val="List Table 2 Accent 4"/>
    <w:basedOn w:val="TableNormal"/>
    <w:uiPriority w:val="47"/>
    <w:semiHidden/>
    <w:rsid w:val="00776AC3"/>
    <w:pPr>
      <w:spacing w:after="0"/>
    </w:pPr>
    <w:tblPr>
      <w:tblStyleRowBandSize w:val="1"/>
      <w:tblStyleColBandSize w:val="1"/>
      <w:tblBorders>
        <w:top w:val="single" w:sz="4" w:space="0" w:color="BAB6B6" w:themeColor="accent4" w:themeTint="99"/>
        <w:bottom w:val="single" w:sz="4" w:space="0" w:color="BAB6B6" w:themeColor="accent4" w:themeTint="99"/>
        <w:insideH w:val="single" w:sz="4" w:space="0" w:color="BAB6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styleId="ListTable2-Accent5">
    <w:name w:val="List Table 2 Accent 5"/>
    <w:basedOn w:val="TableNormal"/>
    <w:uiPriority w:val="47"/>
    <w:semiHidden/>
    <w:rsid w:val="00776AC3"/>
    <w:pPr>
      <w:spacing w:after="0"/>
    </w:pPr>
    <w:tblPr>
      <w:tblStyleRowBandSize w:val="1"/>
      <w:tblStyleColBandSize w:val="1"/>
      <w:tblBorders>
        <w:top w:val="single" w:sz="4" w:space="0" w:color="827C7C" w:themeColor="accent5" w:themeTint="99"/>
        <w:bottom w:val="single" w:sz="4" w:space="0" w:color="827C7C" w:themeColor="accent5" w:themeTint="99"/>
        <w:insideH w:val="single" w:sz="4" w:space="0" w:color="827C7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styleId="ListTable2-Accent6">
    <w:name w:val="List Table 2 Accent 6"/>
    <w:basedOn w:val="TableNormal"/>
    <w:uiPriority w:val="47"/>
    <w:semiHidden/>
    <w:rsid w:val="00776AC3"/>
    <w:pPr>
      <w:spacing w:after="0"/>
    </w:pPr>
    <w:tblPr>
      <w:tblStyleRowBandSize w:val="1"/>
      <w:tblStyleColBandSize w:val="1"/>
      <w:tblBorders>
        <w:top w:val="single" w:sz="4" w:space="0" w:color="D62946" w:themeColor="accent6" w:themeTint="99"/>
        <w:bottom w:val="single" w:sz="4" w:space="0" w:color="D62946" w:themeColor="accent6" w:themeTint="99"/>
        <w:insideH w:val="single" w:sz="4" w:space="0" w:color="D6294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styleId="ListTable3">
    <w:name w:val="List Table 3"/>
    <w:basedOn w:val="TableNormal"/>
    <w:uiPriority w:val="48"/>
    <w:semiHidden/>
    <w:rsid w:val="00776AC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6AC3"/>
    <w:pPr>
      <w:spacing w:after="0"/>
    </w:pPr>
    <w:tblPr>
      <w:tblStyleRowBandSize w:val="1"/>
      <w:tblStyleColBandSize w:val="1"/>
      <w:tblBorders>
        <w:top w:val="single" w:sz="4" w:space="0" w:color="931B2F" w:themeColor="accent1"/>
        <w:left w:val="single" w:sz="4" w:space="0" w:color="931B2F" w:themeColor="accent1"/>
        <w:bottom w:val="single" w:sz="4" w:space="0" w:color="931B2F" w:themeColor="accent1"/>
        <w:right w:val="single" w:sz="4" w:space="0" w:color="931B2F" w:themeColor="accent1"/>
      </w:tblBorders>
    </w:tblPr>
    <w:tblStylePr w:type="firstRow">
      <w:rPr>
        <w:b/>
        <w:bCs/>
        <w:color w:val="FFFFFF" w:themeColor="background1"/>
      </w:rPr>
      <w:tblPr/>
      <w:tcPr>
        <w:shd w:val="clear" w:color="auto" w:fill="931B2F" w:themeFill="accent1"/>
      </w:tcPr>
    </w:tblStylePr>
    <w:tblStylePr w:type="lastRow">
      <w:rPr>
        <w:b/>
        <w:bCs/>
      </w:rPr>
      <w:tblPr/>
      <w:tcPr>
        <w:tcBorders>
          <w:top w:val="double" w:sz="4" w:space="0" w:color="931B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1B2F" w:themeColor="accent1"/>
          <w:right w:val="single" w:sz="4" w:space="0" w:color="931B2F" w:themeColor="accent1"/>
        </w:tcBorders>
      </w:tcPr>
    </w:tblStylePr>
    <w:tblStylePr w:type="band1Horz">
      <w:tblPr/>
      <w:tcPr>
        <w:tcBorders>
          <w:top w:val="single" w:sz="4" w:space="0" w:color="931B2F" w:themeColor="accent1"/>
          <w:bottom w:val="single" w:sz="4" w:space="0" w:color="931B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1B2F" w:themeColor="accent1"/>
          <w:left w:val="nil"/>
        </w:tcBorders>
      </w:tcPr>
    </w:tblStylePr>
    <w:tblStylePr w:type="swCell">
      <w:tblPr/>
      <w:tcPr>
        <w:tcBorders>
          <w:top w:val="double" w:sz="4" w:space="0" w:color="931B2F" w:themeColor="accent1"/>
          <w:right w:val="nil"/>
        </w:tcBorders>
      </w:tcPr>
    </w:tblStylePr>
  </w:style>
  <w:style w:type="table" w:styleId="ListTable3-Accent2">
    <w:name w:val="List Table 3 Accent 2"/>
    <w:basedOn w:val="TableNormal"/>
    <w:uiPriority w:val="48"/>
    <w:semiHidden/>
    <w:rsid w:val="00776AC3"/>
    <w:pPr>
      <w:spacing w:after="0"/>
    </w:pPr>
    <w:tblPr>
      <w:tblStyleRowBandSize w:val="1"/>
      <w:tblStyleColBandSize w:val="1"/>
      <w:tblBorders>
        <w:top w:val="single" w:sz="4" w:space="0" w:color="B35F6D" w:themeColor="accent2"/>
        <w:left w:val="single" w:sz="4" w:space="0" w:color="B35F6D" w:themeColor="accent2"/>
        <w:bottom w:val="single" w:sz="4" w:space="0" w:color="B35F6D" w:themeColor="accent2"/>
        <w:right w:val="single" w:sz="4" w:space="0" w:color="B35F6D" w:themeColor="accent2"/>
      </w:tblBorders>
    </w:tblPr>
    <w:tblStylePr w:type="firstRow">
      <w:rPr>
        <w:b/>
        <w:bCs/>
        <w:color w:val="FFFFFF" w:themeColor="background1"/>
      </w:rPr>
      <w:tblPr/>
      <w:tcPr>
        <w:shd w:val="clear" w:color="auto" w:fill="B35F6D" w:themeFill="accent2"/>
      </w:tcPr>
    </w:tblStylePr>
    <w:tblStylePr w:type="lastRow">
      <w:rPr>
        <w:b/>
        <w:bCs/>
      </w:rPr>
      <w:tblPr/>
      <w:tcPr>
        <w:tcBorders>
          <w:top w:val="double" w:sz="4" w:space="0" w:color="B35F6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5F6D" w:themeColor="accent2"/>
          <w:right w:val="single" w:sz="4" w:space="0" w:color="B35F6D" w:themeColor="accent2"/>
        </w:tcBorders>
      </w:tcPr>
    </w:tblStylePr>
    <w:tblStylePr w:type="band1Horz">
      <w:tblPr/>
      <w:tcPr>
        <w:tcBorders>
          <w:top w:val="single" w:sz="4" w:space="0" w:color="B35F6D" w:themeColor="accent2"/>
          <w:bottom w:val="single" w:sz="4" w:space="0" w:color="B35F6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5F6D" w:themeColor="accent2"/>
          <w:left w:val="nil"/>
        </w:tcBorders>
      </w:tcPr>
    </w:tblStylePr>
    <w:tblStylePr w:type="swCell">
      <w:tblPr/>
      <w:tcPr>
        <w:tcBorders>
          <w:top w:val="double" w:sz="4" w:space="0" w:color="B35F6D" w:themeColor="accent2"/>
          <w:right w:val="nil"/>
        </w:tcBorders>
      </w:tcPr>
    </w:tblStylePr>
  </w:style>
  <w:style w:type="table" w:styleId="ListTable3-Accent3">
    <w:name w:val="List Table 3 Accent 3"/>
    <w:basedOn w:val="TableNormal"/>
    <w:uiPriority w:val="48"/>
    <w:semiHidden/>
    <w:rsid w:val="00776AC3"/>
    <w:pPr>
      <w:spacing w:after="0"/>
    </w:pPr>
    <w:tblPr>
      <w:tblStyleRowBandSize w:val="1"/>
      <w:tblStyleColBandSize w:val="1"/>
      <w:tblBorders>
        <w:top w:val="single" w:sz="4" w:space="0" w:color="E8E7E7" w:themeColor="accent3"/>
        <w:left w:val="single" w:sz="4" w:space="0" w:color="E8E7E7" w:themeColor="accent3"/>
        <w:bottom w:val="single" w:sz="4" w:space="0" w:color="E8E7E7" w:themeColor="accent3"/>
        <w:right w:val="single" w:sz="4" w:space="0" w:color="E8E7E7" w:themeColor="accent3"/>
      </w:tblBorders>
    </w:tblPr>
    <w:tblStylePr w:type="firstRow">
      <w:rPr>
        <w:b/>
        <w:bCs/>
        <w:color w:val="FFFFFF" w:themeColor="background1"/>
      </w:rPr>
      <w:tblPr/>
      <w:tcPr>
        <w:shd w:val="clear" w:color="auto" w:fill="E8E7E7" w:themeFill="accent3"/>
      </w:tcPr>
    </w:tblStylePr>
    <w:tblStylePr w:type="lastRow">
      <w:rPr>
        <w:b/>
        <w:bCs/>
      </w:rPr>
      <w:tblPr/>
      <w:tcPr>
        <w:tcBorders>
          <w:top w:val="double" w:sz="4" w:space="0" w:color="E8E7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E7E7" w:themeColor="accent3"/>
          <w:right w:val="single" w:sz="4" w:space="0" w:color="E8E7E7" w:themeColor="accent3"/>
        </w:tcBorders>
      </w:tcPr>
    </w:tblStylePr>
    <w:tblStylePr w:type="band1Horz">
      <w:tblPr/>
      <w:tcPr>
        <w:tcBorders>
          <w:top w:val="single" w:sz="4" w:space="0" w:color="E8E7E7" w:themeColor="accent3"/>
          <w:bottom w:val="single" w:sz="4" w:space="0" w:color="E8E7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E7E7" w:themeColor="accent3"/>
          <w:left w:val="nil"/>
        </w:tcBorders>
      </w:tcPr>
    </w:tblStylePr>
    <w:tblStylePr w:type="swCell">
      <w:tblPr/>
      <w:tcPr>
        <w:tcBorders>
          <w:top w:val="double" w:sz="4" w:space="0" w:color="E8E7E7" w:themeColor="accent3"/>
          <w:right w:val="nil"/>
        </w:tcBorders>
      </w:tcPr>
    </w:tblStylePr>
  </w:style>
  <w:style w:type="table" w:styleId="ListTable3-Accent4">
    <w:name w:val="List Table 3 Accent 4"/>
    <w:basedOn w:val="TableNormal"/>
    <w:uiPriority w:val="48"/>
    <w:semiHidden/>
    <w:rsid w:val="00776AC3"/>
    <w:pPr>
      <w:spacing w:after="0"/>
    </w:pPr>
    <w:tblPr>
      <w:tblStyleRowBandSize w:val="1"/>
      <w:tblStyleColBandSize w:val="1"/>
      <w:tblBorders>
        <w:top w:val="single" w:sz="4" w:space="0" w:color="8C8686" w:themeColor="accent4"/>
        <w:left w:val="single" w:sz="4" w:space="0" w:color="8C8686" w:themeColor="accent4"/>
        <w:bottom w:val="single" w:sz="4" w:space="0" w:color="8C8686" w:themeColor="accent4"/>
        <w:right w:val="single" w:sz="4" w:space="0" w:color="8C8686" w:themeColor="accent4"/>
      </w:tblBorders>
    </w:tblPr>
    <w:tblStylePr w:type="firstRow">
      <w:rPr>
        <w:b/>
        <w:bCs/>
        <w:color w:val="FFFFFF" w:themeColor="background1"/>
      </w:rPr>
      <w:tblPr/>
      <w:tcPr>
        <w:shd w:val="clear" w:color="auto" w:fill="8C8686" w:themeFill="accent4"/>
      </w:tcPr>
    </w:tblStylePr>
    <w:tblStylePr w:type="lastRow">
      <w:rPr>
        <w:b/>
        <w:bCs/>
      </w:rPr>
      <w:tblPr/>
      <w:tcPr>
        <w:tcBorders>
          <w:top w:val="double" w:sz="4" w:space="0" w:color="8C868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8686" w:themeColor="accent4"/>
          <w:right w:val="single" w:sz="4" w:space="0" w:color="8C8686" w:themeColor="accent4"/>
        </w:tcBorders>
      </w:tcPr>
    </w:tblStylePr>
    <w:tblStylePr w:type="band1Horz">
      <w:tblPr/>
      <w:tcPr>
        <w:tcBorders>
          <w:top w:val="single" w:sz="4" w:space="0" w:color="8C8686" w:themeColor="accent4"/>
          <w:bottom w:val="single" w:sz="4" w:space="0" w:color="8C868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8686" w:themeColor="accent4"/>
          <w:left w:val="nil"/>
        </w:tcBorders>
      </w:tcPr>
    </w:tblStylePr>
    <w:tblStylePr w:type="swCell">
      <w:tblPr/>
      <w:tcPr>
        <w:tcBorders>
          <w:top w:val="double" w:sz="4" w:space="0" w:color="8C8686" w:themeColor="accent4"/>
          <w:right w:val="nil"/>
        </w:tcBorders>
      </w:tcPr>
    </w:tblStylePr>
  </w:style>
  <w:style w:type="table" w:styleId="ListTable3-Accent5">
    <w:name w:val="List Table 3 Accent 5"/>
    <w:basedOn w:val="TableNormal"/>
    <w:uiPriority w:val="48"/>
    <w:semiHidden/>
    <w:rsid w:val="00776AC3"/>
    <w:pPr>
      <w:spacing w:after="0"/>
    </w:pPr>
    <w:tblPr>
      <w:tblStyleRowBandSize w:val="1"/>
      <w:tblStyleColBandSize w:val="1"/>
      <w:tblBorders>
        <w:top w:val="single" w:sz="4" w:space="0" w:color="2C2A2A" w:themeColor="accent5"/>
        <w:left w:val="single" w:sz="4" w:space="0" w:color="2C2A2A" w:themeColor="accent5"/>
        <w:bottom w:val="single" w:sz="4" w:space="0" w:color="2C2A2A" w:themeColor="accent5"/>
        <w:right w:val="single" w:sz="4" w:space="0" w:color="2C2A2A" w:themeColor="accent5"/>
      </w:tblBorders>
    </w:tblPr>
    <w:tblStylePr w:type="firstRow">
      <w:rPr>
        <w:b/>
        <w:bCs/>
        <w:color w:val="FFFFFF" w:themeColor="background1"/>
      </w:rPr>
      <w:tblPr/>
      <w:tcPr>
        <w:shd w:val="clear" w:color="auto" w:fill="2C2A2A" w:themeFill="accent5"/>
      </w:tcPr>
    </w:tblStylePr>
    <w:tblStylePr w:type="lastRow">
      <w:rPr>
        <w:b/>
        <w:bCs/>
      </w:rPr>
      <w:tblPr/>
      <w:tcPr>
        <w:tcBorders>
          <w:top w:val="double" w:sz="4" w:space="0" w:color="2C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A2A" w:themeColor="accent5"/>
          <w:right w:val="single" w:sz="4" w:space="0" w:color="2C2A2A" w:themeColor="accent5"/>
        </w:tcBorders>
      </w:tcPr>
    </w:tblStylePr>
    <w:tblStylePr w:type="band1Horz">
      <w:tblPr/>
      <w:tcPr>
        <w:tcBorders>
          <w:top w:val="single" w:sz="4" w:space="0" w:color="2C2A2A" w:themeColor="accent5"/>
          <w:bottom w:val="single" w:sz="4" w:space="0" w:color="2C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A2A" w:themeColor="accent5"/>
          <w:left w:val="nil"/>
        </w:tcBorders>
      </w:tcPr>
    </w:tblStylePr>
    <w:tblStylePr w:type="swCell">
      <w:tblPr/>
      <w:tcPr>
        <w:tcBorders>
          <w:top w:val="double" w:sz="4" w:space="0" w:color="2C2A2A" w:themeColor="accent5"/>
          <w:right w:val="nil"/>
        </w:tcBorders>
      </w:tcPr>
    </w:tblStylePr>
  </w:style>
  <w:style w:type="table" w:styleId="ListTable3-Accent6">
    <w:name w:val="List Table 3 Accent 6"/>
    <w:basedOn w:val="TableNormal"/>
    <w:uiPriority w:val="48"/>
    <w:semiHidden/>
    <w:rsid w:val="00776AC3"/>
    <w:pPr>
      <w:spacing w:after="0"/>
    </w:pPr>
    <w:tblPr>
      <w:tblStyleRowBandSize w:val="1"/>
      <w:tblStyleColBandSize w:val="1"/>
      <w:tblBorders>
        <w:top w:val="single" w:sz="4" w:space="0" w:color="4A0E18" w:themeColor="accent6"/>
        <w:left w:val="single" w:sz="4" w:space="0" w:color="4A0E18" w:themeColor="accent6"/>
        <w:bottom w:val="single" w:sz="4" w:space="0" w:color="4A0E18" w:themeColor="accent6"/>
        <w:right w:val="single" w:sz="4" w:space="0" w:color="4A0E18" w:themeColor="accent6"/>
      </w:tblBorders>
    </w:tblPr>
    <w:tblStylePr w:type="firstRow">
      <w:rPr>
        <w:b/>
        <w:bCs/>
        <w:color w:val="FFFFFF" w:themeColor="background1"/>
      </w:rPr>
      <w:tblPr/>
      <w:tcPr>
        <w:shd w:val="clear" w:color="auto" w:fill="4A0E18" w:themeFill="accent6"/>
      </w:tcPr>
    </w:tblStylePr>
    <w:tblStylePr w:type="lastRow">
      <w:rPr>
        <w:b/>
        <w:bCs/>
      </w:rPr>
      <w:tblPr/>
      <w:tcPr>
        <w:tcBorders>
          <w:top w:val="double" w:sz="4" w:space="0" w:color="4A0E1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0E18" w:themeColor="accent6"/>
          <w:right w:val="single" w:sz="4" w:space="0" w:color="4A0E18" w:themeColor="accent6"/>
        </w:tcBorders>
      </w:tcPr>
    </w:tblStylePr>
    <w:tblStylePr w:type="band1Horz">
      <w:tblPr/>
      <w:tcPr>
        <w:tcBorders>
          <w:top w:val="single" w:sz="4" w:space="0" w:color="4A0E18" w:themeColor="accent6"/>
          <w:bottom w:val="single" w:sz="4" w:space="0" w:color="4A0E1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0E18" w:themeColor="accent6"/>
          <w:left w:val="nil"/>
        </w:tcBorders>
      </w:tcPr>
    </w:tblStylePr>
    <w:tblStylePr w:type="swCell">
      <w:tblPr/>
      <w:tcPr>
        <w:tcBorders>
          <w:top w:val="double" w:sz="4" w:space="0" w:color="4A0E18" w:themeColor="accent6"/>
          <w:right w:val="nil"/>
        </w:tcBorders>
      </w:tcPr>
    </w:tblStylePr>
  </w:style>
  <w:style w:type="table" w:styleId="ListTable4">
    <w:name w:val="List Table 4"/>
    <w:basedOn w:val="TableNormal"/>
    <w:uiPriority w:val="49"/>
    <w:semiHidden/>
    <w:rsid w:val="00776AC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6AC3"/>
    <w:pPr>
      <w:spacing w:after="0"/>
    </w:pPr>
    <w:tblPr>
      <w:tblStyleRowBandSize w:val="1"/>
      <w:tblStyleColBandSize w:val="1"/>
      <w:tblBorders>
        <w:top w:val="single" w:sz="4" w:space="0" w:color="DF546B" w:themeColor="accent1" w:themeTint="99"/>
        <w:left w:val="single" w:sz="4" w:space="0" w:color="DF546B" w:themeColor="accent1" w:themeTint="99"/>
        <w:bottom w:val="single" w:sz="4" w:space="0" w:color="DF546B" w:themeColor="accent1" w:themeTint="99"/>
        <w:right w:val="single" w:sz="4" w:space="0" w:color="DF546B" w:themeColor="accent1" w:themeTint="99"/>
        <w:insideH w:val="single" w:sz="4" w:space="0" w:color="DF546B" w:themeColor="accent1" w:themeTint="99"/>
      </w:tblBorders>
    </w:tblPr>
    <w:tblStylePr w:type="firstRow">
      <w:rPr>
        <w:b/>
        <w:bCs/>
        <w:color w:val="FFFFFF" w:themeColor="background1"/>
      </w:rPr>
      <w:tblPr/>
      <w:tcPr>
        <w:tcBorders>
          <w:top w:val="single" w:sz="4" w:space="0" w:color="931B2F" w:themeColor="accent1"/>
          <w:left w:val="single" w:sz="4" w:space="0" w:color="931B2F" w:themeColor="accent1"/>
          <w:bottom w:val="single" w:sz="4" w:space="0" w:color="931B2F" w:themeColor="accent1"/>
          <w:right w:val="single" w:sz="4" w:space="0" w:color="931B2F" w:themeColor="accent1"/>
          <w:insideH w:val="nil"/>
        </w:tcBorders>
        <w:shd w:val="clear" w:color="auto" w:fill="931B2F" w:themeFill="accent1"/>
      </w:tcPr>
    </w:tblStylePr>
    <w:tblStylePr w:type="lastRow">
      <w:rPr>
        <w:b/>
        <w:bCs/>
      </w:rPr>
      <w:tblPr/>
      <w:tcPr>
        <w:tcBorders>
          <w:top w:val="double" w:sz="4" w:space="0" w:color="DF546B" w:themeColor="accent1" w:themeTint="99"/>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ListTable4-Accent2">
    <w:name w:val="List Table 4 Accent 2"/>
    <w:basedOn w:val="TableNormal"/>
    <w:uiPriority w:val="49"/>
    <w:semiHidden/>
    <w:rsid w:val="00776AC3"/>
    <w:pPr>
      <w:spacing w:after="0"/>
    </w:pPr>
    <w:tblPr>
      <w:tblStyleRowBandSize w:val="1"/>
      <w:tblStyleColBandSize w:val="1"/>
      <w:tblBorders>
        <w:top w:val="single" w:sz="4" w:space="0" w:color="D19EA7" w:themeColor="accent2" w:themeTint="99"/>
        <w:left w:val="single" w:sz="4" w:space="0" w:color="D19EA7" w:themeColor="accent2" w:themeTint="99"/>
        <w:bottom w:val="single" w:sz="4" w:space="0" w:color="D19EA7" w:themeColor="accent2" w:themeTint="99"/>
        <w:right w:val="single" w:sz="4" w:space="0" w:color="D19EA7" w:themeColor="accent2" w:themeTint="99"/>
        <w:insideH w:val="single" w:sz="4" w:space="0" w:color="D19EA7" w:themeColor="accent2" w:themeTint="99"/>
      </w:tblBorders>
    </w:tblPr>
    <w:tblStylePr w:type="firstRow">
      <w:rPr>
        <w:b/>
        <w:bCs/>
        <w:color w:val="FFFFFF" w:themeColor="background1"/>
      </w:rPr>
      <w:tblPr/>
      <w:tcPr>
        <w:tcBorders>
          <w:top w:val="single" w:sz="4" w:space="0" w:color="B35F6D" w:themeColor="accent2"/>
          <w:left w:val="single" w:sz="4" w:space="0" w:color="B35F6D" w:themeColor="accent2"/>
          <w:bottom w:val="single" w:sz="4" w:space="0" w:color="B35F6D" w:themeColor="accent2"/>
          <w:right w:val="single" w:sz="4" w:space="0" w:color="B35F6D" w:themeColor="accent2"/>
          <w:insideH w:val="nil"/>
        </w:tcBorders>
        <w:shd w:val="clear" w:color="auto" w:fill="B35F6D" w:themeFill="accent2"/>
      </w:tcPr>
    </w:tblStylePr>
    <w:tblStylePr w:type="lastRow">
      <w:rPr>
        <w:b/>
        <w:bCs/>
      </w:rPr>
      <w:tblPr/>
      <w:tcPr>
        <w:tcBorders>
          <w:top w:val="double" w:sz="4" w:space="0" w:color="D19EA7" w:themeColor="accent2" w:themeTint="99"/>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styleId="ListTable4-Accent3">
    <w:name w:val="List Table 4 Accent 3"/>
    <w:basedOn w:val="TableNormal"/>
    <w:uiPriority w:val="49"/>
    <w:semiHidden/>
    <w:rsid w:val="00776AC3"/>
    <w:pPr>
      <w:spacing w:after="0"/>
    </w:pPr>
    <w:tblPr>
      <w:tblStyleRowBandSize w:val="1"/>
      <w:tblStyleColBandSize w:val="1"/>
      <w:tblBorders>
        <w:top w:val="single" w:sz="4" w:space="0" w:color="F1F0F0" w:themeColor="accent3" w:themeTint="99"/>
        <w:left w:val="single" w:sz="4" w:space="0" w:color="F1F0F0" w:themeColor="accent3" w:themeTint="99"/>
        <w:bottom w:val="single" w:sz="4" w:space="0" w:color="F1F0F0" w:themeColor="accent3" w:themeTint="99"/>
        <w:right w:val="single" w:sz="4" w:space="0" w:color="F1F0F0" w:themeColor="accent3" w:themeTint="99"/>
        <w:insideH w:val="single" w:sz="4" w:space="0" w:color="F1F0F0" w:themeColor="accent3" w:themeTint="99"/>
      </w:tblBorders>
    </w:tblPr>
    <w:tblStylePr w:type="firstRow">
      <w:rPr>
        <w:b/>
        <w:bCs/>
        <w:color w:val="FFFFFF" w:themeColor="background1"/>
      </w:rPr>
      <w:tblPr/>
      <w:tcPr>
        <w:tcBorders>
          <w:top w:val="single" w:sz="4" w:space="0" w:color="E8E7E7" w:themeColor="accent3"/>
          <w:left w:val="single" w:sz="4" w:space="0" w:color="E8E7E7" w:themeColor="accent3"/>
          <w:bottom w:val="single" w:sz="4" w:space="0" w:color="E8E7E7" w:themeColor="accent3"/>
          <w:right w:val="single" w:sz="4" w:space="0" w:color="E8E7E7" w:themeColor="accent3"/>
          <w:insideH w:val="nil"/>
        </w:tcBorders>
        <w:shd w:val="clear" w:color="auto" w:fill="E8E7E7" w:themeFill="accent3"/>
      </w:tcPr>
    </w:tblStylePr>
    <w:tblStylePr w:type="lastRow">
      <w:rPr>
        <w:b/>
        <w:bCs/>
      </w:rPr>
      <w:tblPr/>
      <w:tcPr>
        <w:tcBorders>
          <w:top w:val="double" w:sz="4" w:space="0" w:color="F1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4-Accent4">
    <w:name w:val="List Table 4 Accent 4"/>
    <w:basedOn w:val="TableNormal"/>
    <w:uiPriority w:val="49"/>
    <w:semiHidden/>
    <w:rsid w:val="00776AC3"/>
    <w:pPr>
      <w:spacing w:after="0"/>
    </w:pPr>
    <w:tblPr>
      <w:tblStyleRowBandSize w:val="1"/>
      <w:tblStyleColBandSize w:val="1"/>
      <w:tblBorders>
        <w:top w:val="single" w:sz="4" w:space="0" w:color="BAB6B6" w:themeColor="accent4" w:themeTint="99"/>
        <w:left w:val="single" w:sz="4" w:space="0" w:color="BAB6B6" w:themeColor="accent4" w:themeTint="99"/>
        <w:bottom w:val="single" w:sz="4" w:space="0" w:color="BAB6B6" w:themeColor="accent4" w:themeTint="99"/>
        <w:right w:val="single" w:sz="4" w:space="0" w:color="BAB6B6" w:themeColor="accent4" w:themeTint="99"/>
        <w:insideH w:val="single" w:sz="4" w:space="0" w:color="BAB6B6" w:themeColor="accent4" w:themeTint="99"/>
      </w:tblBorders>
    </w:tblPr>
    <w:tblStylePr w:type="firstRow">
      <w:rPr>
        <w:b/>
        <w:bCs/>
        <w:color w:val="FFFFFF" w:themeColor="background1"/>
      </w:rPr>
      <w:tblPr/>
      <w:tcPr>
        <w:tcBorders>
          <w:top w:val="single" w:sz="4" w:space="0" w:color="8C8686" w:themeColor="accent4"/>
          <w:left w:val="single" w:sz="4" w:space="0" w:color="8C8686" w:themeColor="accent4"/>
          <w:bottom w:val="single" w:sz="4" w:space="0" w:color="8C8686" w:themeColor="accent4"/>
          <w:right w:val="single" w:sz="4" w:space="0" w:color="8C8686" w:themeColor="accent4"/>
          <w:insideH w:val="nil"/>
        </w:tcBorders>
        <w:shd w:val="clear" w:color="auto" w:fill="8C8686" w:themeFill="accent4"/>
      </w:tcPr>
    </w:tblStylePr>
    <w:tblStylePr w:type="lastRow">
      <w:rPr>
        <w:b/>
        <w:bCs/>
      </w:rPr>
      <w:tblPr/>
      <w:tcPr>
        <w:tcBorders>
          <w:top w:val="double" w:sz="4" w:space="0" w:color="BAB6B6" w:themeColor="accent4" w:themeTint="99"/>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styleId="ListTable4-Accent5">
    <w:name w:val="List Table 4 Accent 5"/>
    <w:basedOn w:val="TableNormal"/>
    <w:uiPriority w:val="49"/>
    <w:semiHidden/>
    <w:rsid w:val="00776AC3"/>
    <w:pPr>
      <w:spacing w:after="0"/>
    </w:pPr>
    <w:tblPr>
      <w:tblStyleRowBandSize w:val="1"/>
      <w:tblStyleColBandSize w:val="1"/>
      <w:tblBorders>
        <w:top w:val="single" w:sz="4" w:space="0" w:color="827C7C" w:themeColor="accent5" w:themeTint="99"/>
        <w:left w:val="single" w:sz="4" w:space="0" w:color="827C7C" w:themeColor="accent5" w:themeTint="99"/>
        <w:bottom w:val="single" w:sz="4" w:space="0" w:color="827C7C" w:themeColor="accent5" w:themeTint="99"/>
        <w:right w:val="single" w:sz="4" w:space="0" w:color="827C7C" w:themeColor="accent5" w:themeTint="99"/>
        <w:insideH w:val="single" w:sz="4" w:space="0" w:color="827C7C" w:themeColor="accent5" w:themeTint="99"/>
      </w:tblBorders>
    </w:tblPr>
    <w:tblStylePr w:type="firstRow">
      <w:rPr>
        <w:b/>
        <w:bCs/>
        <w:color w:val="FFFFFF" w:themeColor="background1"/>
      </w:rPr>
      <w:tblPr/>
      <w:tcPr>
        <w:tcBorders>
          <w:top w:val="single" w:sz="4" w:space="0" w:color="2C2A2A" w:themeColor="accent5"/>
          <w:left w:val="single" w:sz="4" w:space="0" w:color="2C2A2A" w:themeColor="accent5"/>
          <w:bottom w:val="single" w:sz="4" w:space="0" w:color="2C2A2A" w:themeColor="accent5"/>
          <w:right w:val="single" w:sz="4" w:space="0" w:color="2C2A2A" w:themeColor="accent5"/>
          <w:insideH w:val="nil"/>
        </w:tcBorders>
        <w:shd w:val="clear" w:color="auto" w:fill="2C2A2A" w:themeFill="accent5"/>
      </w:tcPr>
    </w:tblStylePr>
    <w:tblStylePr w:type="lastRow">
      <w:rPr>
        <w:b/>
        <w:bCs/>
      </w:rPr>
      <w:tblPr/>
      <w:tcPr>
        <w:tcBorders>
          <w:top w:val="double" w:sz="4" w:space="0" w:color="827C7C" w:themeColor="accent5" w:themeTint="99"/>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styleId="ListTable4-Accent6">
    <w:name w:val="List Table 4 Accent 6"/>
    <w:basedOn w:val="TableNormal"/>
    <w:uiPriority w:val="49"/>
    <w:semiHidden/>
    <w:rsid w:val="00776AC3"/>
    <w:pPr>
      <w:spacing w:after="0"/>
    </w:pPr>
    <w:tblPr>
      <w:tblStyleRowBandSize w:val="1"/>
      <w:tblStyleColBandSize w:val="1"/>
      <w:tblBorders>
        <w:top w:val="single" w:sz="4" w:space="0" w:color="D62946" w:themeColor="accent6" w:themeTint="99"/>
        <w:left w:val="single" w:sz="4" w:space="0" w:color="D62946" w:themeColor="accent6" w:themeTint="99"/>
        <w:bottom w:val="single" w:sz="4" w:space="0" w:color="D62946" w:themeColor="accent6" w:themeTint="99"/>
        <w:right w:val="single" w:sz="4" w:space="0" w:color="D62946" w:themeColor="accent6" w:themeTint="99"/>
        <w:insideH w:val="single" w:sz="4" w:space="0" w:color="D62946" w:themeColor="accent6" w:themeTint="99"/>
      </w:tblBorders>
    </w:tblPr>
    <w:tblStylePr w:type="firstRow">
      <w:rPr>
        <w:b/>
        <w:bCs/>
        <w:color w:val="FFFFFF" w:themeColor="background1"/>
      </w:rPr>
      <w:tblPr/>
      <w:tcPr>
        <w:tcBorders>
          <w:top w:val="single" w:sz="4" w:space="0" w:color="4A0E18" w:themeColor="accent6"/>
          <w:left w:val="single" w:sz="4" w:space="0" w:color="4A0E18" w:themeColor="accent6"/>
          <w:bottom w:val="single" w:sz="4" w:space="0" w:color="4A0E18" w:themeColor="accent6"/>
          <w:right w:val="single" w:sz="4" w:space="0" w:color="4A0E18" w:themeColor="accent6"/>
          <w:insideH w:val="nil"/>
        </w:tcBorders>
        <w:shd w:val="clear" w:color="auto" w:fill="4A0E18" w:themeFill="accent6"/>
      </w:tcPr>
    </w:tblStylePr>
    <w:tblStylePr w:type="lastRow">
      <w:rPr>
        <w:b/>
        <w:bCs/>
      </w:rPr>
      <w:tblPr/>
      <w:tcPr>
        <w:tcBorders>
          <w:top w:val="double" w:sz="4" w:space="0" w:color="D62946" w:themeColor="accent6" w:themeTint="99"/>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styleId="ListTable5Dark">
    <w:name w:val="List Table 5 Dark"/>
    <w:basedOn w:val="TableNormal"/>
    <w:uiPriority w:val="50"/>
    <w:semiHidden/>
    <w:rsid w:val="00776AC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6AC3"/>
    <w:pPr>
      <w:spacing w:after="0"/>
    </w:pPr>
    <w:rPr>
      <w:color w:val="FFFFFF" w:themeColor="background1"/>
    </w:rPr>
    <w:tblPr>
      <w:tblStyleRowBandSize w:val="1"/>
      <w:tblStyleColBandSize w:val="1"/>
      <w:tblBorders>
        <w:top w:val="single" w:sz="24" w:space="0" w:color="931B2F" w:themeColor="accent1"/>
        <w:left w:val="single" w:sz="24" w:space="0" w:color="931B2F" w:themeColor="accent1"/>
        <w:bottom w:val="single" w:sz="24" w:space="0" w:color="931B2F" w:themeColor="accent1"/>
        <w:right w:val="single" w:sz="24" w:space="0" w:color="931B2F" w:themeColor="accent1"/>
      </w:tblBorders>
    </w:tblPr>
    <w:tcPr>
      <w:shd w:val="clear" w:color="auto" w:fill="931B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6AC3"/>
    <w:pPr>
      <w:spacing w:after="0"/>
    </w:pPr>
    <w:rPr>
      <w:color w:val="FFFFFF" w:themeColor="background1"/>
    </w:rPr>
    <w:tblPr>
      <w:tblStyleRowBandSize w:val="1"/>
      <w:tblStyleColBandSize w:val="1"/>
      <w:tblBorders>
        <w:top w:val="single" w:sz="24" w:space="0" w:color="B35F6D" w:themeColor="accent2"/>
        <w:left w:val="single" w:sz="24" w:space="0" w:color="B35F6D" w:themeColor="accent2"/>
        <w:bottom w:val="single" w:sz="24" w:space="0" w:color="B35F6D" w:themeColor="accent2"/>
        <w:right w:val="single" w:sz="24" w:space="0" w:color="B35F6D" w:themeColor="accent2"/>
      </w:tblBorders>
    </w:tblPr>
    <w:tcPr>
      <w:shd w:val="clear" w:color="auto" w:fill="B35F6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6AC3"/>
    <w:pPr>
      <w:spacing w:after="0"/>
    </w:pPr>
    <w:rPr>
      <w:color w:val="FFFFFF" w:themeColor="background1"/>
    </w:rPr>
    <w:tblPr>
      <w:tblStyleRowBandSize w:val="1"/>
      <w:tblStyleColBandSize w:val="1"/>
      <w:tblBorders>
        <w:top w:val="single" w:sz="24" w:space="0" w:color="E8E7E7" w:themeColor="accent3"/>
        <w:left w:val="single" w:sz="24" w:space="0" w:color="E8E7E7" w:themeColor="accent3"/>
        <w:bottom w:val="single" w:sz="24" w:space="0" w:color="E8E7E7" w:themeColor="accent3"/>
        <w:right w:val="single" w:sz="24" w:space="0" w:color="E8E7E7" w:themeColor="accent3"/>
      </w:tblBorders>
    </w:tblPr>
    <w:tcPr>
      <w:shd w:val="clear" w:color="auto" w:fill="E8E7E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6AC3"/>
    <w:pPr>
      <w:spacing w:after="0"/>
    </w:pPr>
    <w:rPr>
      <w:color w:val="FFFFFF" w:themeColor="background1"/>
    </w:rPr>
    <w:tblPr>
      <w:tblStyleRowBandSize w:val="1"/>
      <w:tblStyleColBandSize w:val="1"/>
      <w:tblBorders>
        <w:top w:val="single" w:sz="24" w:space="0" w:color="8C8686" w:themeColor="accent4"/>
        <w:left w:val="single" w:sz="24" w:space="0" w:color="8C8686" w:themeColor="accent4"/>
        <w:bottom w:val="single" w:sz="24" w:space="0" w:color="8C8686" w:themeColor="accent4"/>
        <w:right w:val="single" w:sz="24" w:space="0" w:color="8C8686" w:themeColor="accent4"/>
      </w:tblBorders>
    </w:tblPr>
    <w:tcPr>
      <w:shd w:val="clear" w:color="auto" w:fill="8C868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6AC3"/>
    <w:pPr>
      <w:spacing w:after="0"/>
    </w:pPr>
    <w:rPr>
      <w:color w:val="FFFFFF" w:themeColor="background1"/>
    </w:rPr>
    <w:tblPr>
      <w:tblStyleRowBandSize w:val="1"/>
      <w:tblStyleColBandSize w:val="1"/>
      <w:tblBorders>
        <w:top w:val="single" w:sz="24" w:space="0" w:color="2C2A2A" w:themeColor="accent5"/>
        <w:left w:val="single" w:sz="24" w:space="0" w:color="2C2A2A" w:themeColor="accent5"/>
        <w:bottom w:val="single" w:sz="24" w:space="0" w:color="2C2A2A" w:themeColor="accent5"/>
        <w:right w:val="single" w:sz="24" w:space="0" w:color="2C2A2A" w:themeColor="accent5"/>
      </w:tblBorders>
    </w:tblPr>
    <w:tcPr>
      <w:shd w:val="clear" w:color="auto" w:fill="2C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6AC3"/>
    <w:pPr>
      <w:spacing w:after="0"/>
    </w:pPr>
    <w:rPr>
      <w:color w:val="FFFFFF" w:themeColor="background1"/>
    </w:rPr>
    <w:tblPr>
      <w:tblStyleRowBandSize w:val="1"/>
      <w:tblStyleColBandSize w:val="1"/>
      <w:tblBorders>
        <w:top w:val="single" w:sz="24" w:space="0" w:color="4A0E18" w:themeColor="accent6"/>
        <w:left w:val="single" w:sz="24" w:space="0" w:color="4A0E18" w:themeColor="accent6"/>
        <w:bottom w:val="single" w:sz="24" w:space="0" w:color="4A0E18" w:themeColor="accent6"/>
        <w:right w:val="single" w:sz="24" w:space="0" w:color="4A0E18" w:themeColor="accent6"/>
      </w:tblBorders>
    </w:tblPr>
    <w:tcPr>
      <w:shd w:val="clear" w:color="auto" w:fill="4A0E1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6AC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6AC3"/>
    <w:pPr>
      <w:spacing w:after="0"/>
    </w:pPr>
    <w:rPr>
      <w:color w:val="6D1423" w:themeColor="accent1" w:themeShade="BF"/>
    </w:rPr>
    <w:tblPr>
      <w:tblStyleRowBandSize w:val="1"/>
      <w:tblStyleColBandSize w:val="1"/>
      <w:tblBorders>
        <w:top w:val="single" w:sz="4" w:space="0" w:color="931B2F" w:themeColor="accent1"/>
        <w:bottom w:val="single" w:sz="4" w:space="0" w:color="931B2F" w:themeColor="accent1"/>
      </w:tblBorders>
    </w:tblPr>
    <w:tblStylePr w:type="firstRow">
      <w:rPr>
        <w:b/>
        <w:bCs/>
      </w:rPr>
      <w:tblPr/>
      <w:tcPr>
        <w:tcBorders>
          <w:bottom w:val="single" w:sz="4" w:space="0" w:color="931B2F" w:themeColor="accent1"/>
        </w:tcBorders>
      </w:tcPr>
    </w:tblStylePr>
    <w:tblStylePr w:type="lastRow">
      <w:rPr>
        <w:b/>
        <w:bCs/>
      </w:rPr>
      <w:tblPr/>
      <w:tcPr>
        <w:tcBorders>
          <w:top w:val="double" w:sz="4" w:space="0" w:color="931B2F" w:themeColor="accent1"/>
        </w:tcBorders>
      </w:tcPr>
    </w:tblStylePr>
    <w:tblStylePr w:type="firstCol">
      <w:rPr>
        <w:b/>
        <w:bCs/>
      </w:rPr>
    </w:tblStylePr>
    <w:tblStylePr w:type="lastCol">
      <w:rPr>
        <w:b/>
        <w:bCs/>
      </w:rPr>
    </w:tblStylePr>
    <w:tblStylePr w:type="band1Vert">
      <w:tblPr/>
      <w:tcPr>
        <w:shd w:val="clear" w:color="auto" w:fill="F4C6CD" w:themeFill="accent1" w:themeFillTint="33"/>
      </w:tcPr>
    </w:tblStylePr>
    <w:tblStylePr w:type="band1Horz">
      <w:tblPr/>
      <w:tcPr>
        <w:shd w:val="clear" w:color="auto" w:fill="F4C6CD" w:themeFill="accent1" w:themeFillTint="33"/>
      </w:tcPr>
    </w:tblStylePr>
  </w:style>
  <w:style w:type="table" w:styleId="ListTable6Colorful-Accent2">
    <w:name w:val="List Table 6 Colorful Accent 2"/>
    <w:basedOn w:val="TableNormal"/>
    <w:uiPriority w:val="51"/>
    <w:semiHidden/>
    <w:rsid w:val="00776AC3"/>
    <w:pPr>
      <w:spacing w:after="0"/>
    </w:pPr>
    <w:rPr>
      <w:color w:val="8A424E" w:themeColor="accent2" w:themeShade="BF"/>
    </w:rPr>
    <w:tblPr>
      <w:tblStyleRowBandSize w:val="1"/>
      <w:tblStyleColBandSize w:val="1"/>
      <w:tblBorders>
        <w:top w:val="single" w:sz="4" w:space="0" w:color="B35F6D" w:themeColor="accent2"/>
        <w:bottom w:val="single" w:sz="4" w:space="0" w:color="B35F6D" w:themeColor="accent2"/>
      </w:tblBorders>
    </w:tblPr>
    <w:tblStylePr w:type="firstRow">
      <w:rPr>
        <w:b/>
        <w:bCs/>
      </w:rPr>
      <w:tblPr/>
      <w:tcPr>
        <w:tcBorders>
          <w:bottom w:val="single" w:sz="4" w:space="0" w:color="B35F6D" w:themeColor="accent2"/>
        </w:tcBorders>
      </w:tcPr>
    </w:tblStylePr>
    <w:tblStylePr w:type="lastRow">
      <w:rPr>
        <w:b/>
        <w:bCs/>
      </w:rPr>
      <w:tblPr/>
      <w:tcPr>
        <w:tcBorders>
          <w:top w:val="double" w:sz="4" w:space="0" w:color="B35F6D" w:themeColor="accent2"/>
        </w:tcBorders>
      </w:tcPr>
    </w:tblStylePr>
    <w:tblStylePr w:type="firstCol">
      <w:rPr>
        <w:b/>
        <w:bCs/>
      </w:rPr>
    </w:tblStylePr>
    <w:tblStylePr w:type="lastCol">
      <w:rPr>
        <w:b/>
        <w:bCs/>
      </w:rPr>
    </w:tblStylePr>
    <w:tblStylePr w:type="band1Vert">
      <w:tblPr/>
      <w:tcPr>
        <w:shd w:val="clear" w:color="auto" w:fill="EFDEE1" w:themeFill="accent2" w:themeFillTint="33"/>
      </w:tcPr>
    </w:tblStylePr>
    <w:tblStylePr w:type="band1Horz">
      <w:tblPr/>
      <w:tcPr>
        <w:shd w:val="clear" w:color="auto" w:fill="EFDEE1" w:themeFill="accent2" w:themeFillTint="33"/>
      </w:tcPr>
    </w:tblStylePr>
  </w:style>
  <w:style w:type="table" w:styleId="ListTable6Colorful-Accent3">
    <w:name w:val="List Table 6 Colorful Accent 3"/>
    <w:basedOn w:val="TableNormal"/>
    <w:uiPriority w:val="51"/>
    <w:semiHidden/>
    <w:rsid w:val="00776AC3"/>
    <w:pPr>
      <w:spacing w:after="0"/>
    </w:pPr>
    <w:rPr>
      <w:color w:val="AFABAB" w:themeColor="accent3" w:themeShade="BF"/>
    </w:rPr>
    <w:tblPr>
      <w:tblStyleRowBandSize w:val="1"/>
      <w:tblStyleColBandSize w:val="1"/>
      <w:tblBorders>
        <w:top w:val="single" w:sz="4" w:space="0" w:color="E8E7E7" w:themeColor="accent3"/>
        <w:bottom w:val="single" w:sz="4" w:space="0" w:color="E8E7E7" w:themeColor="accent3"/>
      </w:tblBorders>
    </w:tblPr>
    <w:tblStylePr w:type="firstRow">
      <w:rPr>
        <w:b/>
        <w:bCs/>
      </w:rPr>
      <w:tblPr/>
      <w:tcPr>
        <w:tcBorders>
          <w:bottom w:val="single" w:sz="4" w:space="0" w:color="E8E7E7" w:themeColor="accent3"/>
        </w:tcBorders>
      </w:tcPr>
    </w:tblStylePr>
    <w:tblStylePr w:type="lastRow">
      <w:rPr>
        <w:b/>
        <w:bCs/>
      </w:rPr>
      <w:tblPr/>
      <w:tcPr>
        <w:tcBorders>
          <w:top w:val="double" w:sz="4" w:space="0" w:color="E8E7E7" w:themeColor="accent3"/>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6Colorful-Accent4">
    <w:name w:val="List Table 6 Colorful Accent 4"/>
    <w:basedOn w:val="TableNormal"/>
    <w:uiPriority w:val="51"/>
    <w:semiHidden/>
    <w:rsid w:val="00776AC3"/>
    <w:pPr>
      <w:spacing w:after="0"/>
    </w:pPr>
    <w:rPr>
      <w:color w:val="696464" w:themeColor="accent4" w:themeShade="BF"/>
    </w:rPr>
    <w:tblPr>
      <w:tblStyleRowBandSize w:val="1"/>
      <w:tblStyleColBandSize w:val="1"/>
      <w:tblBorders>
        <w:top w:val="single" w:sz="4" w:space="0" w:color="8C8686" w:themeColor="accent4"/>
        <w:bottom w:val="single" w:sz="4" w:space="0" w:color="8C8686" w:themeColor="accent4"/>
      </w:tblBorders>
    </w:tblPr>
    <w:tblStylePr w:type="firstRow">
      <w:rPr>
        <w:b/>
        <w:bCs/>
      </w:rPr>
      <w:tblPr/>
      <w:tcPr>
        <w:tcBorders>
          <w:bottom w:val="single" w:sz="4" w:space="0" w:color="8C8686" w:themeColor="accent4"/>
        </w:tcBorders>
      </w:tcPr>
    </w:tblStylePr>
    <w:tblStylePr w:type="lastRow">
      <w:rPr>
        <w:b/>
        <w:bCs/>
      </w:rPr>
      <w:tblPr/>
      <w:tcPr>
        <w:tcBorders>
          <w:top w:val="double" w:sz="4" w:space="0" w:color="8C8686" w:themeColor="accent4"/>
        </w:tcBorders>
      </w:tcPr>
    </w:tblStylePr>
    <w:tblStylePr w:type="firstCol">
      <w:rPr>
        <w:b/>
        <w:bCs/>
      </w:rPr>
    </w:tblStylePr>
    <w:tblStylePr w:type="lastCol">
      <w:rPr>
        <w:b/>
        <w:bCs/>
      </w:rPr>
    </w:tblStylePr>
    <w:tblStylePr w:type="band1Vert">
      <w:tblPr/>
      <w:tcPr>
        <w:shd w:val="clear" w:color="auto" w:fill="E8E6E6" w:themeFill="accent4" w:themeFillTint="33"/>
      </w:tcPr>
    </w:tblStylePr>
    <w:tblStylePr w:type="band1Horz">
      <w:tblPr/>
      <w:tcPr>
        <w:shd w:val="clear" w:color="auto" w:fill="E8E6E6" w:themeFill="accent4" w:themeFillTint="33"/>
      </w:tcPr>
    </w:tblStylePr>
  </w:style>
  <w:style w:type="table" w:styleId="ListTable6Colorful-Accent5">
    <w:name w:val="List Table 6 Colorful Accent 5"/>
    <w:basedOn w:val="TableNormal"/>
    <w:uiPriority w:val="51"/>
    <w:semiHidden/>
    <w:rsid w:val="00776AC3"/>
    <w:pPr>
      <w:spacing w:after="0"/>
    </w:pPr>
    <w:rPr>
      <w:color w:val="201F1F" w:themeColor="accent5" w:themeShade="BF"/>
    </w:rPr>
    <w:tblPr>
      <w:tblStyleRowBandSize w:val="1"/>
      <w:tblStyleColBandSize w:val="1"/>
      <w:tblBorders>
        <w:top w:val="single" w:sz="4" w:space="0" w:color="2C2A2A" w:themeColor="accent5"/>
        <w:bottom w:val="single" w:sz="4" w:space="0" w:color="2C2A2A" w:themeColor="accent5"/>
      </w:tblBorders>
    </w:tblPr>
    <w:tblStylePr w:type="firstRow">
      <w:rPr>
        <w:b/>
        <w:bCs/>
      </w:rPr>
      <w:tblPr/>
      <w:tcPr>
        <w:tcBorders>
          <w:bottom w:val="single" w:sz="4" w:space="0" w:color="2C2A2A" w:themeColor="accent5"/>
        </w:tcBorders>
      </w:tcPr>
    </w:tblStylePr>
    <w:tblStylePr w:type="lastRow">
      <w:rPr>
        <w:b/>
        <w:bCs/>
      </w:rPr>
      <w:tblPr/>
      <w:tcPr>
        <w:tcBorders>
          <w:top w:val="double" w:sz="4" w:space="0" w:color="2C2A2A" w:themeColor="accent5"/>
        </w:tcBorders>
      </w:tcPr>
    </w:tblStylePr>
    <w:tblStylePr w:type="firstCol">
      <w:rPr>
        <w:b/>
        <w:bCs/>
      </w:rPr>
    </w:tblStylePr>
    <w:tblStylePr w:type="lastCol">
      <w:rPr>
        <w:b/>
        <w:bCs/>
      </w:rPr>
    </w:tblStylePr>
    <w:tblStylePr w:type="band1Vert">
      <w:tblPr/>
      <w:tcPr>
        <w:shd w:val="clear" w:color="auto" w:fill="D5D3D3" w:themeFill="accent5" w:themeFillTint="33"/>
      </w:tcPr>
    </w:tblStylePr>
    <w:tblStylePr w:type="band1Horz">
      <w:tblPr/>
      <w:tcPr>
        <w:shd w:val="clear" w:color="auto" w:fill="D5D3D3" w:themeFill="accent5" w:themeFillTint="33"/>
      </w:tcPr>
    </w:tblStylePr>
  </w:style>
  <w:style w:type="table" w:styleId="ListTable6Colorful-Accent6">
    <w:name w:val="List Table 6 Colorful Accent 6"/>
    <w:basedOn w:val="TableNormal"/>
    <w:uiPriority w:val="51"/>
    <w:semiHidden/>
    <w:rsid w:val="00776AC3"/>
    <w:pPr>
      <w:spacing w:after="0"/>
    </w:pPr>
    <w:rPr>
      <w:color w:val="370A11" w:themeColor="accent6" w:themeShade="BF"/>
    </w:rPr>
    <w:tblPr>
      <w:tblStyleRowBandSize w:val="1"/>
      <w:tblStyleColBandSize w:val="1"/>
      <w:tblBorders>
        <w:top w:val="single" w:sz="4" w:space="0" w:color="4A0E18" w:themeColor="accent6"/>
        <w:bottom w:val="single" w:sz="4" w:space="0" w:color="4A0E18" w:themeColor="accent6"/>
      </w:tblBorders>
    </w:tblPr>
    <w:tblStylePr w:type="firstRow">
      <w:rPr>
        <w:b/>
        <w:bCs/>
      </w:rPr>
      <w:tblPr/>
      <w:tcPr>
        <w:tcBorders>
          <w:bottom w:val="single" w:sz="4" w:space="0" w:color="4A0E18" w:themeColor="accent6"/>
        </w:tcBorders>
      </w:tcPr>
    </w:tblStylePr>
    <w:tblStylePr w:type="lastRow">
      <w:rPr>
        <w:b/>
        <w:bCs/>
      </w:rPr>
      <w:tblPr/>
      <w:tcPr>
        <w:tcBorders>
          <w:top w:val="double" w:sz="4" w:space="0" w:color="4A0E18" w:themeColor="accent6"/>
        </w:tcBorders>
      </w:tcPr>
    </w:tblStylePr>
    <w:tblStylePr w:type="firstCol">
      <w:rPr>
        <w:b/>
        <w:bCs/>
      </w:rPr>
    </w:tblStylePr>
    <w:tblStylePr w:type="lastCol">
      <w:rPr>
        <w:b/>
        <w:bCs/>
      </w:rPr>
    </w:tblStylePr>
    <w:tblStylePr w:type="band1Vert">
      <w:tblPr/>
      <w:tcPr>
        <w:shd w:val="clear" w:color="auto" w:fill="F1B7C1" w:themeFill="accent6" w:themeFillTint="33"/>
      </w:tcPr>
    </w:tblStylePr>
    <w:tblStylePr w:type="band1Horz">
      <w:tblPr/>
      <w:tcPr>
        <w:shd w:val="clear" w:color="auto" w:fill="F1B7C1" w:themeFill="accent6" w:themeFillTint="33"/>
      </w:tcPr>
    </w:tblStylePr>
  </w:style>
  <w:style w:type="table" w:styleId="ListTable7Colorful">
    <w:name w:val="List Table 7 Colorful"/>
    <w:basedOn w:val="TableNormal"/>
    <w:uiPriority w:val="52"/>
    <w:semiHidden/>
    <w:rsid w:val="00776AC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6AC3"/>
    <w:pPr>
      <w:spacing w:after="0"/>
    </w:pPr>
    <w:rPr>
      <w:color w:val="6D14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1B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1B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1B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1B2F" w:themeColor="accent1"/>
        </w:tcBorders>
        <w:shd w:val="clear" w:color="auto" w:fill="FFFFFF" w:themeFill="background1"/>
      </w:tcPr>
    </w:tblStylePr>
    <w:tblStylePr w:type="band1Vert">
      <w:tblPr/>
      <w:tcPr>
        <w:shd w:val="clear" w:color="auto" w:fill="F4C6CD" w:themeFill="accent1" w:themeFillTint="33"/>
      </w:tcPr>
    </w:tblStylePr>
    <w:tblStylePr w:type="band1Horz">
      <w:tblPr/>
      <w:tcPr>
        <w:shd w:val="clear" w:color="auto" w:fill="F4C6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6AC3"/>
    <w:pPr>
      <w:spacing w:after="0"/>
    </w:pPr>
    <w:rPr>
      <w:color w:val="8A424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5F6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5F6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5F6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5F6D" w:themeColor="accent2"/>
        </w:tcBorders>
        <w:shd w:val="clear" w:color="auto" w:fill="FFFFFF" w:themeFill="background1"/>
      </w:tcPr>
    </w:tblStylePr>
    <w:tblStylePr w:type="band1Vert">
      <w:tblPr/>
      <w:tcPr>
        <w:shd w:val="clear" w:color="auto" w:fill="EFDEE1" w:themeFill="accent2" w:themeFillTint="33"/>
      </w:tcPr>
    </w:tblStylePr>
    <w:tblStylePr w:type="band1Horz">
      <w:tblPr/>
      <w:tcPr>
        <w:shd w:val="clear" w:color="auto" w:fill="EF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6AC3"/>
    <w:pPr>
      <w:spacing w:after="0"/>
    </w:pPr>
    <w:rPr>
      <w:color w:val="AFAB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E7E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E7E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E7E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E7E7" w:themeColor="accent3"/>
        </w:tcBorders>
        <w:shd w:val="clear" w:color="auto" w:fill="FFFFFF"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6AC3"/>
    <w:pPr>
      <w:spacing w:after="0"/>
    </w:pPr>
    <w:rPr>
      <w:color w:val="69646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68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68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68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686" w:themeColor="accent4"/>
        </w:tcBorders>
        <w:shd w:val="clear" w:color="auto" w:fill="FFFFFF" w:themeFill="background1"/>
      </w:tcPr>
    </w:tblStylePr>
    <w:tblStylePr w:type="band1Vert">
      <w:tblPr/>
      <w:tcPr>
        <w:shd w:val="clear" w:color="auto" w:fill="E8E6E6" w:themeFill="accent4" w:themeFillTint="33"/>
      </w:tcPr>
    </w:tblStylePr>
    <w:tblStylePr w:type="band1Horz">
      <w:tblPr/>
      <w:tcPr>
        <w:shd w:val="clear" w:color="auto" w:fill="E8E6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6AC3"/>
    <w:pPr>
      <w:spacing w:after="0"/>
    </w:pPr>
    <w:rPr>
      <w:color w:val="201F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2A2A" w:themeColor="accent5"/>
        </w:tcBorders>
        <w:shd w:val="clear" w:color="auto" w:fill="FFFFFF" w:themeFill="background1"/>
      </w:tcPr>
    </w:tblStylePr>
    <w:tblStylePr w:type="band1Vert">
      <w:tblPr/>
      <w:tcPr>
        <w:shd w:val="clear" w:color="auto" w:fill="D5D3D3" w:themeFill="accent5" w:themeFillTint="33"/>
      </w:tcPr>
    </w:tblStylePr>
    <w:tblStylePr w:type="band1Horz">
      <w:tblPr/>
      <w:tcPr>
        <w:shd w:val="clear" w:color="auto" w:fill="D5D3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6AC3"/>
    <w:pPr>
      <w:spacing w:after="0"/>
    </w:pPr>
    <w:rPr>
      <w:color w:val="370A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0E1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0E1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0E1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0E18" w:themeColor="accent6"/>
        </w:tcBorders>
        <w:shd w:val="clear" w:color="auto" w:fill="FFFFFF" w:themeFill="background1"/>
      </w:tcPr>
    </w:tblStylePr>
    <w:tblStylePr w:type="band1Vert">
      <w:tblPr/>
      <w:tcPr>
        <w:shd w:val="clear" w:color="auto" w:fill="F1B7C1" w:themeFill="accent6" w:themeFillTint="33"/>
      </w:tcPr>
    </w:tblStylePr>
    <w:tblStylePr w:type="band1Horz">
      <w:tblPr/>
      <w:tcPr>
        <w:shd w:val="clear" w:color="auto" w:fill="F1B7C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776AC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6AC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6AC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6AC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6AC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6AC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
    <w:name w:val="Plain Table"/>
    <w:basedOn w:val="TableNormal"/>
    <w:uiPriority w:val="99"/>
    <w:rsid w:val="007E171F"/>
    <w:pPr>
      <w:spacing w:after="0"/>
    </w:pPr>
    <w:tblPr>
      <w:tblStyleRowBandSize w:val="1"/>
      <w:tblBorders>
        <w:top w:val="single" w:sz="4" w:space="0" w:color="931B2F" w:themeColor="background2"/>
        <w:bottom w:val="single" w:sz="4" w:space="0" w:color="931B2F" w:themeColor="background2"/>
        <w:insideH w:val="single" w:sz="4" w:space="0" w:color="931B2F" w:themeColor="background2"/>
      </w:tblBorders>
      <w:tblCellMar>
        <w:top w:w="85" w:type="dxa"/>
        <w:left w:w="85" w:type="dxa"/>
        <w:bottom w:w="85" w:type="dxa"/>
        <w:right w:w="85" w:type="dxa"/>
      </w:tblCellMar>
    </w:tblPr>
    <w:tcPr>
      <w:shd w:val="clear" w:color="auto" w:fill="auto"/>
    </w:tcPr>
    <w:tblStylePr w:type="firstRow">
      <w:pPr>
        <w:wordWrap/>
        <w:spacing w:beforeLines="0" w:before="0" w:beforeAutospacing="0" w:afterLines="0" w:after="0" w:afterAutospacing="0"/>
      </w:pPr>
      <w:rPr>
        <w:color w:val="000000" w:themeColor="text1"/>
      </w:rPr>
    </w:tblStylePr>
    <w:tblStylePr w:type="firstCol">
      <w:tblPr/>
      <w:tcPr>
        <w:shd w:val="clear" w:color="auto" w:fill="F2F2F2" w:themeFill="background1" w:themeFillShade="F2"/>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BoxGrid-Black">
    <w:name w:val="Box Grid - Black"/>
    <w:basedOn w:val="TableNormal"/>
    <w:uiPriority w:val="99"/>
    <w:rsid w:val="00776AC3"/>
    <w:pPr>
      <w:spacing w:after="0"/>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table" w:customStyle="1" w:styleId="BoxGrid-Coloured">
    <w:name w:val="Box Grid - Coloured"/>
    <w:basedOn w:val="TableNormal"/>
    <w:uiPriority w:val="99"/>
    <w:rsid w:val="00776AC3"/>
    <w:pPr>
      <w:spacing w:after="0"/>
    </w:pPr>
    <w:tblPr>
      <w:tblBorders>
        <w:top w:val="single" w:sz="8" w:space="0" w:color="931B2F" w:themeColor="background2"/>
        <w:left w:val="single" w:sz="8" w:space="0" w:color="931B2F" w:themeColor="background2"/>
        <w:bottom w:val="single" w:sz="8" w:space="0" w:color="931B2F" w:themeColor="background2"/>
        <w:right w:val="single" w:sz="8" w:space="0" w:color="931B2F" w:themeColor="background2"/>
        <w:insideH w:val="single" w:sz="8" w:space="0" w:color="931B2F" w:themeColor="background2"/>
        <w:insideV w:val="single" w:sz="8" w:space="0" w:color="931B2F" w:themeColor="background2"/>
      </w:tblBorders>
      <w:tblCellMar>
        <w:top w:w="85" w:type="dxa"/>
        <w:left w:w="85" w:type="dxa"/>
        <w:bottom w:w="85" w:type="dxa"/>
        <w:right w:w="85" w:type="dxa"/>
      </w:tblCellMar>
    </w:tblPr>
  </w:style>
  <w:style w:type="paragraph" w:customStyle="1" w:styleId="CoverAddress">
    <w:name w:val="Cover Address"/>
    <w:uiPriority w:val="5"/>
    <w:semiHidden/>
    <w:qFormat/>
    <w:rsid w:val="00E501B2"/>
    <w:pPr>
      <w:spacing w:after="0"/>
      <w:jc w:val="center"/>
    </w:pPr>
    <w:rPr>
      <w:rFonts w:asciiTheme="majorHAnsi" w:hAnsiTheme="majorHAnsi"/>
      <w:color w:val="000000" w:themeColor="text1"/>
      <w:sz w:val="16"/>
    </w:rPr>
  </w:style>
  <w:style w:type="paragraph" w:customStyle="1" w:styleId="CoverTitle">
    <w:name w:val="Cover Title"/>
    <w:basedOn w:val="CoverAddress"/>
    <w:uiPriority w:val="5"/>
    <w:semiHidden/>
    <w:qFormat/>
    <w:rsid w:val="008359C2"/>
    <w:pPr>
      <w:jc w:val="left"/>
    </w:pPr>
    <w:rPr>
      <w:caps/>
      <w:color w:val="931B2F" w:themeColor="background2"/>
      <w:sz w:val="72"/>
    </w:rPr>
  </w:style>
  <w:style w:type="paragraph" w:customStyle="1" w:styleId="TableHeadingBlack">
    <w:name w:val="Table Heading Black"/>
    <w:basedOn w:val="TableHeading"/>
    <w:uiPriority w:val="10"/>
    <w:qFormat/>
    <w:rsid w:val="00BE3476"/>
    <w:rPr>
      <w:color w:val="000000" w:themeColor="text1"/>
    </w:rPr>
  </w:style>
  <w:style w:type="paragraph" w:customStyle="1" w:styleId="TOCSubheading">
    <w:name w:val="TOC Subheading"/>
    <w:basedOn w:val="TOCHeading"/>
    <w:uiPriority w:val="5"/>
    <w:semiHidden/>
    <w:qFormat/>
    <w:rsid w:val="001A73D7"/>
    <w:pPr>
      <w:pageBreakBefore w:val="0"/>
      <w:spacing w:after="200"/>
    </w:pPr>
    <w:rPr>
      <w:b w:val="0"/>
      <w:sz w:val="28"/>
    </w:rPr>
  </w:style>
  <w:style w:type="paragraph" w:customStyle="1" w:styleId="SectionTitle">
    <w:name w:val="Section Title"/>
    <w:basedOn w:val="Normal"/>
    <w:next w:val="Normal"/>
    <w:semiHidden/>
    <w:qFormat/>
    <w:rsid w:val="00FD1ACC"/>
    <w:pPr>
      <w:spacing w:before="200" w:after="400"/>
      <w:outlineLvl w:val="0"/>
    </w:pPr>
    <w:rPr>
      <w:color w:val="931B2F" w:themeColor="background2"/>
      <w:sz w:val="54"/>
    </w:rPr>
  </w:style>
  <w:style w:type="paragraph" w:styleId="ListNumber">
    <w:name w:val="List Number"/>
    <w:basedOn w:val="Normal"/>
    <w:uiPriority w:val="7"/>
    <w:qFormat/>
    <w:rsid w:val="003D0711"/>
    <w:pPr>
      <w:tabs>
        <w:tab w:val="num" w:pos="357"/>
      </w:tabs>
      <w:spacing w:before="100" w:after="100"/>
      <w:ind w:left="357" w:hanging="357"/>
    </w:pPr>
  </w:style>
  <w:style w:type="paragraph" w:customStyle="1" w:styleId="CoverSubtitle">
    <w:name w:val="Cover Subtitle"/>
    <w:basedOn w:val="CoverTitle"/>
    <w:uiPriority w:val="5"/>
    <w:semiHidden/>
    <w:qFormat/>
    <w:rsid w:val="008359C2"/>
    <w:pPr>
      <w:spacing w:before="120" w:after="120"/>
    </w:pPr>
    <w:rPr>
      <w:color w:val="4D4D4D" w:themeColor="text2"/>
      <w:sz w:val="32"/>
    </w:rPr>
  </w:style>
  <w:style w:type="paragraph" w:styleId="ListNumber2">
    <w:name w:val="List Number 2"/>
    <w:basedOn w:val="Normal"/>
    <w:uiPriority w:val="7"/>
    <w:rsid w:val="003D0711"/>
    <w:pPr>
      <w:tabs>
        <w:tab w:val="num" w:pos="714"/>
      </w:tabs>
      <w:spacing w:before="100" w:after="100"/>
      <w:ind w:left="714" w:hanging="357"/>
    </w:pPr>
  </w:style>
  <w:style w:type="paragraph" w:customStyle="1" w:styleId="CoverDate">
    <w:name w:val="Cover Date"/>
    <w:basedOn w:val="CoverAddress"/>
    <w:uiPriority w:val="5"/>
    <w:semiHidden/>
    <w:qFormat/>
    <w:rsid w:val="009933E1"/>
    <w:pPr>
      <w:jc w:val="left"/>
    </w:pPr>
    <w:rPr>
      <w:caps/>
      <w:sz w:val="28"/>
    </w:rPr>
  </w:style>
  <w:style w:type="numbering" w:customStyle="1" w:styleId="HeadingsNumbered">
    <w:name w:val="Headings Numbered"/>
    <w:uiPriority w:val="99"/>
    <w:rsid w:val="00087A56"/>
    <w:pPr>
      <w:numPr>
        <w:numId w:val="7"/>
      </w:numPr>
    </w:pPr>
  </w:style>
  <w:style w:type="paragraph" w:styleId="List3">
    <w:name w:val="List 3"/>
    <w:basedOn w:val="Normal"/>
    <w:uiPriority w:val="7"/>
    <w:rsid w:val="003D0711"/>
    <w:pPr>
      <w:spacing w:before="100" w:after="100"/>
      <w:ind w:left="1071" w:hanging="357"/>
    </w:pPr>
  </w:style>
  <w:style w:type="paragraph" w:styleId="List4">
    <w:name w:val="List 4"/>
    <w:basedOn w:val="Normal"/>
    <w:uiPriority w:val="7"/>
    <w:semiHidden/>
    <w:locked/>
    <w:rsid w:val="00666E93"/>
    <w:pPr>
      <w:numPr>
        <w:ilvl w:val="7"/>
        <w:numId w:val="8"/>
      </w:numPr>
      <w:spacing w:before="180" w:after="180"/>
      <w:ind w:left="2382" w:hanging="397"/>
    </w:pPr>
  </w:style>
  <w:style w:type="paragraph" w:styleId="ListNumber3">
    <w:name w:val="List Number 3"/>
    <w:basedOn w:val="Normal"/>
    <w:uiPriority w:val="7"/>
    <w:rsid w:val="003D0711"/>
    <w:pPr>
      <w:tabs>
        <w:tab w:val="num" w:pos="1072"/>
      </w:tabs>
      <w:spacing w:before="100" w:after="100"/>
      <w:ind w:left="1071" w:hanging="357"/>
    </w:pPr>
  </w:style>
  <w:style w:type="paragraph" w:customStyle="1" w:styleId="1ptspacer">
    <w:name w:val="1pt spacer"/>
    <w:basedOn w:val="Normal"/>
    <w:uiPriority w:val="2"/>
    <w:semiHidden/>
    <w:rsid w:val="00F25945"/>
    <w:pPr>
      <w:spacing w:after="190"/>
      <w:contextualSpacing/>
    </w:pPr>
    <w:rPr>
      <w:rFonts w:eastAsia="Calibri" w:cs="Calibri"/>
      <w:color w:val="E8E7E7" w:themeColor="accent3"/>
      <w:sz w:val="2"/>
    </w:rPr>
  </w:style>
  <w:style w:type="paragraph" w:customStyle="1" w:styleId="CaptionTable">
    <w:name w:val="Caption Table"/>
    <w:basedOn w:val="Caption"/>
    <w:uiPriority w:val="8"/>
    <w:qFormat/>
    <w:rsid w:val="006D794C"/>
    <w:pPr>
      <w:keepNext/>
      <w:keepLines/>
    </w:pPr>
    <w:rPr>
      <w:sz w:val="20"/>
    </w:rPr>
  </w:style>
  <w:style w:type="paragraph" w:customStyle="1" w:styleId="CaptionFigure">
    <w:name w:val="Caption Figure"/>
    <w:basedOn w:val="CaptionTable"/>
    <w:uiPriority w:val="8"/>
    <w:qFormat/>
    <w:rsid w:val="006D794C"/>
  </w:style>
  <w:style w:type="paragraph" w:styleId="TableofFigures">
    <w:name w:val="table of figures"/>
    <w:basedOn w:val="Normal"/>
    <w:next w:val="Normal"/>
    <w:uiPriority w:val="99"/>
    <w:unhideWhenUsed/>
    <w:locked/>
    <w:rsid w:val="001A73D7"/>
    <w:pPr>
      <w:tabs>
        <w:tab w:val="left" w:pos="993"/>
        <w:tab w:val="right" w:leader="dot" w:pos="9628"/>
      </w:tabs>
      <w:ind w:left="992" w:hanging="992"/>
      <w:contextualSpacing/>
    </w:pPr>
    <w:rPr>
      <w:rFonts w:eastAsiaTheme="minorEastAsia"/>
      <w:color w:val="auto"/>
      <w:szCs w:val="22"/>
      <w:lang w:eastAsia="en-AU"/>
    </w:rPr>
  </w:style>
  <w:style w:type="paragraph" w:customStyle="1" w:styleId="TableTitle">
    <w:name w:val="Table Title"/>
    <w:basedOn w:val="Caption"/>
    <w:uiPriority w:val="8"/>
    <w:qFormat/>
    <w:rsid w:val="00C41308"/>
    <w:rPr>
      <w:color w:val="931B2F" w:themeColor="background2"/>
    </w:rPr>
  </w:style>
  <w:style w:type="paragraph" w:customStyle="1" w:styleId="NormalSingleSpacing">
    <w:name w:val="Normal Single Spacing"/>
    <w:basedOn w:val="Normal"/>
    <w:uiPriority w:val="5"/>
    <w:qFormat/>
    <w:rsid w:val="008404DE"/>
    <w:pPr>
      <w:spacing w:after="0"/>
    </w:pPr>
  </w:style>
  <w:style w:type="paragraph" w:styleId="Revision">
    <w:name w:val="Revision"/>
    <w:hidden/>
    <w:uiPriority w:val="99"/>
    <w:semiHidden/>
    <w:rsid w:val="00396FC6"/>
    <w:pPr>
      <w:spacing w:after="0"/>
    </w:pPr>
    <w:rPr>
      <w:color w:val="000000" w:themeColor="text1"/>
      <w:sz w:val="24"/>
    </w:rPr>
  </w:style>
  <w:style w:type="character" w:styleId="Mention">
    <w:name w:val="Mention"/>
    <w:basedOn w:val="DefaultParagraphFont"/>
    <w:uiPriority w:val="99"/>
    <w:unhideWhenUsed/>
    <w:rsid w:val="00452A91"/>
    <w:rPr>
      <w:color w:val="2B579A"/>
      <w:shd w:val="clear" w:color="auto" w:fill="E1DFDD"/>
    </w:rPr>
  </w:style>
  <w:style w:type="paragraph" w:customStyle="1" w:styleId="ListBullet1">
    <w:name w:val="List Bullet1"/>
    <w:basedOn w:val="Normal"/>
    <w:next w:val="ListBullet"/>
    <w:uiPriority w:val="6"/>
    <w:qFormat/>
    <w:rsid w:val="00993724"/>
    <w:pPr>
      <w:tabs>
        <w:tab w:val="num" w:pos="360"/>
      </w:tabs>
      <w:spacing w:before="100" w:after="100"/>
    </w:pPr>
    <w:rPr>
      <w:color w:val="000000"/>
    </w:rPr>
  </w:style>
  <w:style w:type="character" w:customStyle="1" w:styleId="ListParagraphChar">
    <w:name w:val="List Paragraph Char"/>
    <w:aliases w:val="Dot Points Char,List Paragraph1 Char,Recommendation Char,List Paragraph11 Char,L Char,Bullet point Char,Bulletr List Paragraph Char,FooterText Char,List Paragraph Number Char,List Paragraph2 Char,List Paragraph21 Char,列 Char"/>
    <w:link w:val="ListParagraph"/>
    <w:uiPriority w:val="34"/>
    <w:qFormat/>
    <w:locked/>
    <w:rsid w:val="005F71A2"/>
    <w:rPr>
      <w:color w:val="000000" w:themeColor="text1"/>
      <w:sz w:val="22"/>
    </w:rPr>
  </w:style>
  <w:style w:type="paragraph" w:customStyle="1" w:styleId="p1">
    <w:name w:val="p1"/>
    <w:basedOn w:val="Normal"/>
    <w:rsid w:val="005F71A2"/>
    <w:pPr>
      <w:spacing w:after="0"/>
    </w:pPr>
    <w:rPr>
      <w:rFonts w:ascii="Helvetica" w:eastAsia="Times New Roman" w:hAnsi="Helvetica" w:cs="Times New Roman"/>
      <w:color w:val="323133"/>
      <w:sz w:val="18"/>
      <w:szCs w:val="18"/>
      <w:lang w:eastAsia="en-GB"/>
    </w:rPr>
  </w:style>
  <w:style w:type="numbering" w:customStyle="1" w:styleId="CurrentList1">
    <w:name w:val="Current List1"/>
    <w:uiPriority w:val="99"/>
    <w:rsid w:val="00462C12"/>
    <w:pPr>
      <w:numPr>
        <w:numId w:val="30"/>
      </w:numPr>
    </w:pPr>
  </w:style>
  <w:style w:type="numbering" w:customStyle="1" w:styleId="CurrentList2">
    <w:name w:val="Current List2"/>
    <w:uiPriority w:val="99"/>
    <w:rsid w:val="00462C12"/>
    <w:pPr>
      <w:numPr>
        <w:numId w:val="10"/>
      </w:numPr>
    </w:pPr>
  </w:style>
  <w:style w:type="paragraph" w:customStyle="1" w:styleId="pf0">
    <w:name w:val="pf0"/>
    <w:basedOn w:val="Normal"/>
    <w:rsid w:val="005D493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5D4938"/>
    <w:rPr>
      <w:rFonts w:ascii="Segoe UI" w:hAnsi="Segoe UI" w:cs="Segoe UI" w:hint="default"/>
      <w:i/>
      <w:iCs/>
      <w:sz w:val="18"/>
      <w:szCs w:val="18"/>
    </w:rPr>
  </w:style>
  <w:style w:type="numbering" w:customStyle="1" w:styleId="CurrentList3">
    <w:name w:val="Current List3"/>
    <w:uiPriority w:val="99"/>
    <w:rsid w:val="00462C12"/>
    <w:pPr>
      <w:numPr>
        <w:numId w:val="24"/>
      </w:numPr>
    </w:pPr>
  </w:style>
  <w:style w:type="paragraph" w:customStyle="1" w:styleId="BodyTextAfterBullets">
    <w:name w:val="Body Text After Bullets"/>
    <w:basedOn w:val="BodyText"/>
    <w:uiPriority w:val="1"/>
    <w:qFormat/>
    <w:rsid w:val="00A41BDF"/>
    <w:pPr>
      <w:spacing w:before="180" w:after="180" w:line="264" w:lineRule="auto"/>
    </w:pPr>
    <w:rPr>
      <w:rFonts w:eastAsiaTheme="minorHAnsi"/>
      <w:spacing w:val="-5"/>
      <w:sz w:val="24"/>
      <w:szCs w:val="22"/>
    </w:rPr>
  </w:style>
  <w:style w:type="numbering" w:customStyle="1" w:styleId="CurrentList4">
    <w:name w:val="Current List4"/>
    <w:uiPriority w:val="99"/>
    <w:rsid w:val="00462C12"/>
    <w:pPr>
      <w:numPr>
        <w:numId w:val="28"/>
      </w:numPr>
    </w:pPr>
  </w:style>
  <w:style w:type="character" w:customStyle="1" w:styleId="tagcontainer75w6">
    <w:name w:val="tag_container__7_5w6"/>
    <w:basedOn w:val="DefaultParagraphFont"/>
    <w:rsid w:val="00C46ACF"/>
  </w:style>
  <w:style w:type="character" w:customStyle="1" w:styleId="apple-converted-space">
    <w:name w:val="apple-converted-space"/>
    <w:basedOn w:val="DefaultParagraphFont"/>
    <w:rsid w:val="00C46ACF"/>
  </w:style>
  <w:style w:type="paragraph" w:styleId="TOC4">
    <w:name w:val="toc 4"/>
    <w:basedOn w:val="Normal"/>
    <w:next w:val="Normal"/>
    <w:autoRedefine/>
    <w:uiPriority w:val="39"/>
    <w:unhideWhenUsed/>
    <w:locked/>
    <w:rsid w:val="004A55CC"/>
    <w:pPr>
      <w:spacing w:after="100" w:line="278" w:lineRule="auto"/>
      <w:ind w:left="720"/>
    </w:pPr>
    <w:rPr>
      <w:rFonts w:eastAsiaTheme="minorEastAsia"/>
      <w:color w:val="auto"/>
      <w:kern w:val="2"/>
      <w:sz w:val="24"/>
      <w:szCs w:val="24"/>
      <w:lang w:eastAsia="en-AU"/>
      <w14:ligatures w14:val="standardContextual"/>
    </w:rPr>
  </w:style>
  <w:style w:type="paragraph" w:styleId="TOC5">
    <w:name w:val="toc 5"/>
    <w:basedOn w:val="Normal"/>
    <w:next w:val="Normal"/>
    <w:autoRedefine/>
    <w:uiPriority w:val="39"/>
    <w:unhideWhenUsed/>
    <w:locked/>
    <w:rsid w:val="004A55CC"/>
    <w:pPr>
      <w:spacing w:after="100" w:line="278" w:lineRule="auto"/>
      <w:ind w:left="960"/>
    </w:pPr>
    <w:rPr>
      <w:rFonts w:eastAsiaTheme="minorEastAsia"/>
      <w:color w:val="auto"/>
      <w:kern w:val="2"/>
      <w:sz w:val="24"/>
      <w:szCs w:val="24"/>
      <w:lang w:eastAsia="en-AU"/>
      <w14:ligatures w14:val="standardContextual"/>
    </w:rPr>
  </w:style>
  <w:style w:type="paragraph" w:styleId="TOC6">
    <w:name w:val="toc 6"/>
    <w:basedOn w:val="Normal"/>
    <w:next w:val="Normal"/>
    <w:autoRedefine/>
    <w:uiPriority w:val="39"/>
    <w:unhideWhenUsed/>
    <w:locked/>
    <w:rsid w:val="004A55CC"/>
    <w:pPr>
      <w:spacing w:after="100" w:line="278" w:lineRule="auto"/>
      <w:ind w:left="1200"/>
    </w:pPr>
    <w:rPr>
      <w:rFonts w:eastAsiaTheme="minorEastAsia"/>
      <w:color w:val="auto"/>
      <w:kern w:val="2"/>
      <w:sz w:val="24"/>
      <w:szCs w:val="24"/>
      <w:lang w:eastAsia="en-AU"/>
      <w14:ligatures w14:val="standardContextual"/>
    </w:rPr>
  </w:style>
  <w:style w:type="paragraph" w:styleId="TOC7">
    <w:name w:val="toc 7"/>
    <w:basedOn w:val="Normal"/>
    <w:next w:val="Normal"/>
    <w:autoRedefine/>
    <w:uiPriority w:val="39"/>
    <w:unhideWhenUsed/>
    <w:locked/>
    <w:rsid w:val="004A55CC"/>
    <w:pPr>
      <w:spacing w:after="100" w:line="278" w:lineRule="auto"/>
      <w:ind w:left="1440"/>
    </w:pPr>
    <w:rPr>
      <w:rFonts w:eastAsiaTheme="minorEastAsia"/>
      <w:color w:val="auto"/>
      <w:kern w:val="2"/>
      <w:sz w:val="24"/>
      <w:szCs w:val="24"/>
      <w:lang w:eastAsia="en-AU"/>
      <w14:ligatures w14:val="standardContextual"/>
    </w:rPr>
  </w:style>
  <w:style w:type="paragraph" w:styleId="TOC8">
    <w:name w:val="toc 8"/>
    <w:basedOn w:val="Normal"/>
    <w:next w:val="Normal"/>
    <w:autoRedefine/>
    <w:uiPriority w:val="39"/>
    <w:unhideWhenUsed/>
    <w:locked/>
    <w:rsid w:val="004A55CC"/>
    <w:pPr>
      <w:spacing w:after="100" w:line="278" w:lineRule="auto"/>
      <w:ind w:left="1680"/>
    </w:pPr>
    <w:rPr>
      <w:rFonts w:eastAsiaTheme="minorEastAsia"/>
      <w:color w:val="auto"/>
      <w:kern w:val="2"/>
      <w:sz w:val="24"/>
      <w:szCs w:val="24"/>
      <w:lang w:eastAsia="en-AU"/>
      <w14:ligatures w14:val="standardContextual"/>
    </w:rPr>
  </w:style>
  <w:style w:type="paragraph" w:styleId="TOC9">
    <w:name w:val="toc 9"/>
    <w:basedOn w:val="Normal"/>
    <w:next w:val="Normal"/>
    <w:autoRedefine/>
    <w:uiPriority w:val="39"/>
    <w:unhideWhenUsed/>
    <w:locked/>
    <w:rsid w:val="004A55CC"/>
    <w:pPr>
      <w:spacing w:after="100" w:line="278" w:lineRule="auto"/>
      <w:ind w:left="1920"/>
    </w:pPr>
    <w:rPr>
      <w:rFonts w:eastAsiaTheme="minorEastAsia"/>
      <w:color w:val="auto"/>
      <w:kern w:val="2"/>
      <w:sz w:val="24"/>
      <w:szCs w:val="24"/>
      <w:lang w:eastAsia="en-AU"/>
      <w14:ligatures w14:val="standardContextual"/>
    </w:rPr>
  </w:style>
  <w:style w:type="paragraph" w:customStyle="1" w:styleId="pf1">
    <w:name w:val="pf1"/>
    <w:basedOn w:val="Normal"/>
    <w:rsid w:val="007B092D"/>
    <w:pPr>
      <w:spacing w:before="100" w:beforeAutospacing="1" w:after="100" w:afterAutospacing="1"/>
      <w:ind w:left="720"/>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1228">
      <w:bodyDiv w:val="1"/>
      <w:marLeft w:val="0"/>
      <w:marRight w:val="0"/>
      <w:marTop w:val="0"/>
      <w:marBottom w:val="0"/>
      <w:divBdr>
        <w:top w:val="none" w:sz="0" w:space="0" w:color="auto"/>
        <w:left w:val="none" w:sz="0" w:space="0" w:color="auto"/>
        <w:bottom w:val="none" w:sz="0" w:space="0" w:color="auto"/>
        <w:right w:val="none" w:sz="0" w:space="0" w:color="auto"/>
      </w:divBdr>
    </w:div>
    <w:div w:id="43991328">
      <w:bodyDiv w:val="1"/>
      <w:marLeft w:val="0"/>
      <w:marRight w:val="0"/>
      <w:marTop w:val="0"/>
      <w:marBottom w:val="0"/>
      <w:divBdr>
        <w:top w:val="none" w:sz="0" w:space="0" w:color="auto"/>
        <w:left w:val="none" w:sz="0" w:space="0" w:color="auto"/>
        <w:bottom w:val="none" w:sz="0" w:space="0" w:color="auto"/>
        <w:right w:val="none" w:sz="0" w:space="0" w:color="auto"/>
      </w:divBdr>
    </w:div>
    <w:div w:id="49116440">
      <w:bodyDiv w:val="1"/>
      <w:marLeft w:val="0"/>
      <w:marRight w:val="0"/>
      <w:marTop w:val="0"/>
      <w:marBottom w:val="0"/>
      <w:divBdr>
        <w:top w:val="none" w:sz="0" w:space="0" w:color="auto"/>
        <w:left w:val="none" w:sz="0" w:space="0" w:color="auto"/>
        <w:bottom w:val="none" w:sz="0" w:space="0" w:color="auto"/>
        <w:right w:val="none" w:sz="0" w:space="0" w:color="auto"/>
      </w:divBdr>
    </w:div>
    <w:div w:id="50085398">
      <w:bodyDiv w:val="1"/>
      <w:marLeft w:val="0"/>
      <w:marRight w:val="0"/>
      <w:marTop w:val="0"/>
      <w:marBottom w:val="0"/>
      <w:divBdr>
        <w:top w:val="none" w:sz="0" w:space="0" w:color="auto"/>
        <w:left w:val="none" w:sz="0" w:space="0" w:color="auto"/>
        <w:bottom w:val="none" w:sz="0" w:space="0" w:color="auto"/>
        <w:right w:val="none" w:sz="0" w:space="0" w:color="auto"/>
      </w:divBdr>
    </w:div>
    <w:div w:id="60711656">
      <w:bodyDiv w:val="1"/>
      <w:marLeft w:val="0"/>
      <w:marRight w:val="0"/>
      <w:marTop w:val="0"/>
      <w:marBottom w:val="0"/>
      <w:divBdr>
        <w:top w:val="none" w:sz="0" w:space="0" w:color="auto"/>
        <w:left w:val="none" w:sz="0" w:space="0" w:color="auto"/>
        <w:bottom w:val="none" w:sz="0" w:space="0" w:color="auto"/>
        <w:right w:val="none" w:sz="0" w:space="0" w:color="auto"/>
      </w:divBdr>
    </w:div>
    <w:div w:id="90860794">
      <w:bodyDiv w:val="1"/>
      <w:marLeft w:val="0"/>
      <w:marRight w:val="0"/>
      <w:marTop w:val="0"/>
      <w:marBottom w:val="0"/>
      <w:divBdr>
        <w:top w:val="none" w:sz="0" w:space="0" w:color="auto"/>
        <w:left w:val="none" w:sz="0" w:space="0" w:color="auto"/>
        <w:bottom w:val="none" w:sz="0" w:space="0" w:color="auto"/>
        <w:right w:val="none" w:sz="0" w:space="0" w:color="auto"/>
      </w:divBdr>
    </w:div>
    <w:div w:id="128017259">
      <w:bodyDiv w:val="1"/>
      <w:marLeft w:val="0"/>
      <w:marRight w:val="0"/>
      <w:marTop w:val="0"/>
      <w:marBottom w:val="0"/>
      <w:divBdr>
        <w:top w:val="none" w:sz="0" w:space="0" w:color="auto"/>
        <w:left w:val="none" w:sz="0" w:space="0" w:color="auto"/>
        <w:bottom w:val="none" w:sz="0" w:space="0" w:color="auto"/>
        <w:right w:val="none" w:sz="0" w:space="0" w:color="auto"/>
      </w:divBdr>
    </w:div>
    <w:div w:id="146216223">
      <w:bodyDiv w:val="1"/>
      <w:marLeft w:val="0"/>
      <w:marRight w:val="0"/>
      <w:marTop w:val="0"/>
      <w:marBottom w:val="0"/>
      <w:divBdr>
        <w:top w:val="none" w:sz="0" w:space="0" w:color="auto"/>
        <w:left w:val="none" w:sz="0" w:space="0" w:color="auto"/>
        <w:bottom w:val="none" w:sz="0" w:space="0" w:color="auto"/>
        <w:right w:val="none" w:sz="0" w:space="0" w:color="auto"/>
      </w:divBdr>
    </w:div>
    <w:div w:id="161287381">
      <w:bodyDiv w:val="1"/>
      <w:marLeft w:val="0"/>
      <w:marRight w:val="0"/>
      <w:marTop w:val="0"/>
      <w:marBottom w:val="0"/>
      <w:divBdr>
        <w:top w:val="none" w:sz="0" w:space="0" w:color="auto"/>
        <w:left w:val="none" w:sz="0" w:space="0" w:color="auto"/>
        <w:bottom w:val="none" w:sz="0" w:space="0" w:color="auto"/>
        <w:right w:val="none" w:sz="0" w:space="0" w:color="auto"/>
      </w:divBdr>
    </w:div>
    <w:div w:id="168378057">
      <w:bodyDiv w:val="1"/>
      <w:marLeft w:val="0"/>
      <w:marRight w:val="0"/>
      <w:marTop w:val="0"/>
      <w:marBottom w:val="0"/>
      <w:divBdr>
        <w:top w:val="none" w:sz="0" w:space="0" w:color="auto"/>
        <w:left w:val="none" w:sz="0" w:space="0" w:color="auto"/>
        <w:bottom w:val="none" w:sz="0" w:space="0" w:color="auto"/>
        <w:right w:val="none" w:sz="0" w:space="0" w:color="auto"/>
      </w:divBdr>
    </w:div>
    <w:div w:id="179273449">
      <w:bodyDiv w:val="1"/>
      <w:marLeft w:val="0"/>
      <w:marRight w:val="0"/>
      <w:marTop w:val="0"/>
      <w:marBottom w:val="0"/>
      <w:divBdr>
        <w:top w:val="none" w:sz="0" w:space="0" w:color="auto"/>
        <w:left w:val="none" w:sz="0" w:space="0" w:color="auto"/>
        <w:bottom w:val="none" w:sz="0" w:space="0" w:color="auto"/>
        <w:right w:val="none" w:sz="0" w:space="0" w:color="auto"/>
      </w:divBdr>
    </w:div>
    <w:div w:id="220529381">
      <w:bodyDiv w:val="1"/>
      <w:marLeft w:val="0"/>
      <w:marRight w:val="0"/>
      <w:marTop w:val="0"/>
      <w:marBottom w:val="0"/>
      <w:divBdr>
        <w:top w:val="none" w:sz="0" w:space="0" w:color="auto"/>
        <w:left w:val="none" w:sz="0" w:space="0" w:color="auto"/>
        <w:bottom w:val="none" w:sz="0" w:space="0" w:color="auto"/>
        <w:right w:val="none" w:sz="0" w:space="0" w:color="auto"/>
      </w:divBdr>
    </w:div>
    <w:div w:id="291447928">
      <w:bodyDiv w:val="1"/>
      <w:marLeft w:val="0"/>
      <w:marRight w:val="0"/>
      <w:marTop w:val="0"/>
      <w:marBottom w:val="0"/>
      <w:divBdr>
        <w:top w:val="none" w:sz="0" w:space="0" w:color="auto"/>
        <w:left w:val="none" w:sz="0" w:space="0" w:color="auto"/>
        <w:bottom w:val="none" w:sz="0" w:space="0" w:color="auto"/>
        <w:right w:val="none" w:sz="0" w:space="0" w:color="auto"/>
      </w:divBdr>
    </w:div>
    <w:div w:id="295451938">
      <w:bodyDiv w:val="1"/>
      <w:marLeft w:val="0"/>
      <w:marRight w:val="0"/>
      <w:marTop w:val="0"/>
      <w:marBottom w:val="0"/>
      <w:divBdr>
        <w:top w:val="none" w:sz="0" w:space="0" w:color="auto"/>
        <w:left w:val="none" w:sz="0" w:space="0" w:color="auto"/>
        <w:bottom w:val="none" w:sz="0" w:space="0" w:color="auto"/>
        <w:right w:val="none" w:sz="0" w:space="0" w:color="auto"/>
      </w:divBdr>
    </w:div>
    <w:div w:id="302079385">
      <w:bodyDiv w:val="1"/>
      <w:marLeft w:val="0"/>
      <w:marRight w:val="0"/>
      <w:marTop w:val="0"/>
      <w:marBottom w:val="0"/>
      <w:divBdr>
        <w:top w:val="none" w:sz="0" w:space="0" w:color="auto"/>
        <w:left w:val="none" w:sz="0" w:space="0" w:color="auto"/>
        <w:bottom w:val="none" w:sz="0" w:space="0" w:color="auto"/>
        <w:right w:val="none" w:sz="0" w:space="0" w:color="auto"/>
      </w:divBdr>
    </w:div>
    <w:div w:id="342244096">
      <w:bodyDiv w:val="1"/>
      <w:marLeft w:val="0"/>
      <w:marRight w:val="0"/>
      <w:marTop w:val="0"/>
      <w:marBottom w:val="0"/>
      <w:divBdr>
        <w:top w:val="none" w:sz="0" w:space="0" w:color="auto"/>
        <w:left w:val="none" w:sz="0" w:space="0" w:color="auto"/>
        <w:bottom w:val="none" w:sz="0" w:space="0" w:color="auto"/>
        <w:right w:val="none" w:sz="0" w:space="0" w:color="auto"/>
      </w:divBdr>
    </w:div>
    <w:div w:id="398790370">
      <w:bodyDiv w:val="1"/>
      <w:marLeft w:val="0"/>
      <w:marRight w:val="0"/>
      <w:marTop w:val="0"/>
      <w:marBottom w:val="0"/>
      <w:divBdr>
        <w:top w:val="none" w:sz="0" w:space="0" w:color="auto"/>
        <w:left w:val="none" w:sz="0" w:space="0" w:color="auto"/>
        <w:bottom w:val="none" w:sz="0" w:space="0" w:color="auto"/>
        <w:right w:val="none" w:sz="0" w:space="0" w:color="auto"/>
      </w:divBdr>
    </w:div>
    <w:div w:id="417867350">
      <w:bodyDiv w:val="1"/>
      <w:marLeft w:val="0"/>
      <w:marRight w:val="0"/>
      <w:marTop w:val="0"/>
      <w:marBottom w:val="0"/>
      <w:divBdr>
        <w:top w:val="none" w:sz="0" w:space="0" w:color="auto"/>
        <w:left w:val="none" w:sz="0" w:space="0" w:color="auto"/>
        <w:bottom w:val="none" w:sz="0" w:space="0" w:color="auto"/>
        <w:right w:val="none" w:sz="0" w:space="0" w:color="auto"/>
      </w:divBdr>
    </w:div>
    <w:div w:id="493835080">
      <w:bodyDiv w:val="1"/>
      <w:marLeft w:val="0"/>
      <w:marRight w:val="0"/>
      <w:marTop w:val="0"/>
      <w:marBottom w:val="0"/>
      <w:divBdr>
        <w:top w:val="none" w:sz="0" w:space="0" w:color="auto"/>
        <w:left w:val="none" w:sz="0" w:space="0" w:color="auto"/>
        <w:bottom w:val="none" w:sz="0" w:space="0" w:color="auto"/>
        <w:right w:val="none" w:sz="0" w:space="0" w:color="auto"/>
      </w:divBdr>
    </w:div>
    <w:div w:id="509181903">
      <w:bodyDiv w:val="1"/>
      <w:marLeft w:val="0"/>
      <w:marRight w:val="0"/>
      <w:marTop w:val="0"/>
      <w:marBottom w:val="0"/>
      <w:divBdr>
        <w:top w:val="none" w:sz="0" w:space="0" w:color="auto"/>
        <w:left w:val="none" w:sz="0" w:space="0" w:color="auto"/>
        <w:bottom w:val="none" w:sz="0" w:space="0" w:color="auto"/>
        <w:right w:val="none" w:sz="0" w:space="0" w:color="auto"/>
      </w:divBdr>
    </w:div>
    <w:div w:id="550847113">
      <w:bodyDiv w:val="1"/>
      <w:marLeft w:val="0"/>
      <w:marRight w:val="0"/>
      <w:marTop w:val="0"/>
      <w:marBottom w:val="0"/>
      <w:divBdr>
        <w:top w:val="none" w:sz="0" w:space="0" w:color="auto"/>
        <w:left w:val="none" w:sz="0" w:space="0" w:color="auto"/>
        <w:bottom w:val="none" w:sz="0" w:space="0" w:color="auto"/>
        <w:right w:val="none" w:sz="0" w:space="0" w:color="auto"/>
      </w:divBdr>
    </w:div>
    <w:div w:id="717818428">
      <w:bodyDiv w:val="1"/>
      <w:marLeft w:val="0"/>
      <w:marRight w:val="0"/>
      <w:marTop w:val="0"/>
      <w:marBottom w:val="0"/>
      <w:divBdr>
        <w:top w:val="none" w:sz="0" w:space="0" w:color="auto"/>
        <w:left w:val="none" w:sz="0" w:space="0" w:color="auto"/>
        <w:bottom w:val="none" w:sz="0" w:space="0" w:color="auto"/>
        <w:right w:val="none" w:sz="0" w:space="0" w:color="auto"/>
      </w:divBdr>
    </w:div>
    <w:div w:id="733353976">
      <w:bodyDiv w:val="1"/>
      <w:marLeft w:val="0"/>
      <w:marRight w:val="0"/>
      <w:marTop w:val="0"/>
      <w:marBottom w:val="0"/>
      <w:divBdr>
        <w:top w:val="none" w:sz="0" w:space="0" w:color="auto"/>
        <w:left w:val="none" w:sz="0" w:space="0" w:color="auto"/>
        <w:bottom w:val="none" w:sz="0" w:space="0" w:color="auto"/>
        <w:right w:val="none" w:sz="0" w:space="0" w:color="auto"/>
      </w:divBdr>
    </w:div>
    <w:div w:id="746343936">
      <w:bodyDiv w:val="1"/>
      <w:marLeft w:val="0"/>
      <w:marRight w:val="0"/>
      <w:marTop w:val="0"/>
      <w:marBottom w:val="0"/>
      <w:divBdr>
        <w:top w:val="none" w:sz="0" w:space="0" w:color="auto"/>
        <w:left w:val="none" w:sz="0" w:space="0" w:color="auto"/>
        <w:bottom w:val="none" w:sz="0" w:space="0" w:color="auto"/>
        <w:right w:val="none" w:sz="0" w:space="0" w:color="auto"/>
      </w:divBdr>
    </w:div>
    <w:div w:id="759566329">
      <w:bodyDiv w:val="1"/>
      <w:marLeft w:val="0"/>
      <w:marRight w:val="0"/>
      <w:marTop w:val="0"/>
      <w:marBottom w:val="0"/>
      <w:divBdr>
        <w:top w:val="none" w:sz="0" w:space="0" w:color="auto"/>
        <w:left w:val="none" w:sz="0" w:space="0" w:color="auto"/>
        <w:bottom w:val="none" w:sz="0" w:space="0" w:color="auto"/>
        <w:right w:val="none" w:sz="0" w:space="0" w:color="auto"/>
      </w:divBdr>
      <w:divsChild>
        <w:div w:id="1214924779">
          <w:marLeft w:val="0"/>
          <w:marRight w:val="0"/>
          <w:marTop w:val="0"/>
          <w:marBottom w:val="0"/>
          <w:divBdr>
            <w:top w:val="none" w:sz="0" w:space="0" w:color="auto"/>
            <w:left w:val="none" w:sz="0" w:space="0" w:color="auto"/>
            <w:bottom w:val="none" w:sz="0" w:space="0" w:color="auto"/>
            <w:right w:val="none" w:sz="0" w:space="0" w:color="auto"/>
          </w:divBdr>
          <w:divsChild>
            <w:div w:id="229970030">
              <w:marLeft w:val="0"/>
              <w:marRight w:val="0"/>
              <w:marTop w:val="0"/>
              <w:marBottom w:val="0"/>
              <w:divBdr>
                <w:top w:val="none" w:sz="0" w:space="0" w:color="auto"/>
                <w:left w:val="none" w:sz="0" w:space="0" w:color="auto"/>
                <w:bottom w:val="none" w:sz="0" w:space="0" w:color="auto"/>
                <w:right w:val="none" w:sz="0" w:space="0" w:color="auto"/>
              </w:divBdr>
              <w:divsChild>
                <w:div w:id="532378719">
                  <w:marLeft w:val="0"/>
                  <w:marRight w:val="0"/>
                  <w:marTop w:val="0"/>
                  <w:marBottom w:val="0"/>
                  <w:divBdr>
                    <w:top w:val="none" w:sz="0" w:space="0" w:color="auto"/>
                    <w:left w:val="none" w:sz="0" w:space="0" w:color="auto"/>
                    <w:bottom w:val="none" w:sz="0" w:space="0" w:color="auto"/>
                    <w:right w:val="none" w:sz="0" w:space="0" w:color="auto"/>
                  </w:divBdr>
                  <w:divsChild>
                    <w:div w:id="364214581">
                      <w:marLeft w:val="0"/>
                      <w:marRight w:val="0"/>
                      <w:marTop w:val="0"/>
                      <w:marBottom w:val="0"/>
                      <w:divBdr>
                        <w:top w:val="none" w:sz="0" w:space="0" w:color="auto"/>
                        <w:left w:val="none" w:sz="0" w:space="0" w:color="auto"/>
                        <w:bottom w:val="none" w:sz="0" w:space="0" w:color="auto"/>
                        <w:right w:val="none" w:sz="0" w:space="0" w:color="auto"/>
                      </w:divBdr>
                      <w:divsChild>
                        <w:div w:id="4175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091913">
      <w:bodyDiv w:val="1"/>
      <w:marLeft w:val="0"/>
      <w:marRight w:val="0"/>
      <w:marTop w:val="0"/>
      <w:marBottom w:val="0"/>
      <w:divBdr>
        <w:top w:val="none" w:sz="0" w:space="0" w:color="auto"/>
        <w:left w:val="none" w:sz="0" w:space="0" w:color="auto"/>
        <w:bottom w:val="none" w:sz="0" w:space="0" w:color="auto"/>
        <w:right w:val="none" w:sz="0" w:space="0" w:color="auto"/>
      </w:divBdr>
    </w:div>
    <w:div w:id="958071201">
      <w:bodyDiv w:val="1"/>
      <w:marLeft w:val="0"/>
      <w:marRight w:val="0"/>
      <w:marTop w:val="0"/>
      <w:marBottom w:val="0"/>
      <w:divBdr>
        <w:top w:val="none" w:sz="0" w:space="0" w:color="auto"/>
        <w:left w:val="none" w:sz="0" w:space="0" w:color="auto"/>
        <w:bottom w:val="none" w:sz="0" w:space="0" w:color="auto"/>
        <w:right w:val="none" w:sz="0" w:space="0" w:color="auto"/>
      </w:divBdr>
      <w:divsChild>
        <w:div w:id="252709020">
          <w:marLeft w:val="0"/>
          <w:marRight w:val="0"/>
          <w:marTop w:val="0"/>
          <w:marBottom w:val="0"/>
          <w:divBdr>
            <w:top w:val="none" w:sz="0" w:space="0" w:color="auto"/>
            <w:left w:val="none" w:sz="0" w:space="0" w:color="auto"/>
            <w:bottom w:val="none" w:sz="0" w:space="0" w:color="auto"/>
            <w:right w:val="none" w:sz="0" w:space="0" w:color="auto"/>
          </w:divBdr>
          <w:divsChild>
            <w:div w:id="989402494">
              <w:marLeft w:val="0"/>
              <w:marRight w:val="0"/>
              <w:marTop w:val="0"/>
              <w:marBottom w:val="0"/>
              <w:divBdr>
                <w:top w:val="none" w:sz="0" w:space="0" w:color="auto"/>
                <w:left w:val="none" w:sz="0" w:space="0" w:color="auto"/>
                <w:bottom w:val="none" w:sz="0" w:space="0" w:color="auto"/>
                <w:right w:val="none" w:sz="0" w:space="0" w:color="auto"/>
              </w:divBdr>
            </w:div>
          </w:divsChild>
        </w:div>
        <w:div w:id="1168400249">
          <w:marLeft w:val="0"/>
          <w:marRight w:val="0"/>
          <w:marTop w:val="0"/>
          <w:marBottom w:val="0"/>
          <w:divBdr>
            <w:top w:val="none" w:sz="0" w:space="0" w:color="auto"/>
            <w:left w:val="none" w:sz="0" w:space="0" w:color="auto"/>
            <w:bottom w:val="none" w:sz="0" w:space="0" w:color="auto"/>
            <w:right w:val="none" w:sz="0" w:space="0" w:color="auto"/>
          </w:divBdr>
        </w:div>
      </w:divsChild>
    </w:div>
    <w:div w:id="958297594">
      <w:bodyDiv w:val="1"/>
      <w:marLeft w:val="0"/>
      <w:marRight w:val="0"/>
      <w:marTop w:val="0"/>
      <w:marBottom w:val="0"/>
      <w:divBdr>
        <w:top w:val="none" w:sz="0" w:space="0" w:color="auto"/>
        <w:left w:val="none" w:sz="0" w:space="0" w:color="auto"/>
        <w:bottom w:val="none" w:sz="0" w:space="0" w:color="auto"/>
        <w:right w:val="none" w:sz="0" w:space="0" w:color="auto"/>
      </w:divBdr>
    </w:div>
    <w:div w:id="1039286474">
      <w:bodyDiv w:val="1"/>
      <w:marLeft w:val="0"/>
      <w:marRight w:val="0"/>
      <w:marTop w:val="0"/>
      <w:marBottom w:val="0"/>
      <w:divBdr>
        <w:top w:val="none" w:sz="0" w:space="0" w:color="auto"/>
        <w:left w:val="none" w:sz="0" w:space="0" w:color="auto"/>
        <w:bottom w:val="none" w:sz="0" w:space="0" w:color="auto"/>
        <w:right w:val="none" w:sz="0" w:space="0" w:color="auto"/>
      </w:divBdr>
    </w:div>
    <w:div w:id="1041831756">
      <w:bodyDiv w:val="1"/>
      <w:marLeft w:val="0"/>
      <w:marRight w:val="0"/>
      <w:marTop w:val="0"/>
      <w:marBottom w:val="0"/>
      <w:divBdr>
        <w:top w:val="none" w:sz="0" w:space="0" w:color="auto"/>
        <w:left w:val="none" w:sz="0" w:space="0" w:color="auto"/>
        <w:bottom w:val="none" w:sz="0" w:space="0" w:color="auto"/>
        <w:right w:val="none" w:sz="0" w:space="0" w:color="auto"/>
      </w:divBdr>
    </w:div>
    <w:div w:id="1152140245">
      <w:bodyDiv w:val="1"/>
      <w:marLeft w:val="0"/>
      <w:marRight w:val="0"/>
      <w:marTop w:val="0"/>
      <w:marBottom w:val="0"/>
      <w:divBdr>
        <w:top w:val="none" w:sz="0" w:space="0" w:color="auto"/>
        <w:left w:val="none" w:sz="0" w:space="0" w:color="auto"/>
        <w:bottom w:val="none" w:sz="0" w:space="0" w:color="auto"/>
        <w:right w:val="none" w:sz="0" w:space="0" w:color="auto"/>
      </w:divBdr>
    </w:div>
    <w:div w:id="1176267325">
      <w:bodyDiv w:val="1"/>
      <w:marLeft w:val="0"/>
      <w:marRight w:val="0"/>
      <w:marTop w:val="0"/>
      <w:marBottom w:val="0"/>
      <w:divBdr>
        <w:top w:val="none" w:sz="0" w:space="0" w:color="auto"/>
        <w:left w:val="none" w:sz="0" w:space="0" w:color="auto"/>
        <w:bottom w:val="none" w:sz="0" w:space="0" w:color="auto"/>
        <w:right w:val="none" w:sz="0" w:space="0" w:color="auto"/>
      </w:divBdr>
    </w:div>
    <w:div w:id="1204370949">
      <w:bodyDiv w:val="1"/>
      <w:marLeft w:val="0"/>
      <w:marRight w:val="0"/>
      <w:marTop w:val="0"/>
      <w:marBottom w:val="0"/>
      <w:divBdr>
        <w:top w:val="none" w:sz="0" w:space="0" w:color="auto"/>
        <w:left w:val="none" w:sz="0" w:space="0" w:color="auto"/>
        <w:bottom w:val="none" w:sz="0" w:space="0" w:color="auto"/>
        <w:right w:val="none" w:sz="0" w:space="0" w:color="auto"/>
      </w:divBdr>
    </w:div>
    <w:div w:id="1289320079">
      <w:bodyDiv w:val="1"/>
      <w:marLeft w:val="0"/>
      <w:marRight w:val="0"/>
      <w:marTop w:val="0"/>
      <w:marBottom w:val="0"/>
      <w:divBdr>
        <w:top w:val="none" w:sz="0" w:space="0" w:color="auto"/>
        <w:left w:val="none" w:sz="0" w:space="0" w:color="auto"/>
        <w:bottom w:val="none" w:sz="0" w:space="0" w:color="auto"/>
        <w:right w:val="none" w:sz="0" w:space="0" w:color="auto"/>
      </w:divBdr>
    </w:div>
    <w:div w:id="1298608635">
      <w:bodyDiv w:val="1"/>
      <w:marLeft w:val="0"/>
      <w:marRight w:val="0"/>
      <w:marTop w:val="0"/>
      <w:marBottom w:val="0"/>
      <w:divBdr>
        <w:top w:val="none" w:sz="0" w:space="0" w:color="auto"/>
        <w:left w:val="none" w:sz="0" w:space="0" w:color="auto"/>
        <w:bottom w:val="none" w:sz="0" w:space="0" w:color="auto"/>
        <w:right w:val="none" w:sz="0" w:space="0" w:color="auto"/>
      </w:divBdr>
    </w:div>
    <w:div w:id="1312952533">
      <w:bodyDiv w:val="1"/>
      <w:marLeft w:val="0"/>
      <w:marRight w:val="0"/>
      <w:marTop w:val="0"/>
      <w:marBottom w:val="0"/>
      <w:divBdr>
        <w:top w:val="none" w:sz="0" w:space="0" w:color="auto"/>
        <w:left w:val="none" w:sz="0" w:space="0" w:color="auto"/>
        <w:bottom w:val="none" w:sz="0" w:space="0" w:color="auto"/>
        <w:right w:val="none" w:sz="0" w:space="0" w:color="auto"/>
      </w:divBdr>
    </w:div>
    <w:div w:id="1319111775">
      <w:bodyDiv w:val="1"/>
      <w:marLeft w:val="0"/>
      <w:marRight w:val="0"/>
      <w:marTop w:val="0"/>
      <w:marBottom w:val="0"/>
      <w:divBdr>
        <w:top w:val="none" w:sz="0" w:space="0" w:color="auto"/>
        <w:left w:val="none" w:sz="0" w:space="0" w:color="auto"/>
        <w:bottom w:val="none" w:sz="0" w:space="0" w:color="auto"/>
        <w:right w:val="none" w:sz="0" w:space="0" w:color="auto"/>
      </w:divBdr>
    </w:div>
    <w:div w:id="1380327809">
      <w:bodyDiv w:val="1"/>
      <w:marLeft w:val="0"/>
      <w:marRight w:val="0"/>
      <w:marTop w:val="0"/>
      <w:marBottom w:val="0"/>
      <w:divBdr>
        <w:top w:val="none" w:sz="0" w:space="0" w:color="auto"/>
        <w:left w:val="none" w:sz="0" w:space="0" w:color="auto"/>
        <w:bottom w:val="none" w:sz="0" w:space="0" w:color="auto"/>
        <w:right w:val="none" w:sz="0" w:space="0" w:color="auto"/>
      </w:divBdr>
    </w:div>
    <w:div w:id="1392077396">
      <w:bodyDiv w:val="1"/>
      <w:marLeft w:val="0"/>
      <w:marRight w:val="0"/>
      <w:marTop w:val="0"/>
      <w:marBottom w:val="0"/>
      <w:divBdr>
        <w:top w:val="none" w:sz="0" w:space="0" w:color="auto"/>
        <w:left w:val="none" w:sz="0" w:space="0" w:color="auto"/>
        <w:bottom w:val="none" w:sz="0" w:space="0" w:color="auto"/>
        <w:right w:val="none" w:sz="0" w:space="0" w:color="auto"/>
      </w:divBdr>
    </w:div>
    <w:div w:id="1482310745">
      <w:bodyDiv w:val="1"/>
      <w:marLeft w:val="0"/>
      <w:marRight w:val="0"/>
      <w:marTop w:val="0"/>
      <w:marBottom w:val="0"/>
      <w:divBdr>
        <w:top w:val="none" w:sz="0" w:space="0" w:color="auto"/>
        <w:left w:val="none" w:sz="0" w:space="0" w:color="auto"/>
        <w:bottom w:val="none" w:sz="0" w:space="0" w:color="auto"/>
        <w:right w:val="none" w:sz="0" w:space="0" w:color="auto"/>
      </w:divBdr>
    </w:div>
    <w:div w:id="1491023082">
      <w:bodyDiv w:val="1"/>
      <w:marLeft w:val="0"/>
      <w:marRight w:val="0"/>
      <w:marTop w:val="0"/>
      <w:marBottom w:val="0"/>
      <w:divBdr>
        <w:top w:val="none" w:sz="0" w:space="0" w:color="auto"/>
        <w:left w:val="none" w:sz="0" w:space="0" w:color="auto"/>
        <w:bottom w:val="none" w:sz="0" w:space="0" w:color="auto"/>
        <w:right w:val="none" w:sz="0" w:space="0" w:color="auto"/>
      </w:divBdr>
    </w:div>
    <w:div w:id="1579707115">
      <w:bodyDiv w:val="1"/>
      <w:marLeft w:val="0"/>
      <w:marRight w:val="0"/>
      <w:marTop w:val="0"/>
      <w:marBottom w:val="0"/>
      <w:divBdr>
        <w:top w:val="none" w:sz="0" w:space="0" w:color="auto"/>
        <w:left w:val="none" w:sz="0" w:space="0" w:color="auto"/>
        <w:bottom w:val="none" w:sz="0" w:space="0" w:color="auto"/>
        <w:right w:val="none" w:sz="0" w:space="0" w:color="auto"/>
      </w:divBdr>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
    <w:div w:id="1602831814">
      <w:bodyDiv w:val="1"/>
      <w:marLeft w:val="0"/>
      <w:marRight w:val="0"/>
      <w:marTop w:val="0"/>
      <w:marBottom w:val="0"/>
      <w:divBdr>
        <w:top w:val="none" w:sz="0" w:space="0" w:color="auto"/>
        <w:left w:val="none" w:sz="0" w:space="0" w:color="auto"/>
        <w:bottom w:val="none" w:sz="0" w:space="0" w:color="auto"/>
        <w:right w:val="none" w:sz="0" w:space="0" w:color="auto"/>
      </w:divBdr>
    </w:div>
    <w:div w:id="1665889926">
      <w:bodyDiv w:val="1"/>
      <w:marLeft w:val="0"/>
      <w:marRight w:val="0"/>
      <w:marTop w:val="0"/>
      <w:marBottom w:val="0"/>
      <w:divBdr>
        <w:top w:val="none" w:sz="0" w:space="0" w:color="auto"/>
        <w:left w:val="none" w:sz="0" w:space="0" w:color="auto"/>
        <w:bottom w:val="none" w:sz="0" w:space="0" w:color="auto"/>
        <w:right w:val="none" w:sz="0" w:space="0" w:color="auto"/>
      </w:divBdr>
    </w:div>
    <w:div w:id="1681002430">
      <w:bodyDiv w:val="1"/>
      <w:marLeft w:val="0"/>
      <w:marRight w:val="0"/>
      <w:marTop w:val="0"/>
      <w:marBottom w:val="0"/>
      <w:divBdr>
        <w:top w:val="none" w:sz="0" w:space="0" w:color="auto"/>
        <w:left w:val="none" w:sz="0" w:space="0" w:color="auto"/>
        <w:bottom w:val="none" w:sz="0" w:space="0" w:color="auto"/>
        <w:right w:val="none" w:sz="0" w:space="0" w:color="auto"/>
      </w:divBdr>
      <w:divsChild>
        <w:div w:id="377096085">
          <w:marLeft w:val="274"/>
          <w:marRight w:val="0"/>
          <w:marTop w:val="0"/>
          <w:marBottom w:val="0"/>
          <w:divBdr>
            <w:top w:val="none" w:sz="0" w:space="0" w:color="auto"/>
            <w:left w:val="none" w:sz="0" w:space="0" w:color="auto"/>
            <w:bottom w:val="none" w:sz="0" w:space="0" w:color="auto"/>
            <w:right w:val="none" w:sz="0" w:space="0" w:color="auto"/>
          </w:divBdr>
        </w:div>
        <w:div w:id="737095292">
          <w:marLeft w:val="274"/>
          <w:marRight w:val="0"/>
          <w:marTop w:val="0"/>
          <w:marBottom w:val="0"/>
          <w:divBdr>
            <w:top w:val="none" w:sz="0" w:space="0" w:color="auto"/>
            <w:left w:val="none" w:sz="0" w:space="0" w:color="auto"/>
            <w:bottom w:val="none" w:sz="0" w:space="0" w:color="auto"/>
            <w:right w:val="none" w:sz="0" w:space="0" w:color="auto"/>
          </w:divBdr>
        </w:div>
        <w:div w:id="1493526093">
          <w:marLeft w:val="274"/>
          <w:marRight w:val="0"/>
          <w:marTop w:val="0"/>
          <w:marBottom w:val="0"/>
          <w:divBdr>
            <w:top w:val="none" w:sz="0" w:space="0" w:color="auto"/>
            <w:left w:val="none" w:sz="0" w:space="0" w:color="auto"/>
            <w:bottom w:val="none" w:sz="0" w:space="0" w:color="auto"/>
            <w:right w:val="none" w:sz="0" w:space="0" w:color="auto"/>
          </w:divBdr>
        </w:div>
        <w:div w:id="2090812378">
          <w:marLeft w:val="274"/>
          <w:marRight w:val="0"/>
          <w:marTop w:val="0"/>
          <w:marBottom w:val="0"/>
          <w:divBdr>
            <w:top w:val="none" w:sz="0" w:space="0" w:color="auto"/>
            <w:left w:val="none" w:sz="0" w:space="0" w:color="auto"/>
            <w:bottom w:val="none" w:sz="0" w:space="0" w:color="auto"/>
            <w:right w:val="none" w:sz="0" w:space="0" w:color="auto"/>
          </w:divBdr>
        </w:div>
      </w:divsChild>
    </w:div>
    <w:div w:id="1698047400">
      <w:bodyDiv w:val="1"/>
      <w:marLeft w:val="0"/>
      <w:marRight w:val="0"/>
      <w:marTop w:val="0"/>
      <w:marBottom w:val="0"/>
      <w:divBdr>
        <w:top w:val="none" w:sz="0" w:space="0" w:color="auto"/>
        <w:left w:val="none" w:sz="0" w:space="0" w:color="auto"/>
        <w:bottom w:val="none" w:sz="0" w:space="0" w:color="auto"/>
        <w:right w:val="none" w:sz="0" w:space="0" w:color="auto"/>
      </w:divBdr>
    </w:div>
    <w:div w:id="1759911935">
      <w:bodyDiv w:val="1"/>
      <w:marLeft w:val="0"/>
      <w:marRight w:val="0"/>
      <w:marTop w:val="0"/>
      <w:marBottom w:val="0"/>
      <w:divBdr>
        <w:top w:val="none" w:sz="0" w:space="0" w:color="auto"/>
        <w:left w:val="none" w:sz="0" w:space="0" w:color="auto"/>
        <w:bottom w:val="none" w:sz="0" w:space="0" w:color="auto"/>
        <w:right w:val="none" w:sz="0" w:space="0" w:color="auto"/>
      </w:divBdr>
      <w:divsChild>
        <w:div w:id="719520033">
          <w:marLeft w:val="0"/>
          <w:marRight w:val="0"/>
          <w:marTop w:val="0"/>
          <w:marBottom w:val="0"/>
          <w:divBdr>
            <w:top w:val="none" w:sz="0" w:space="0" w:color="auto"/>
            <w:left w:val="none" w:sz="0" w:space="0" w:color="auto"/>
            <w:bottom w:val="none" w:sz="0" w:space="0" w:color="auto"/>
            <w:right w:val="none" w:sz="0" w:space="0" w:color="auto"/>
          </w:divBdr>
          <w:divsChild>
            <w:div w:id="534193596">
              <w:marLeft w:val="0"/>
              <w:marRight w:val="0"/>
              <w:marTop w:val="0"/>
              <w:marBottom w:val="0"/>
              <w:divBdr>
                <w:top w:val="none" w:sz="0" w:space="0" w:color="auto"/>
                <w:left w:val="none" w:sz="0" w:space="0" w:color="auto"/>
                <w:bottom w:val="none" w:sz="0" w:space="0" w:color="auto"/>
                <w:right w:val="none" w:sz="0" w:space="0" w:color="auto"/>
              </w:divBdr>
              <w:divsChild>
                <w:div w:id="11985913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66071970">
      <w:bodyDiv w:val="1"/>
      <w:marLeft w:val="0"/>
      <w:marRight w:val="0"/>
      <w:marTop w:val="0"/>
      <w:marBottom w:val="0"/>
      <w:divBdr>
        <w:top w:val="none" w:sz="0" w:space="0" w:color="auto"/>
        <w:left w:val="none" w:sz="0" w:space="0" w:color="auto"/>
        <w:bottom w:val="none" w:sz="0" w:space="0" w:color="auto"/>
        <w:right w:val="none" w:sz="0" w:space="0" w:color="auto"/>
      </w:divBdr>
    </w:div>
    <w:div w:id="1767846910">
      <w:bodyDiv w:val="1"/>
      <w:marLeft w:val="0"/>
      <w:marRight w:val="0"/>
      <w:marTop w:val="0"/>
      <w:marBottom w:val="0"/>
      <w:divBdr>
        <w:top w:val="none" w:sz="0" w:space="0" w:color="auto"/>
        <w:left w:val="none" w:sz="0" w:space="0" w:color="auto"/>
        <w:bottom w:val="none" w:sz="0" w:space="0" w:color="auto"/>
        <w:right w:val="none" w:sz="0" w:space="0" w:color="auto"/>
      </w:divBdr>
    </w:div>
    <w:div w:id="1776515478">
      <w:bodyDiv w:val="1"/>
      <w:marLeft w:val="0"/>
      <w:marRight w:val="0"/>
      <w:marTop w:val="0"/>
      <w:marBottom w:val="0"/>
      <w:divBdr>
        <w:top w:val="none" w:sz="0" w:space="0" w:color="auto"/>
        <w:left w:val="none" w:sz="0" w:space="0" w:color="auto"/>
        <w:bottom w:val="none" w:sz="0" w:space="0" w:color="auto"/>
        <w:right w:val="none" w:sz="0" w:space="0" w:color="auto"/>
      </w:divBdr>
    </w:div>
    <w:div w:id="1788625646">
      <w:bodyDiv w:val="1"/>
      <w:marLeft w:val="0"/>
      <w:marRight w:val="0"/>
      <w:marTop w:val="0"/>
      <w:marBottom w:val="0"/>
      <w:divBdr>
        <w:top w:val="none" w:sz="0" w:space="0" w:color="auto"/>
        <w:left w:val="none" w:sz="0" w:space="0" w:color="auto"/>
        <w:bottom w:val="none" w:sz="0" w:space="0" w:color="auto"/>
        <w:right w:val="none" w:sz="0" w:space="0" w:color="auto"/>
      </w:divBdr>
    </w:div>
    <w:div w:id="1792237151">
      <w:bodyDiv w:val="1"/>
      <w:marLeft w:val="0"/>
      <w:marRight w:val="0"/>
      <w:marTop w:val="0"/>
      <w:marBottom w:val="0"/>
      <w:divBdr>
        <w:top w:val="none" w:sz="0" w:space="0" w:color="auto"/>
        <w:left w:val="none" w:sz="0" w:space="0" w:color="auto"/>
        <w:bottom w:val="none" w:sz="0" w:space="0" w:color="auto"/>
        <w:right w:val="none" w:sz="0" w:space="0" w:color="auto"/>
      </w:divBdr>
    </w:div>
    <w:div w:id="1801069256">
      <w:bodyDiv w:val="1"/>
      <w:marLeft w:val="0"/>
      <w:marRight w:val="0"/>
      <w:marTop w:val="0"/>
      <w:marBottom w:val="0"/>
      <w:divBdr>
        <w:top w:val="none" w:sz="0" w:space="0" w:color="auto"/>
        <w:left w:val="none" w:sz="0" w:space="0" w:color="auto"/>
        <w:bottom w:val="none" w:sz="0" w:space="0" w:color="auto"/>
        <w:right w:val="none" w:sz="0" w:space="0" w:color="auto"/>
      </w:divBdr>
    </w:div>
    <w:div w:id="1823043380">
      <w:bodyDiv w:val="1"/>
      <w:marLeft w:val="0"/>
      <w:marRight w:val="0"/>
      <w:marTop w:val="0"/>
      <w:marBottom w:val="0"/>
      <w:divBdr>
        <w:top w:val="none" w:sz="0" w:space="0" w:color="auto"/>
        <w:left w:val="none" w:sz="0" w:space="0" w:color="auto"/>
        <w:bottom w:val="none" w:sz="0" w:space="0" w:color="auto"/>
        <w:right w:val="none" w:sz="0" w:space="0" w:color="auto"/>
      </w:divBdr>
    </w:div>
    <w:div w:id="1851211228">
      <w:bodyDiv w:val="1"/>
      <w:marLeft w:val="0"/>
      <w:marRight w:val="0"/>
      <w:marTop w:val="0"/>
      <w:marBottom w:val="0"/>
      <w:divBdr>
        <w:top w:val="none" w:sz="0" w:space="0" w:color="auto"/>
        <w:left w:val="none" w:sz="0" w:space="0" w:color="auto"/>
        <w:bottom w:val="none" w:sz="0" w:space="0" w:color="auto"/>
        <w:right w:val="none" w:sz="0" w:space="0" w:color="auto"/>
      </w:divBdr>
    </w:div>
    <w:div w:id="1855681390">
      <w:bodyDiv w:val="1"/>
      <w:marLeft w:val="0"/>
      <w:marRight w:val="0"/>
      <w:marTop w:val="0"/>
      <w:marBottom w:val="0"/>
      <w:divBdr>
        <w:top w:val="none" w:sz="0" w:space="0" w:color="auto"/>
        <w:left w:val="none" w:sz="0" w:space="0" w:color="auto"/>
        <w:bottom w:val="none" w:sz="0" w:space="0" w:color="auto"/>
        <w:right w:val="none" w:sz="0" w:space="0" w:color="auto"/>
      </w:divBdr>
    </w:div>
    <w:div w:id="1865711584">
      <w:bodyDiv w:val="1"/>
      <w:marLeft w:val="0"/>
      <w:marRight w:val="0"/>
      <w:marTop w:val="0"/>
      <w:marBottom w:val="0"/>
      <w:divBdr>
        <w:top w:val="none" w:sz="0" w:space="0" w:color="auto"/>
        <w:left w:val="none" w:sz="0" w:space="0" w:color="auto"/>
        <w:bottom w:val="none" w:sz="0" w:space="0" w:color="auto"/>
        <w:right w:val="none" w:sz="0" w:space="0" w:color="auto"/>
      </w:divBdr>
    </w:div>
    <w:div w:id="1881285539">
      <w:bodyDiv w:val="1"/>
      <w:marLeft w:val="0"/>
      <w:marRight w:val="0"/>
      <w:marTop w:val="0"/>
      <w:marBottom w:val="0"/>
      <w:divBdr>
        <w:top w:val="none" w:sz="0" w:space="0" w:color="auto"/>
        <w:left w:val="none" w:sz="0" w:space="0" w:color="auto"/>
        <w:bottom w:val="none" w:sz="0" w:space="0" w:color="auto"/>
        <w:right w:val="none" w:sz="0" w:space="0" w:color="auto"/>
      </w:divBdr>
    </w:div>
    <w:div w:id="1912423268">
      <w:bodyDiv w:val="1"/>
      <w:marLeft w:val="0"/>
      <w:marRight w:val="0"/>
      <w:marTop w:val="0"/>
      <w:marBottom w:val="0"/>
      <w:divBdr>
        <w:top w:val="none" w:sz="0" w:space="0" w:color="auto"/>
        <w:left w:val="none" w:sz="0" w:space="0" w:color="auto"/>
        <w:bottom w:val="none" w:sz="0" w:space="0" w:color="auto"/>
        <w:right w:val="none" w:sz="0" w:space="0" w:color="auto"/>
      </w:divBdr>
    </w:div>
    <w:div w:id="1958441140">
      <w:bodyDiv w:val="1"/>
      <w:marLeft w:val="0"/>
      <w:marRight w:val="0"/>
      <w:marTop w:val="0"/>
      <w:marBottom w:val="0"/>
      <w:divBdr>
        <w:top w:val="none" w:sz="0" w:space="0" w:color="auto"/>
        <w:left w:val="none" w:sz="0" w:space="0" w:color="auto"/>
        <w:bottom w:val="none" w:sz="0" w:space="0" w:color="auto"/>
        <w:right w:val="none" w:sz="0" w:space="0" w:color="auto"/>
      </w:divBdr>
    </w:div>
    <w:div w:id="1989554113">
      <w:bodyDiv w:val="1"/>
      <w:marLeft w:val="0"/>
      <w:marRight w:val="0"/>
      <w:marTop w:val="0"/>
      <w:marBottom w:val="0"/>
      <w:divBdr>
        <w:top w:val="none" w:sz="0" w:space="0" w:color="auto"/>
        <w:left w:val="none" w:sz="0" w:space="0" w:color="auto"/>
        <w:bottom w:val="none" w:sz="0" w:space="0" w:color="auto"/>
        <w:right w:val="none" w:sz="0" w:space="0" w:color="auto"/>
      </w:divBdr>
    </w:div>
    <w:div w:id="2049841706">
      <w:bodyDiv w:val="1"/>
      <w:marLeft w:val="0"/>
      <w:marRight w:val="0"/>
      <w:marTop w:val="0"/>
      <w:marBottom w:val="0"/>
      <w:divBdr>
        <w:top w:val="none" w:sz="0" w:space="0" w:color="auto"/>
        <w:left w:val="none" w:sz="0" w:space="0" w:color="auto"/>
        <w:bottom w:val="none" w:sz="0" w:space="0" w:color="auto"/>
        <w:right w:val="none" w:sz="0" w:space="0" w:color="auto"/>
      </w:divBdr>
      <w:divsChild>
        <w:div w:id="835732578">
          <w:marLeft w:val="0"/>
          <w:marRight w:val="0"/>
          <w:marTop w:val="0"/>
          <w:marBottom w:val="0"/>
          <w:divBdr>
            <w:top w:val="none" w:sz="0" w:space="0" w:color="auto"/>
            <w:left w:val="none" w:sz="0" w:space="0" w:color="auto"/>
            <w:bottom w:val="none" w:sz="0" w:space="0" w:color="auto"/>
            <w:right w:val="none" w:sz="0" w:space="0" w:color="auto"/>
          </w:divBdr>
          <w:divsChild>
            <w:div w:id="39938040">
              <w:marLeft w:val="0"/>
              <w:marRight w:val="0"/>
              <w:marTop w:val="0"/>
              <w:marBottom w:val="0"/>
              <w:divBdr>
                <w:top w:val="none" w:sz="0" w:space="0" w:color="auto"/>
                <w:left w:val="none" w:sz="0" w:space="0" w:color="auto"/>
                <w:bottom w:val="none" w:sz="0" w:space="0" w:color="auto"/>
                <w:right w:val="none" w:sz="0" w:space="0" w:color="auto"/>
              </w:divBdr>
              <w:divsChild>
                <w:div w:id="1538346506">
                  <w:marLeft w:val="0"/>
                  <w:marRight w:val="0"/>
                  <w:marTop w:val="0"/>
                  <w:marBottom w:val="0"/>
                  <w:divBdr>
                    <w:top w:val="none" w:sz="0" w:space="0" w:color="auto"/>
                    <w:left w:val="none" w:sz="0" w:space="0" w:color="auto"/>
                    <w:bottom w:val="none" w:sz="0" w:space="0" w:color="auto"/>
                    <w:right w:val="none" w:sz="0" w:space="0" w:color="auto"/>
                  </w:divBdr>
                  <w:divsChild>
                    <w:div w:id="850146717">
                      <w:marLeft w:val="0"/>
                      <w:marRight w:val="0"/>
                      <w:marTop w:val="0"/>
                      <w:marBottom w:val="0"/>
                      <w:divBdr>
                        <w:top w:val="none" w:sz="0" w:space="0" w:color="auto"/>
                        <w:left w:val="none" w:sz="0" w:space="0" w:color="auto"/>
                        <w:bottom w:val="none" w:sz="0" w:space="0" w:color="auto"/>
                        <w:right w:val="none" w:sz="0" w:space="0" w:color="auto"/>
                      </w:divBdr>
                      <w:divsChild>
                        <w:div w:id="1181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61747">
      <w:bodyDiv w:val="1"/>
      <w:marLeft w:val="0"/>
      <w:marRight w:val="0"/>
      <w:marTop w:val="0"/>
      <w:marBottom w:val="0"/>
      <w:divBdr>
        <w:top w:val="none" w:sz="0" w:space="0" w:color="auto"/>
        <w:left w:val="none" w:sz="0" w:space="0" w:color="auto"/>
        <w:bottom w:val="none" w:sz="0" w:space="0" w:color="auto"/>
        <w:right w:val="none" w:sz="0" w:space="0" w:color="auto"/>
      </w:divBdr>
    </w:div>
    <w:div w:id="2061707977">
      <w:bodyDiv w:val="1"/>
      <w:marLeft w:val="0"/>
      <w:marRight w:val="0"/>
      <w:marTop w:val="0"/>
      <w:marBottom w:val="0"/>
      <w:divBdr>
        <w:top w:val="none" w:sz="0" w:space="0" w:color="auto"/>
        <w:left w:val="none" w:sz="0" w:space="0" w:color="auto"/>
        <w:bottom w:val="none" w:sz="0" w:space="0" w:color="auto"/>
        <w:right w:val="none" w:sz="0" w:space="0" w:color="auto"/>
      </w:divBdr>
    </w:div>
    <w:div w:id="2076731796">
      <w:bodyDiv w:val="1"/>
      <w:marLeft w:val="0"/>
      <w:marRight w:val="0"/>
      <w:marTop w:val="0"/>
      <w:marBottom w:val="0"/>
      <w:divBdr>
        <w:top w:val="none" w:sz="0" w:space="0" w:color="auto"/>
        <w:left w:val="none" w:sz="0" w:space="0" w:color="auto"/>
        <w:bottom w:val="none" w:sz="0" w:space="0" w:color="auto"/>
        <w:right w:val="none" w:sz="0" w:space="0" w:color="auto"/>
      </w:divBdr>
    </w:div>
    <w:div w:id="2101483614">
      <w:bodyDiv w:val="1"/>
      <w:marLeft w:val="0"/>
      <w:marRight w:val="0"/>
      <w:marTop w:val="0"/>
      <w:marBottom w:val="0"/>
      <w:divBdr>
        <w:top w:val="none" w:sz="0" w:space="0" w:color="auto"/>
        <w:left w:val="none" w:sz="0" w:space="0" w:color="auto"/>
        <w:bottom w:val="none" w:sz="0" w:space="0" w:color="auto"/>
        <w:right w:val="none" w:sz="0" w:space="0" w:color="auto"/>
      </w:divBdr>
    </w:div>
    <w:div w:id="214715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hyperlink" Target="https://www.abs.gov.au/statistics/people/population/regional-population/2022-23" TargetMode="External"/><Relationship Id="rId21" Type="http://schemas.openxmlformats.org/officeDocument/2006/relationships/footer" Target="footer7.xml"/><Relationship Id="rId34" Type="http://schemas.openxmlformats.org/officeDocument/2006/relationships/hyperlink" Target="https://www.abs.gov.au/statistics/people/people-and-communities/cultural-diversity-census/2021" TargetMode="External"/><Relationship Id="rId42" Type="http://schemas.openxmlformats.org/officeDocument/2006/relationships/hyperlink" Target="https://cit.edu.au/__data/assets/pdf_file/0005/298373/6211855950_CIT_2023_Annual_Report_FA.pdf" TargetMode="External"/><Relationship Id="rId47" Type="http://schemas.openxmlformats.org/officeDocument/2006/relationships/hyperlink" Target="https://www.cdu.edu.au/news/university-launches-cdu-tafe-better-support-territory&#8217;s-training-skills" TargetMode="External"/><Relationship Id="rId50" Type="http://schemas.openxmlformats.org/officeDocument/2006/relationships/hyperlink" Target="https://www.abc.net.au/news/2023-02-09/icac-review-of-batchelor-institute-recommends-culture-changes/101947158" TargetMode="External"/><Relationship Id="rId55" Type="http://schemas.openxmlformats.org/officeDocument/2006/relationships/hyperlink" Target="https://www.ourwatch.org.au/news/tastafe-partners-with-our-watch-to-prevent-violence-against-women"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abs.gov.au/statistics/health/disability/disability-ageing-and-%20carers-australia-summary-findings/2022" TargetMode="External"/><Relationship Id="rId40" Type="http://schemas.openxmlformats.org/officeDocument/2006/relationships/hyperlink" Target="https://www.batchelor.edu.au/uploads/About/Annual_Report_2023_polished-digital.pdf" TargetMode="External"/><Relationship Id="rId45" Type="http://schemas.openxmlformats.org/officeDocument/2006/relationships/hyperlink" Target="https://www.cdu.edu.au/files/2024-06/annual-report-2023.pdf" TargetMode="External"/><Relationship Id="rId53" Type="http://schemas.openxmlformats.org/officeDocument/2006/relationships/hyperlink" Target="https://psnews.com.au/jesus-christ-cit-ceo-found-guilty-of-serious-corrupt-conduct-received-465000-in-entitlements/139535/" TargetMode="External"/><Relationship Id="rId58" Type="http://schemas.openxmlformats.org/officeDocument/2006/relationships/hyperlink" Target="https://tda.edu.au/partnership-to-end-gendered-violence/" TargetMode="External"/><Relationship Id="rId5" Type="http://schemas.openxmlformats.org/officeDocument/2006/relationships/numbering" Target="numbering.xml"/><Relationship Id="rId61" Type="http://schemas.openxmlformats.org/officeDocument/2006/relationships/hyperlink" Target="https://www.tastafe.tas.edu.au/news-folder/tastafe-partners-with-our-watch-to-prevent-violence-against-women" TargetMode="Externa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abs.gov.au/articles/australia-aboriginal-and-torres-strait-islander-population-summary" TargetMode="External"/><Relationship Id="rId43" Type="http://schemas.openxmlformats.org/officeDocument/2006/relationships/hyperlink" Target="https://cit.edu.au/__data/assets/pdf_file/0008/311768/cit_gender_equity_action_plan.pdf" TargetMode="External"/><Relationship Id="rId48" Type="http://schemas.openxmlformats.org/officeDocument/2006/relationships/hyperlink" Target="https://www.cdu.edu.au/news/35-million-fund-new-cdu-tafe-trades-training-centre-katherine" TargetMode="External"/><Relationship Id="rId56" Type="http://schemas.openxmlformats.org/officeDocument/2006/relationships/hyperlink" Target="https://assets.ourwatch.org.au/assets/Submissions/OW-Submission-to-the-SA-Royal-Commission-into-Domestic-Family-and-Sexual-Violence.pdf" TargetMode="External"/><Relationship Id="rId8" Type="http://schemas.openxmlformats.org/officeDocument/2006/relationships/webSettings" Target="webSettings.xml"/><Relationship Id="rId51" Type="http://schemas.openxmlformats.org/officeDocument/2006/relationships/hyperlink" Target="https://www.parliament.tas.gov.au/__data/assets/pdf_file/0033/83868/GAA-SIP-Final-Report-TasTAFE-18-July-2024.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yperlink" Target="https://www.icac.sa.gov.au/documents/TAFE-SA-Evaluation.pdf" TargetMode="External"/><Relationship Id="rId38" Type="http://schemas.openxmlformats.org/officeDocument/2006/relationships/hyperlink" Target="https://www.abs.gov.au/statistics/health/disability/disability-ageing-and-%20carers-australia-summary-findings/2022" TargetMode="External"/><Relationship Id="rId46" Type="http://schemas.openxmlformats.org/officeDocument/2006/relationships/hyperlink" Target="https://www.cdu.edu.au/files/2022-02/vet-student-guide.pdf" TargetMode="External"/><Relationship Id="rId59" Type="http://schemas.openxmlformats.org/officeDocument/2006/relationships/hyperlink" Target="https://www.tafesa.edu.au/docs/default-source/about_tafesa/tafe-sa-annual-report-2022---2023.pdf?sfvrsn=e378fd14_6" TargetMode="External"/><Relationship Id="rId20" Type="http://schemas.openxmlformats.org/officeDocument/2006/relationships/image" Target="media/image2.png"/><Relationship Id="rId41" Type="http://schemas.openxmlformats.org/officeDocument/2006/relationships/hyperlink" Target="https://www.ntnews.com.au/business/nt-business/motor-trades-slams-cdu-tafe-trade-training/news-story/c444fdfe378e3d9a6ce997087ed272e5" TargetMode="External"/><Relationship Id="rId54" Type="http://schemas.openxmlformats.org/officeDocument/2006/relationships/hyperlink" Target="https://psnews.com.au/jesus-christ-cit-ceo-found-guilty-of-serious-corrupt-conduct-received-465000-in-entitlements/139535/"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9.xml"/><Relationship Id="rId36" Type="http://schemas.openxmlformats.org/officeDocument/2006/relationships/hyperlink" Target="https://www.abs.gov.au/statistics/health/disability/disability-ageing-and-%20carers-australia-summary-findings/2022" TargetMode="External"/><Relationship Id="rId49" Type="http://schemas.openxmlformats.org/officeDocument/2006/relationships/hyperlink" Target="https://ntindependent.com.au/auditor-general-again-finds-serious-operational-and-financial-problems-with-batchelor-institute/" TargetMode="External"/><Relationship Id="rId57" Type="http://schemas.openxmlformats.org/officeDocument/2006/relationships/hyperlink" Target="https://tda.edu.au/canberra-institute-of-technology-developing-gender-equality-action-plan/"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cdu.edu.au/news/cdu-responds-national-student-safety-survey-results" TargetMode="External"/><Relationship Id="rId52" Type="http://schemas.openxmlformats.org/officeDocument/2006/relationships/hyperlink" Target="https://icac.nt.gov.au/__data/assets/pdf_file/0005/1206284/Tabled-Paper-770-Independent-Commissioner-Against-Corruption-General-Report-January-2023.pdf" TargetMode="External"/><Relationship Id="rId60" Type="http://schemas.openxmlformats.org/officeDocument/2006/relationships/hyperlink" Target="https://www.tastafe.tas.edu.au/__data/assets/pdf_file/0017/153053/Tastafe-Annual-Report-2024.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dandolo.com.au" TargetMode="External"/><Relationship Id="rId2" Type="http://schemas.openxmlformats.org/officeDocument/2006/relationships/hyperlink" Target="mailto:admin@dandolo.com.au"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3" Type="http://schemas.openxmlformats.org/officeDocument/2006/relationships/hyperlink" Target="http://www.dandolo.com.au" TargetMode="External"/><Relationship Id="rId2" Type="http://schemas.openxmlformats.org/officeDocument/2006/relationships/hyperlink" Target="mailto:enquiries@dandolo.com.au" TargetMode="External"/><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3" Type="http://schemas.openxmlformats.org/officeDocument/2006/relationships/hyperlink" Target="http://www.dandolo.com.au" TargetMode="External"/><Relationship Id="rId2" Type="http://schemas.openxmlformats.org/officeDocument/2006/relationships/hyperlink" Target="mailto:enquiries@dandolo.com.au" TargetMode="External"/><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assets.ourwatch.org.au/assets/Key-frameworks/Change-the-story-Our-Watch-AA.pdf" TargetMode="External"/><Relationship Id="rId18" Type="http://schemas.openxmlformats.org/officeDocument/2006/relationships/hyperlink" Target="https://assets.ourwatch.org.au/assets/TAFE-resources/Respect-and-Equality-in-TAFE-National-Guide.pdf" TargetMode="External"/><Relationship Id="rId26" Type="http://schemas.openxmlformats.org/officeDocument/2006/relationships/hyperlink" Target="https://xyonline.net/sites/xyonline.net/files/2022-09/Flood%2C%20Literature%20review%20on%20Prevention%20best%20practice%202020.pdf" TargetMode="External"/><Relationship Id="rId3" Type="http://schemas.openxmlformats.org/officeDocument/2006/relationships/hyperlink" Target="https://www.jobsandskills.gov.au/sites/default/files/2024-10/vet_workforce_study_2024.pdf" TargetMode="External"/><Relationship Id="rId21" Type="http://schemas.openxmlformats.org/officeDocument/2006/relationships/hyperlink" Target="https://assets.ourwatch.org.au/assets/TAFE-resources/Respect-and-Equality-in-TAFE-National-Guide.pdf" TargetMode="External"/><Relationship Id="rId34" Type="http://schemas.openxmlformats.org/officeDocument/2006/relationships/hyperlink" Target="https://www.sbs.com.au/news/article/national-code-universities-gender-based-violence/7zi1ntehd" TargetMode="External"/><Relationship Id="rId7" Type="http://schemas.openxmlformats.org/officeDocument/2006/relationships/hyperlink" Target="https://www.aph.gov.au/Parliamentary_Business/Committees/Senate/Finance_and_Public_Administration/Gendersegregation" TargetMode="External"/><Relationship Id="rId12" Type="http://schemas.openxmlformats.org/officeDocument/2006/relationships/hyperlink" Target="https://www.jobsandskills.gov.au/sites/default/files/2024-10/vet_workforce_study_2024.pdf" TargetMode="External"/><Relationship Id="rId17" Type="http://schemas.openxmlformats.org/officeDocument/2006/relationships/hyperlink" Target="https://universitiesaustralia.edu.au/project/2021-nsss/" TargetMode="External"/><Relationship Id="rId25" Type="http://schemas.openxmlformats.org/officeDocument/2006/relationships/hyperlink" Target="https://journals.sagepub.com/doi/pdf/10.1177/10778012231183654" TargetMode="External"/><Relationship Id="rId33" Type="http://schemas.openxmlformats.org/officeDocument/2006/relationships/hyperlink" Target="https://www.abc.net.au/news/2024-12-11/class-actions-launched-against-rio-tinto-bhp-abuse-allegations/104687304" TargetMode="External"/><Relationship Id="rId2" Type="http://schemas.openxmlformats.org/officeDocument/2006/relationships/hyperlink" Target="https://www.aph.gov.au/About_Parliament/Parliamentary_departments/Parliamentary_Library/Research/Quick_Guides/2023-24/VocationalEducationandTraining" TargetMode="External"/><Relationship Id="rId16" Type="http://schemas.openxmlformats.org/officeDocument/2006/relationships/hyperlink" Target="https://assets.ourwatch.org.au/assets/Key-frameworks/Change-the-story-Our-Watch-AA.pdf" TargetMode="External"/><Relationship Id="rId20" Type="http://schemas.openxmlformats.org/officeDocument/2006/relationships/hyperlink" Target="https://assets.ourwatch.org.au/assets/Key-frameworks/Change-the-story-Our-Watch-AA.pdf" TargetMode="External"/><Relationship Id="rId29" Type="http://schemas.openxmlformats.org/officeDocument/2006/relationships/hyperlink" Target="https://www.genderequalitycommission.vic.gov.au/about-gender-equality-act-2020" TargetMode="External"/><Relationship Id="rId1" Type="http://schemas.openxmlformats.org/officeDocument/2006/relationships/hyperlink" Target="https://www.studyaustralia.gov.au/en/plan-your-studies/vocational-education-and-training" TargetMode="External"/><Relationship Id="rId6" Type="http://schemas.openxmlformats.org/officeDocument/2006/relationships/hyperlink" Target="https://www.ncver.edu.au/research-and-statistics/vocstats" TargetMode="External"/><Relationship Id="rId11" Type="http://schemas.openxmlformats.org/officeDocument/2006/relationships/hyperlink" Target="https://www.dewr.gov.au/download/16477/vet-workforce-blueprint/38784/vet-workforce-blueprint/pdf" TargetMode="External"/><Relationship Id="rId24" Type="http://schemas.openxmlformats.org/officeDocument/2006/relationships/hyperlink" Target="https://www.dewr.gov.au/download/16477/vet-workforce-blueprint/38784/vet-workforce-blueprint/pdf" TargetMode="External"/><Relationship Id="rId32" Type="http://schemas.openxmlformats.org/officeDocument/2006/relationships/hyperlink" Target="https://www.wgea.gov.au/publications/gender-segregation-in-australias-workforce" TargetMode="External"/><Relationship Id="rId5" Type="http://schemas.openxmlformats.org/officeDocument/2006/relationships/hyperlink" Target="https://assets.ourwatch.org.au/assets/Key-frameworks/Change-the-story-Our-Watch-AA.pdf" TargetMode="External"/><Relationship Id="rId15" Type="http://schemas.openxmlformats.org/officeDocument/2006/relationships/hyperlink" Target="https://www.dewr.gov.au/download/16477/vet-workforce-blueprint/38784/vet-workforce-blueprint/pdf" TargetMode="External"/><Relationship Id="rId23" Type="http://schemas.openxmlformats.org/officeDocument/2006/relationships/hyperlink" Target="https://www.dewr.gov.au/download/16477/vet-workforce-blueprint/38784/vet-workforce-blueprint/pdf" TargetMode="External"/><Relationship Id="rId28" Type="http://schemas.openxmlformats.org/officeDocument/2006/relationships/hyperlink" Target="https://djsir.vic.gov.au/about-us/publications/statement-of-priorities" TargetMode="External"/><Relationship Id="rId10" Type="http://schemas.openxmlformats.org/officeDocument/2006/relationships/hyperlink" Target="https://www.aph.gov.au/About_Parliament/Parliamentary_departments/Parliamentary_Library/Research/Quick_Guides/2023-24/VocationalEducationandTraining" TargetMode="External"/><Relationship Id="rId19" Type="http://schemas.openxmlformats.org/officeDocument/2006/relationships/hyperlink" Target="https://assets.ourwatch.org.au/assets/TAFE-resources/Respect-and-Equality-in-TAFE-National-Guide.pdf" TargetMode="External"/><Relationship Id="rId31" Type="http://schemas.openxmlformats.org/officeDocument/2006/relationships/hyperlink" Target="https://www.dewr.gov.au/download/16477/vet-workforce-blueprint/38784/vet-workforce-blueprint/pdf" TargetMode="External"/><Relationship Id="rId4" Type="http://schemas.openxmlformats.org/officeDocument/2006/relationships/hyperlink" Target="https://www.aph.gov.au/About_Parliament/Parliamentary_departments/Parliamentary_Library/Research/Quick_Guides/2023-24/VocationalEducationandTraining" TargetMode="External"/><Relationship Id="rId9" Type="http://schemas.openxmlformats.org/officeDocument/2006/relationships/hyperlink" Target="https://www.jobsandskills.gov.au/sites/default/files/2024-10/vet_workforce_study_2024.pdf" TargetMode="External"/><Relationship Id="rId14" Type="http://schemas.openxmlformats.org/officeDocument/2006/relationships/hyperlink" Target="https://assets.ourwatch.org.au/assets/Key-frameworks/Change-the-story-Our-Watch-AA.pdf" TargetMode="External"/><Relationship Id="rId22" Type="http://schemas.openxmlformats.org/officeDocument/2006/relationships/hyperlink" Target="https://assets.ourwatch.org.au/assets/TAFE-resources/Respect-and-Equality-in-TAFE-National-Guide.pdf" TargetMode="External"/><Relationship Id="rId27" Type="http://schemas.openxmlformats.org/officeDocument/2006/relationships/hyperlink" Target="https://assets.ourwatch.org.au/assets/TAFE-resources/Respect-and-Equality-in-TAFE-National-Guide.pdf" TargetMode="External"/><Relationship Id="rId30" Type="http://schemas.openxmlformats.org/officeDocument/2006/relationships/hyperlink" Target="https://www.aph.gov.au/About_Parliament/Parliamentary_departments/Parliamentary_Library/Research/Quick_Guides/2023-24/VocationalEducationandTraining" TargetMode="External"/><Relationship Id="rId8" Type="http://schemas.openxmlformats.org/officeDocument/2006/relationships/hyperlink" Target="https://www.aph.gov.au/Parliamentary_Business/Committees/Senate/Finance_and_Public_Administration/Gendersegregation"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4D4D4D"/>
      </a:dk2>
      <a:lt2>
        <a:srgbClr val="931B2F"/>
      </a:lt2>
      <a:accent1>
        <a:srgbClr val="931B2F"/>
      </a:accent1>
      <a:accent2>
        <a:srgbClr val="B35F6D"/>
      </a:accent2>
      <a:accent3>
        <a:srgbClr val="E8E7E7"/>
      </a:accent3>
      <a:accent4>
        <a:srgbClr val="8C8686"/>
      </a:accent4>
      <a:accent5>
        <a:srgbClr val="2C2A2A"/>
      </a:accent5>
      <a:accent6>
        <a:srgbClr val="4A0E18"/>
      </a:accent6>
      <a:hlink>
        <a:srgbClr val="4D4D4D"/>
      </a:hlink>
      <a:folHlink>
        <a:srgbClr val="4D4D4D"/>
      </a:folHlink>
    </a:clrScheme>
    <a:fontScheme name="Custom 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lIns="72000" tIns="72000" rIns="72000" bIns="72000" rtlCol="0" anchor="t"/>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bg2"/>
          </a:solidFill>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2b5b6bcfd2f31552af4f447fefc0a4f1">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36103f5b86948f5f3d9edf8ebb502dd1"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EFAE01-0B8D-4CC4-8C3F-61C28027F446}">
  <ds:schemaRefs>
    <ds:schemaRef ds:uri="http://schemas.microsoft.com/sharepoint/v3/contenttype/forms"/>
  </ds:schemaRefs>
</ds:datastoreItem>
</file>

<file path=customXml/itemProps2.xml><?xml version="1.0" encoding="utf-8"?>
<ds:datastoreItem xmlns:ds="http://schemas.openxmlformats.org/officeDocument/2006/customXml" ds:itemID="{9A003CEA-04C5-4024-8C7A-05CEAD0D786B}">
  <ds:schemaRefs>
    <ds:schemaRef ds:uri="http://schemas.openxmlformats.org/officeDocument/2006/bibliography"/>
  </ds:schemaRefs>
</ds:datastoreItem>
</file>

<file path=customXml/itemProps3.xml><?xml version="1.0" encoding="utf-8"?>
<ds:datastoreItem xmlns:ds="http://schemas.openxmlformats.org/officeDocument/2006/customXml" ds:itemID="{D5D33939-B456-40C0-B3A2-BF3DB308C5D2}">
  <ds:schemaRefs>
    <ds:schemaRef ds:uri="http://schemas.microsoft.com/office/2006/documentManagement/types"/>
    <ds:schemaRef ds:uri="2970e923-7cf8-4123-809f-d8c0b318696b"/>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 ds:uri="ef89dfe1-2fd6-4ffd-966a-b6a657178080"/>
    <ds:schemaRef ds:uri="http://www.w3.org/XML/1998/namespace"/>
    <ds:schemaRef ds:uri="http://purl.org/dc/dcmitype/"/>
  </ds:schemaRefs>
</ds:datastoreItem>
</file>

<file path=customXml/itemProps4.xml><?xml version="1.0" encoding="utf-8"?>
<ds:datastoreItem xmlns:ds="http://schemas.openxmlformats.org/officeDocument/2006/customXml" ds:itemID="{5D1C9FED-DDBE-4308-82F7-D8720853B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19748</Words>
  <Characters>114147</Characters>
  <Application>Microsoft Office Word</Application>
  <DocSecurity>0</DocSecurity>
  <Lines>2002</Lines>
  <Paragraphs>1006</Paragraphs>
  <ScaleCrop>false</ScaleCrop>
  <HeadingPairs>
    <vt:vector size="2" baseType="variant">
      <vt:variant>
        <vt:lpstr>Title</vt:lpstr>
      </vt:variant>
      <vt:variant>
        <vt:i4>1</vt:i4>
      </vt:variant>
    </vt:vector>
  </HeadingPairs>
  <TitlesOfParts>
    <vt:vector size="1" baseType="lpstr">
      <vt:lpstr>EVALUATION OF THE RESPECT AND EQUALITY AT TAFES 2 PROJECT</vt:lpstr>
    </vt:vector>
  </TitlesOfParts>
  <Manager/>
  <Company/>
  <LinksUpToDate>false</LinksUpToDate>
  <CharactersWithSpaces>132889</CharactersWithSpaces>
  <SharedDoc>false</SharedDoc>
  <HLinks>
    <vt:vector size="558" baseType="variant">
      <vt:variant>
        <vt:i4>1114187</vt:i4>
      </vt:variant>
      <vt:variant>
        <vt:i4>273</vt:i4>
      </vt:variant>
      <vt:variant>
        <vt:i4>0</vt:i4>
      </vt:variant>
      <vt:variant>
        <vt:i4>5</vt:i4>
      </vt:variant>
      <vt:variant>
        <vt:lpwstr>https://www.tastafe.tas.edu.au/news-folder/tastafe-partners-with-our-watch-to-prevent-violence-against-women</vt:lpwstr>
      </vt:variant>
      <vt:variant>
        <vt:lpwstr/>
      </vt:variant>
      <vt:variant>
        <vt:i4>2752599</vt:i4>
      </vt:variant>
      <vt:variant>
        <vt:i4>270</vt:i4>
      </vt:variant>
      <vt:variant>
        <vt:i4>0</vt:i4>
      </vt:variant>
      <vt:variant>
        <vt:i4>5</vt:i4>
      </vt:variant>
      <vt:variant>
        <vt:lpwstr>https://www.tastafe.tas.edu.au/__data/assets/pdf_file/0017/153053/Tastafe-Annual-Report-2024.pdf</vt:lpwstr>
      </vt:variant>
      <vt:variant>
        <vt:lpwstr/>
      </vt:variant>
      <vt:variant>
        <vt:i4>5963803</vt:i4>
      </vt:variant>
      <vt:variant>
        <vt:i4>267</vt:i4>
      </vt:variant>
      <vt:variant>
        <vt:i4>0</vt:i4>
      </vt:variant>
      <vt:variant>
        <vt:i4>5</vt:i4>
      </vt:variant>
      <vt:variant>
        <vt:lpwstr>https://www.tafesa.edu.au/docs/default-source/about_tafesa/tafe-sa-annual-report-2022---2023.pdf?sfvrsn=e378fd14_6</vt:lpwstr>
      </vt:variant>
      <vt:variant>
        <vt:lpwstr/>
      </vt:variant>
      <vt:variant>
        <vt:i4>6225928</vt:i4>
      </vt:variant>
      <vt:variant>
        <vt:i4>264</vt:i4>
      </vt:variant>
      <vt:variant>
        <vt:i4>0</vt:i4>
      </vt:variant>
      <vt:variant>
        <vt:i4>5</vt:i4>
      </vt:variant>
      <vt:variant>
        <vt:lpwstr>https://tda.edu.au/partnership-to-end-gendered-violence/</vt:lpwstr>
      </vt:variant>
      <vt:variant>
        <vt:lpwstr/>
      </vt:variant>
      <vt:variant>
        <vt:i4>2621472</vt:i4>
      </vt:variant>
      <vt:variant>
        <vt:i4>261</vt:i4>
      </vt:variant>
      <vt:variant>
        <vt:i4>0</vt:i4>
      </vt:variant>
      <vt:variant>
        <vt:i4>5</vt:i4>
      </vt:variant>
      <vt:variant>
        <vt:lpwstr>https://tda.edu.au/canberra-institute-of-technology-developing-gender-equality-action-plan/</vt:lpwstr>
      </vt:variant>
      <vt:variant>
        <vt:lpwstr/>
      </vt:variant>
      <vt:variant>
        <vt:i4>2097202</vt:i4>
      </vt:variant>
      <vt:variant>
        <vt:i4>258</vt:i4>
      </vt:variant>
      <vt:variant>
        <vt:i4>0</vt:i4>
      </vt:variant>
      <vt:variant>
        <vt:i4>5</vt:i4>
      </vt:variant>
      <vt:variant>
        <vt:lpwstr>https://assets.ourwatch.org.au/assets/Submissions/OW-Submission-to-the-SA-Royal-Commission-into-Domestic-Family-and-Sexual-Violence.pdf</vt:lpwstr>
      </vt:variant>
      <vt:variant>
        <vt:lpwstr/>
      </vt:variant>
      <vt:variant>
        <vt:i4>4128873</vt:i4>
      </vt:variant>
      <vt:variant>
        <vt:i4>255</vt:i4>
      </vt:variant>
      <vt:variant>
        <vt:i4>0</vt:i4>
      </vt:variant>
      <vt:variant>
        <vt:i4>5</vt:i4>
      </vt:variant>
      <vt:variant>
        <vt:lpwstr>https://www.ourwatch.org.au/news/tastafe-partners-with-our-watch-to-prevent-violence-against-women</vt:lpwstr>
      </vt:variant>
      <vt:variant>
        <vt:lpwstr/>
      </vt:variant>
      <vt:variant>
        <vt:i4>7143464</vt:i4>
      </vt:variant>
      <vt:variant>
        <vt:i4>252</vt:i4>
      </vt:variant>
      <vt:variant>
        <vt:i4>0</vt:i4>
      </vt:variant>
      <vt:variant>
        <vt:i4>5</vt:i4>
      </vt:variant>
      <vt:variant>
        <vt:lpwstr>https://psnews.com.au/jesus-christ-cit-ceo-found-guilty-of-serious-corrupt-conduct-received-465000-in-entitlements/139535/</vt:lpwstr>
      </vt:variant>
      <vt:variant>
        <vt:lpwstr/>
      </vt:variant>
      <vt:variant>
        <vt:i4>7143464</vt:i4>
      </vt:variant>
      <vt:variant>
        <vt:i4>249</vt:i4>
      </vt:variant>
      <vt:variant>
        <vt:i4>0</vt:i4>
      </vt:variant>
      <vt:variant>
        <vt:i4>5</vt:i4>
      </vt:variant>
      <vt:variant>
        <vt:lpwstr>https://psnews.com.au/jesus-christ-cit-ceo-found-guilty-of-serious-corrupt-conduct-received-465000-in-entitlements/139535/</vt:lpwstr>
      </vt:variant>
      <vt:variant>
        <vt:lpwstr/>
      </vt:variant>
      <vt:variant>
        <vt:i4>6094901</vt:i4>
      </vt:variant>
      <vt:variant>
        <vt:i4>246</vt:i4>
      </vt:variant>
      <vt:variant>
        <vt:i4>0</vt:i4>
      </vt:variant>
      <vt:variant>
        <vt:i4>5</vt:i4>
      </vt:variant>
      <vt:variant>
        <vt:lpwstr>https://icac.nt.gov.au/__data/assets/pdf_file/0005/1206284/Tabled-Paper-770-Independent-Commissioner-Against-Corruption-General-Report-January-2023.pdf</vt:lpwstr>
      </vt:variant>
      <vt:variant>
        <vt:lpwstr/>
      </vt:variant>
      <vt:variant>
        <vt:i4>4194421</vt:i4>
      </vt:variant>
      <vt:variant>
        <vt:i4>243</vt:i4>
      </vt:variant>
      <vt:variant>
        <vt:i4>0</vt:i4>
      </vt:variant>
      <vt:variant>
        <vt:i4>5</vt:i4>
      </vt:variant>
      <vt:variant>
        <vt:lpwstr>https://www.parliament.tas.gov.au/__data/assets/pdf_file/0033/83868/GAA-SIP-Final-Report-TasTAFE-18-July-2024.pdf</vt:lpwstr>
      </vt:variant>
      <vt:variant>
        <vt:lpwstr/>
      </vt:variant>
      <vt:variant>
        <vt:i4>7012448</vt:i4>
      </vt:variant>
      <vt:variant>
        <vt:i4>240</vt:i4>
      </vt:variant>
      <vt:variant>
        <vt:i4>0</vt:i4>
      </vt:variant>
      <vt:variant>
        <vt:i4>5</vt:i4>
      </vt:variant>
      <vt:variant>
        <vt:lpwstr>https://www.abc.net.au/news/2023-02-09/icac-review-of-batchelor-institute-recommends-culture-changes/101947158</vt:lpwstr>
      </vt:variant>
      <vt:variant>
        <vt:lpwstr/>
      </vt:variant>
      <vt:variant>
        <vt:i4>5242895</vt:i4>
      </vt:variant>
      <vt:variant>
        <vt:i4>237</vt:i4>
      </vt:variant>
      <vt:variant>
        <vt:i4>0</vt:i4>
      </vt:variant>
      <vt:variant>
        <vt:i4>5</vt:i4>
      </vt:variant>
      <vt:variant>
        <vt:lpwstr>https://ntindependent.com.au/auditor-general-again-finds-serious-operational-and-financial-problems-with-batchelor-institute/</vt:lpwstr>
      </vt:variant>
      <vt:variant>
        <vt:lpwstr/>
      </vt:variant>
      <vt:variant>
        <vt:i4>6750242</vt:i4>
      </vt:variant>
      <vt:variant>
        <vt:i4>234</vt:i4>
      </vt:variant>
      <vt:variant>
        <vt:i4>0</vt:i4>
      </vt:variant>
      <vt:variant>
        <vt:i4>5</vt:i4>
      </vt:variant>
      <vt:variant>
        <vt:lpwstr>https://www.abc.net.au/news/felicity-james/6829384</vt:lpwstr>
      </vt:variant>
      <vt:variant>
        <vt:lpwstr/>
      </vt:variant>
      <vt:variant>
        <vt:i4>6684730</vt:i4>
      </vt:variant>
      <vt:variant>
        <vt:i4>231</vt:i4>
      </vt:variant>
      <vt:variant>
        <vt:i4>0</vt:i4>
      </vt:variant>
      <vt:variant>
        <vt:i4>5</vt:i4>
      </vt:variant>
      <vt:variant>
        <vt:lpwstr>https://www.cdu.edu.au/news/35-million-fund-new-cdu-tafe-trades-training-centre-katherine</vt:lpwstr>
      </vt:variant>
      <vt:variant>
        <vt:lpwstr>:~:text=The%20funding%20has%20come%20from,in%20collaboration%20with%20Department%20Industry</vt:lpwstr>
      </vt:variant>
      <vt:variant>
        <vt:i4>541851710</vt:i4>
      </vt:variant>
      <vt:variant>
        <vt:i4>228</vt:i4>
      </vt:variant>
      <vt:variant>
        <vt:i4>0</vt:i4>
      </vt:variant>
      <vt:variant>
        <vt:i4>5</vt:i4>
      </vt:variant>
      <vt:variant>
        <vt:lpwstr>https://www.cdu.edu.au/news/university-launches-cdu-tafe-better-support-territory’s-training-skills</vt:lpwstr>
      </vt:variant>
      <vt:variant>
        <vt:lpwstr/>
      </vt:variant>
      <vt:variant>
        <vt:i4>3342454</vt:i4>
      </vt:variant>
      <vt:variant>
        <vt:i4>225</vt:i4>
      </vt:variant>
      <vt:variant>
        <vt:i4>0</vt:i4>
      </vt:variant>
      <vt:variant>
        <vt:i4>5</vt:i4>
      </vt:variant>
      <vt:variant>
        <vt:lpwstr>https://www.cdu.edu.au/files/2022-02/vet-student-guide.pdf</vt:lpwstr>
      </vt:variant>
      <vt:variant>
        <vt:lpwstr/>
      </vt:variant>
      <vt:variant>
        <vt:i4>2621545</vt:i4>
      </vt:variant>
      <vt:variant>
        <vt:i4>222</vt:i4>
      </vt:variant>
      <vt:variant>
        <vt:i4>0</vt:i4>
      </vt:variant>
      <vt:variant>
        <vt:i4>5</vt:i4>
      </vt:variant>
      <vt:variant>
        <vt:lpwstr>https://www.cdu.edu.au/files/2024-06/annual-report-2023.pdf</vt:lpwstr>
      </vt:variant>
      <vt:variant>
        <vt:lpwstr/>
      </vt:variant>
      <vt:variant>
        <vt:i4>7340137</vt:i4>
      </vt:variant>
      <vt:variant>
        <vt:i4>219</vt:i4>
      </vt:variant>
      <vt:variant>
        <vt:i4>0</vt:i4>
      </vt:variant>
      <vt:variant>
        <vt:i4>5</vt:i4>
      </vt:variant>
      <vt:variant>
        <vt:lpwstr>https://www.cdu.edu.au/news/cdu-responds-national-student-safety-survey-results</vt:lpwstr>
      </vt:variant>
      <vt:variant>
        <vt:lpwstr/>
      </vt:variant>
      <vt:variant>
        <vt:i4>852011</vt:i4>
      </vt:variant>
      <vt:variant>
        <vt:i4>216</vt:i4>
      </vt:variant>
      <vt:variant>
        <vt:i4>0</vt:i4>
      </vt:variant>
      <vt:variant>
        <vt:i4>5</vt:i4>
      </vt:variant>
      <vt:variant>
        <vt:lpwstr>https://cit.edu.au/__data/assets/pdf_file/0008/311768/cit_gender_equity_action_plan.pdf</vt:lpwstr>
      </vt:variant>
      <vt:variant>
        <vt:lpwstr/>
      </vt:variant>
      <vt:variant>
        <vt:i4>1048584</vt:i4>
      </vt:variant>
      <vt:variant>
        <vt:i4>213</vt:i4>
      </vt:variant>
      <vt:variant>
        <vt:i4>0</vt:i4>
      </vt:variant>
      <vt:variant>
        <vt:i4>5</vt:i4>
      </vt:variant>
      <vt:variant>
        <vt:lpwstr>https://cit.edu.au/__data/assets/pdf_file/0005/298373/6211855950_CIT_2023_Annual_Report_FA.pdf</vt:lpwstr>
      </vt:variant>
      <vt:variant>
        <vt:lpwstr/>
      </vt:variant>
      <vt:variant>
        <vt:i4>4849676</vt:i4>
      </vt:variant>
      <vt:variant>
        <vt:i4>210</vt:i4>
      </vt:variant>
      <vt:variant>
        <vt:i4>0</vt:i4>
      </vt:variant>
      <vt:variant>
        <vt:i4>5</vt:i4>
      </vt:variant>
      <vt:variant>
        <vt:lpwstr>https://www.ntnews.com.au/business/nt-business/motor-trades-slams-cdu-tafe-trade-training/news-story/c444fdfe378e3d9a6ce997087ed272e5</vt:lpwstr>
      </vt:variant>
      <vt:variant>
        <vt:lpwstr/>
      </vt:variant>
      <vt:variant>
        <vt:i4>3604549</vt:i4>
      </vt:variant>
      <vt:variant>
        <vt:i4>207</vt:i4>
      </vt:variant>
      <vt:variant>
        <vt:i4>0</vt:i4>
      </vt:variant>
      <vt:variant>
        <vt:i4>5</vt:i4>
      </vt:variant>
      <vt:variant>
        <vt:lpwstr>https://www.batchelor.edu.au/uploads/About/Annual_Report_2023_polished-digital.pdf</vt:lpwstr>
      </vt:variant>
      <vt:variant>
        <vt:lpwstr/>
      </vt:variant>
      <vt:variant>
        <vt:i4>3997731</vt:i4>
      </vt:variant>
      <vt:variant>
        <vt:i4>204</vt:i4>
      </vt:variant>
      <vt:variant>
        <vt:i4>0</vt:i4>
      </vt:variant>
      <vt:variant>
        <vt:i4>5</vt:i4>
      </vt:variant>
      <vt:variant>
        <vt:lpwstr>https://www.abs.gov.au/statistics/people/population/regional-population/2022-23</vt:lpwstr>
      </vt:variant>
      <vt:variant>
        <vt:lpwstr/>
      </vt:variant>
      <vt:variant>
        <vt:i4>1572942</vt:i4>
      </vt:variant>
      <vt:variant>
        <vt:i4>201</vt:i4>
      </vt:variant>
      <vt:variant>
        <vt:i4>0</vt:i4>
      </vt:variant>
      <vt:variant>
        <vt:i4>5</vt:i4>
      </vt:variant>
      <vt:variant>
        <vt:lpwstr>https://www.abs.gov.au/statistics/health/disability/disability-ageing-and- carers-australia-summary-findings/2022</vt:lpwstr>
      </vt:variant>
      <vt:variant>
        <vt:lpwstr/>
      </vt:variant>
      <vt:variant>
        <vt:i4>1572942</vt:i4>
      </vt:variant>
      <vt:variant>
        <vt:i4>198</vt:i4>
      </vt:variant>
      <vt:variant>
        <vt:i4>0</vt:i4>
      </vt:variant>
      <vt:variant>
        <vt:i4>5</vt:i4>
      </vt:variant>
      <vt:variant>
        <vt:lpwstr>https://www.abs.gov.au/statistics/health/disability/disability-ageing-and- carers-australia-summary-findings/2022</vt:lpwstr>
      </vt:variant>
      <vt:variant>
        <vt:lpwstr/>
      </vt:variant>
      <vt:variant>
        <vt:i4>1572942</vt:i4>
      </vt:variant>
      <vt:variant>
        <vt:i4>195</vt:i4>
      </vt:variant>
      <vt:variant>
        <vt:i4>0</vt:i4>
      </vt:variant>
      <vt:variant>
        <vt:i4>5</vt:i4>
      </vt:variant>
      <vt:variant>
        <vt:lpwstr>https://www.abs.gov.au/statistics/health/disability/disability-ageing-and- carers-australia-summary-findings/2022</vt:lpwstr>
      </vt:variant>
      <vt:variant>
        <vt:lpwstr/>
      </vt:variant>
      <vt:variant>
        <vt:i4>3014778</vt:i4>
      </vt:variant>
      <vt:variant>
        <vt:i4>192</vt:i4>
      </vt:variant>
      <vt:variant>
        <vt:i4>0</vt:i4>
      </vt:variant>
      <vt:variant>
        <vt:i4>5</vt:i4>
      </vt:variant>
      <vt:variant>
        <vt:lpwstr>https://www.abs.gov.au/articles/australia-aboriginal-and-torres-strait-islander-population-summary</vt:lpwstr>
      </vt:variant>
      <vt:variant>
        <vt:lpwstr/>
      </vt:variant>
      <vt:variant>
        <vt:i4>7667760</vt:i4>
      </vt:variant>
      <vt:variant>
        <vt:i4>189</vt:i4>
      </vt:variant>
      <vt:variant>
        <vt:i4>0</vt:i4>
      </vt:variant>
      <vt:variant>
        <vt:i4>5</vt:i4>
      </vt:variant>
      <vt:variant>
        <vt:lpwstr>https://www.abs.gov.au/statistics/people/people-and-communities/cultural-diversity-census/2021</vt:lpwstr>
      </vt:variant>
      <vt:variant>
        <vt:lpwstr/>
      </vt:variant>
      <vt:variant>
        <vt:i4>2621482</vt:i4>
      </vt:variant>
      <vt:variant>
        <vt:i4>186</vt:i4>
      </vt:variant>
      <vt:variant>
        <vt:i4>0</vt:i4>
      </vt:variant>
      <vt:variant>
        <vt:i4>5</vt:i4>
      </vt:variant>
      <vt:variant>
        <vt:lpwstr>https://www.icac.sa.gov.au/documents/TAFE-SA-Evaluation.pdf</vt:lpwstr>
      </vt:variant>
      <vt:variant>
        <vt:lpwstr/>
      </vt:variant>
      <vt:variant>
        <vt:i4>1638451</vt:i4>
      </vt:variant>
      <vt:variant>
        <vt:i4>134</vt:i4>
      </vt:variant>
      <vt:variant>
        <vt:i4>0</vt:i4>
      </vt:variant>
      <vt:variant>
        <vt:i4>5</vt:i4>
      </vt:variant>
      <vt:variant>
        <vt:lpwstr/>
      </vt:variant>
      <vt:variant>
        <vt:lpwstr>_Toc204168371</vt:lpwstr>
      </vt:variant>
      <vt:variant>
        <vt:i4>1638451</vt:i4>
      </vt:variant>
      <vt:variant>
        <vt:i4>128</vt:i4>
      </vt:variant>
      <vt:variant>
        <vt:i4>0</vt:i4>
      </vt:variant>
      <vt:variant>
        <vt:i4>5</vt:i4>
      </vt:variant>
      <vt:variant>
        <vt:lpwstr/>
      </vt:variant>
      <vt:variant>
        <vt:lpwstr>_Toc204168370</vt:lpwstr>
      </vt:variant>
      <vt:variant>
        <vt:i4>1572915</vt:i4>
      </vt:variant>
      <vt:variant>
        <vt:i4>122</vt:i4>
      </vt:variant>
      <vt:variant>
        <vt:i4>0</vt:i4>
      </vt:variant>
      <vt:variant>
        <vt:i4>5</vt:i4>
      </vt:variant>
      <vt:variant>
        <vt:lpwstr/>
      </vt:variant>
      <vt:variant>
        <vt:lpwstr>_Toc204168369</vt:lpwstr>
      </vt:variant>
      <vt:variant>
        <vt:i4>1572915</vt:i4>
      </vt:variant>
      <vt:variant>
        <vt:i4>116</vt:i4>
      </vt:variant>
      <vt:variant>
        <vt:i4>0</vt:i4>
      </vt:variant>
      <vt:variant>
        <vt:i4>5</vt:i4>
      </vt:variant>
      <vt:variant>
        <vt:lpwstr/>
      </vt:variant>
      <vt:variant>
        <vt:lpwstr>_Toc204168368</vt:lpwstr>
      </vt:variant>
      <vt:variant>
        <vt:i4>1572915</vt:i4>
      </vt:variant>
      <vt:variant>
        <vt:i4>110</vt:i4>
      </vt:variant>
      <vt:variant>
        <vt:i4>0</vt:i4>
      </vt:variant>
      <vt:variant>
        <vt:i4>5</vt:i4>
      </vt:variant>
      <vt:variant>
        <vt:lpwstr/>
      </vt:variant>
      <vt:variant>
        <vt:lpwstr>_Toc204168367</vt:lpwstr>
      </vt:variant>
      <vt:variant>
        <vt:i4>1572915</vt:i4>
      </vt:variant>
      <vt:variant>
        <vt:i4>104</vt:i4>
      </vt:variant>
      <vt:variant>
        <vt:i4>0</vt:i4>
      </vt:variant>
      <vt:variant>
        <vt:i4>5</vt:i4>
      </vt:variant>
      <vt:variant>
        <vt:lpwstr/>
      </vt:variant>
      <vt:variant>
        <vt:lpwstr>_Toc204168366</vt:lpwstr>
      </vt:variant>
      <vt:variant>
        <vt:i4>1572915</vt:i4>
      </vt:variant>
      <vt:variant>
        <vt:i4>98</vt:i4>
      </vt:variant>
      <vt:variant>
        <vt:i4>0</vt:i4>
      </vt:variant>
      <vt:variant>
        <vt:i4>5</vt:i4>
      </vt:variant>
      <vt:variant>
        <vt:lpwstr/>
      </vt:variant>
      <vt:variant>
        <vt:lpwstr>_Toc204168365</vt:lpwstr>
      </vt:variant>
      <vt:variant>
        <vt:i4>1572915</vt:i4>
      </vt:variant>
      <vt:variant>
        <vt:i4>92</vt:i4>
      </vt:variant>
      <vt:variant>
        <vt:i4>0</vt:i4>
      </vt:variant>
      <vt:variant>
        <vt:i4>5</vt:i4>
      </vt:variant>
      <vt:variant>
        <vt:lpwstr/>
      </vt:variant>
      <vt:variant>
        <vt:lpwstr>_Toc204168364</vt:lpwstr>
      </vt:variant>
      <vt:variant>
        <vt:i4>1572915</vt:i4>
      </vt:variant>
      <vt:variant>
        <vt:i4>86</vt:i4>
      </vt:variant>
      <vt:variant>
        <vt:i4>0</vt:i4>
      </vt:variant>
      <vt:variant>
        <vt:i4>5</vt:i4>
      </vt:variant>
      <vt:variant>
        <vt:lpwstr/>
      </vt:variant>
      <vt:variant>
        <vt:lpwstr>_Toc204168363</vt:lpwstr>
      </vt:variant>
      <vt:variant>
        <vt:i4>1572915</vt:i4>
      </vt:variant>
      <vt:variant>
        <vt:i4>80</vt:i4>
      </vt:variant>
      <vt:variant>
        <vt:i4>0</vt:i4>
      </vt:variant>
      <vt:variant>
        <vt:i4>5</vt:i4>
      </vt:variant>
      <vt:variant>
        <vt:lpwstr/>
      </vt:variant>
      <vt:variant>
        <vt:lpwstr>_Toc204168362</vt:lpwstr>
      </vt:variant>
      <vt:variant>
        <vt:i4>1572915</vt:i4>
      </vt:variant>
      <vt:variant>
        <vt:i4>74</vt:i4>
      </vt:variant>
      <vt:variant>
        <vt:i4>0</vt:i4>
      </vt:variant>
      <vt:variant>
        <vt:i4>5</vt:i4>
      </vt:variant>
      <vt:variant>
        <vt:lpwstr/>
      </vt:variant>
      <vt:variant>
        <vt:lpwstr>_Toc204168361</vt:lpwstr>
      </vt:variant>
      <vt:variant>
        <vt:i4>1572915</vt:i4>
      </vt:variant>
      <vt:variant>
        <vt:i4>68</vt:i4>
      </vt:variant>
      <vt:variant>
        <vt:i4>0</vt:i4>
      </vt:variant>
      <vt:variant>
        <vt:i4>5</vt:i4>
      </vt:variant>
      <vt:variant>
        <vt:lpwstr/>
      </vt:variant>
      <vt:variant>
        <vt:lpwstr>_Toc204168360</vt:lpwstr>
      </vt:variant>
      <vt:variant>
        <vt:i4>1769523</vt:i4>
      </vt:variant>
      <vt:variant>
        <vt:i4>62</vt:i4>
      </vt:variant>
      <vt:variant>
        <vt:i4>0</vt:i4>
      </vt:variant>
      <vt:variant>
        <vt:i4>5</vt:i4>
      </vt:variant>
      <vt:variant>
        <vt:lpwstr/>
      </vt:variant>
      <vt:variant>
        <vt:lpwstr>_Toc204168359</vt:lpwstr>
      </vt:variant>
      <vt:variant>
        <vt:i4>1769523</vt:i4>
      </vt:variant>
      <vt:variant>
        <vt:i4>56</vt:i4>
      </vt:variant>
      <vt:variant>
        <vt:i4>0</vt:i4>
      </vt:variant>
      <vt:variant>
        <vt:i4>5</vt:i4>
      </vt:variant>
      <vt:variant>
        <vt:lpwstr/>
      </vt:variant>
      <vt:variant>
        <vt:lpwstr>_Toc204168358</vt:lpwstr>
      </vt:variant>
      <vt:variant>
        <vt:i4>1769523</vt:i4>
      </vt:variant>
      <vt:variant>
        <vt:i4>50</vt:i4>
      </vt:variant>
      <vt:variant>
        <vt:i4>0</vt:i4>
      </vt:variant>
      <vt:variant>
        <vt:i4>5</vt:i4>
      </vt:variant>
      <vt:variant>
        <vt:lpwstr/>
      </vt:variant>
      <vt:variant>
        <vt:lpwstr>_Toc204168357</vt:lpwstr>
      </vt:variant>
      <vt:variant>
        <vt:i4>1769523</vt:i4>
      </vt:variant>
      <vt:variant>
        <vt:i4>44</vt:i4>
      </vt:variant>
      <vt:variant>
        <vt:i4>0</vt:i4>
      </vt:variant>
      <vt:variant>
        <vt:i4>5</vt:i4>
      </vt:variant>
      <vt:variant>
        <vt:lpwstr/>
      </vt:variant>
      <vt:variant>
        <vt:lpwstr>_Toc204168356</vt:lpwstr>
      </vt:variant>
      <vt:variant>
        <vt:i4>1769523</vt:i4>
      </vt:variant>
      <vt:variant>
        <vt:i4>38</vt:i4>
      </vt:variant>
      <vt:variant>
        <vt:i4>0</vt:i4>
      </vt:variant>
      <vt:variant>
        <vt:i4>5</vt:i4>
      </vt:variant>
      <vt:variant>
        <vt:lpwstr/>
      </vt:variant>
      <vt:variant>
        <vt:lpwstr>_Toc204168355</vt:lpwstr>
      </vt:variant>
      <vt:variant>
        <vt:i4>1769523</vt:i4>
      </vt:variant>
      <vt:variant>
        <vt:i4>32</vt:i4>
      </vt:variant>
      <vt:variant>
        <vt:i4>0</vt:i4>
      </vt:variant>
      <vt:variant>
        <vt:i4>5</vt:i4>
      </vt:variant>
      <vt:variant>
        <vt:lpwstr/>
      </vt:variant>
      <vt:variant>
        <vt:lpwstr>_Toc204168354</vt:lpwstr>
      </vt:variant>
      <vt:variant>
        <vt:i4>1769523</vt:i4>
      </vt:variant>
      <vt:variant>
        <vt:i4>26</vt:i4>
      </vt:variant>
      <vt:variant>
        <vt:i4>0</vt:i4>
      </vt:variant>
      <vt:variant>
        <vt:i4>5</vt:i4>
      </vt:variant>
      <vt:variant>
        <vt:lpwstr/>
      </vt:variant>
      <vt:variant>
        <vt:lpwstr>_Toc204168353</vt:lpwstr>
      </vt:variant>
      <vt:variant>
        <vt:i4>1769523</vt:i4>
      </vt:variant>
      <vt:variant>
        <vt:i4>20</vt:i4>
      </vt:variant>
      <vt:variant>
        <vt:i4>0</vt:i4>
      </vt:variant>
      <vt:variant>
        <vt:i4>5</vt:i4>
      </vt:variant>
      <vt:variant>
        <vt:lpwstr/>
      </vt:variant>
      <vt:variant>
        <vt:lpwstr>_Toc204168352</vt:lpwstr>
      </vt:variant>
      <vt:variant>
        <vt:i4>1769523</vt:i4>
      </vt:variant>
      <vt:variant>
        <vt:i4>14</vt:i4>
      </vt:variant>
      <vt:variant>
        <vt:i4>0</vt:i4>
      </vt:variant>
      <vt:variant>
        <vt:i4>5</vt:i4>
      </vt:variant>
      <vt:variant>
        <vt:lpwstr/>
      </vt:variant>
      <vt:variant>
        <vt:lpwstr>_Toc204168351</vt:lpwstr>
      </vt:variant>
      <vt:variant>
        <vt:i4>1769523</vt:i4>
      </vt:variant>
      <vt:variant>
        <vt:i4>8</vt:i4>
      </vt:variant>
      <vt:variant>
        <vt:i4>0</vt:i4>
      </vt:variant>
      <vt:variant>
        <vt:i4>5</vt:i4>
      </vt:variant>
      <vt:variant>
        <vt:lpwstr/>
      </vt:variant>
      <vt:variant>
        <vt:lpwstr>_Toc204168350</vt:lpwstr>
      </vt:variant>
      <vt:variant>
        <vt:i4>1703987</vt:i4>
      </vt:variant>
      <vt:variant>
        <vt:i4>2</vt:i4>
      </vt:variant>
      <vt:variant>
        <vt:i4>0</vt:i4>
      </vt:variant>
      <vt:variant>
        <vt:i4>5</vt:i4>
      </vt:variant>
      <vt:variant>
        <vt:lpwstr/>
      </vt:variant>
      <vt:variant>
        <vt:lpwstr>_Toc204168349</vt:lpwstr>
      </vt:variant>
      <vt:variant>
        <vt:i4>3145825</vt:i4>
      </vt:variant>
      <vt:variant>
        <vt:i4>99</vt:i4>
      </vt:variant>
      <vt:variant>
        <vt:i4>0</vt:i4>
      </vt:variant>
      <vt:variant>
        <vt:i4>5</vt:i4>
      </vt:variant>
      <vt:variant>
        <vt:lpwstr>https://www.sbs.com.au/news/article/national-code-universities-gender-based-violence/7zi1ntehd</vt:lpwstr>
      </vt:variant>
      <vt:variant>
        <vt:lpwstr/>
      </vt:variant>
      <vt:variant>
        <vt:i4>7536740</vt:i4>
      </vt:variant>
      <vt:variant>
        <vt:i4>96</vt:i4>
      </vt:variant>
      <vt:variant>
        <vt:i4>0</vt:i4>
      </vt:variant>
      <vt:variant>
        <vt:i4>5</vt:i4>
      </vt:variant>
      <vt:variant>
        <vt:lpwstr>https://www.abc.net.au/news/2024-12-11/class-actions-launched-against-rio-tinto-bhp-abuse-allegations/104687304</vt:lpwstr>
      </vt:variant>
      <vt:variant>
        <vt:lpwstr/>
      </vt:variant>
      <vt:variant>
        <vt:i4>4784215</vt:i4>
      </vt:variant>
      <vt:variant>
        <vt:i4>93</vt:i4>
      </vt:variant>
      <vt:variant>
        <vt:i4>0</vt:i4>
      </vt:variant>
      <vt:variant>
        <vt:i4>5</vt:i4>
      </vt:variant>
      <vt:variant>
        <vt:lpwstr>https://www.wgea.gov.au/publications/gender-segregation-in-australias-workforce</vt:lpwstr>
      </vt:variant>
      <vt:variant>
        <vt:lpwstr>gender-seg-industry</vt:lpwstr>
      </vt:variant>
      <vt:variant>
        <vt:i4>1966109</vt:i4>
      </vt:variant>
      <vt:variant>
        <vt:i4>90</vt:i4>
      </vt:variant>
      <vt:variant>
        <vt:i4>0</vt:i4>
      </vt:variant>
      <vt:variant>
        <vt:i4>5</vt:i4>
      </vt:variant>
      <vt:variant>
        <vt:lpwstr>https://www.dewr.gov.au/download/16477/vet-workforce-blueprint/38784/vet-workforce-blueprint/pdf</vt:lpwstr>
      </vt:variant>
      <vt:variant>
        <vt:lpwstr/>
      </vt:variant>
      <vt:variant>
        <vt:i4>5046367</vt:i4>
      </vt:variant>
      <vt:variant>
        <vt:i4>87</vt:i4>
      </vt:variant>
      <vt:variant>
        <vt:i4>0</vt:i4>
      </vt:variant>
      <vt:variant>
        <vt:i4>5</vt:i4>
      </vt:variant>
      <vt:variant>
        <vt:lpwstr>https://www.aph.gov.au/About_Parliament/Parliamentary_departments/Parliamentary_Library/Research/Quick_Guides/2023-24/VocationalEducationandTraining</vt:lpwstr>
      </vt:variant>
      <vt:variant>
        <vt:lpwstr/>
      </vt:variant>
      <vt:variant>
        <vt:i4>6946920</vt:i4>
      </vt:variant>
      <vt:variant>
        <vt:i4>84</vt:i4>
      </vt:variant>
      <vt:variant>
        <vt:i4>0</vt:i4>
      </vt:variant>
      <vt:variant>
        <vt:i4>5</vt:i4>
      </vt:variant>
      <vt:variant>
        <vt:lpwstr>https://www.genderequalitycommission.vic.gov.au/about-gender-equality-act-2020</vt:lpwstr>
      </vt:variant>
      <vt:variant>
        <vt:lpwstr>what-is-a-defined-entity</vt:lpwstr>
      </vt:variant>
      <vt:variant>
        <vt:i4>3604518</vt:i4>
      </vt:variant>
      <vt:variant>
        <vt:i4>81</vt:i4>
      </vt:variant>
      <vt:variant>
        <vt:i4>0</vt:i4>
      </vt:variant>
      <vt:variant>
        <vt:i4>5</vt:i4>
      </vt:variant>
      <vt:variant>
        <vt:lpwstr>https://djsir.vic.gov.au/about-us/publications/statement-of-priorities</vt:lpwstr>
      </vt:variant>
      <vt:variant>
        <vt:lpwstr/>
      </vt:variant>
      <vt:variant>
        <vt:i4>5439490</vt:i4>
      </vt:variant>
      <vt:variant>
        <vt:i4>78</vt:i4>
      </vt:variant>
      <vt:variant>
        <vt:i4>0</vt:i4>
      </vt:variant>
      <vt:variant>
        <vt:i4>5</vt:i4>
      </vt:variant>
      <vt:variant>
        <vt:lpwstr>https://assets.ourwatch.org.au/assets/TAFE-resources/Respect-and-Equality-in-TAFE-National-Guide.pdf</vt:lpwstr>
      </vt:variant>
      <vt:variant>
        <vt:lpwstr/>
      </vt:variant>
      <vt:variant>
        <vt:i4>1900639</vt:i4>
      </vt:variant>
      <vt:variant>
        <vt:i4>75</vt:i4>
      </vt:variant>
      <vt:variant>
        <vt:i4>0</vt:i4>
      </vt:variant>
      <vt:variant>
        <vt:i4>5</vt:i4>
      </vt:variant>
      <vt:variant>
        <vt:lpwstr>https://xyonline.net/sites/xyonline.net/files/2022-09/Flood%2C Literature review on Prevention best practice 2020.pdf</vt:lpwstr>
      </vt:variant>
      <vt:variant>
        <vt:lpwstr/>
      </vt:variant>
      <vt:variant>
        <vt:i4>2228351</vt:i4>
      </vt:variant>
      <vt:variant>
        <vt:i4>72</vt:i4>
      </vt:variant>
      <vt:variant>
        <vt:i4>0</vt:i4>
      </vt:variant>
      <vt:variant>
        <vt:i4>5</vt:i4>
      </vt:variant>
      <vt:variant>
        <vt:lpwstr>https://journals.sagepub.com/doi/pdf/10.1177/10778012231183654</vt:lpwstr>
      </vt:variant>
      <vt:variant>
        <vt:lpwstr/>
      </vt:variant>
      <vt:variant>
        <vt:i4>1966109</vt:i4>
      </vt:variant>
      <vt:variant>
        <vt:i4>69</vt:i4>
      </vt:variant>
      <vt:variant>
        <vt:i4>0</vt:i4>
      </vt:variant>
      <vt:variant>
        <vt:i4>5</vt:i4>
      </vt:variant>
      <vt:variant>
        <vt:lpwstr>https://www.dewr.gov.au/download/16477/vet-workforce-blueprint/38784/vet-workforce-blueprint/pdf</vt:lpwstr>
      </vt:variant>
      <vt:variant>
        <vt:lpwstr/>
      </vt:variant>
      <vt:variant>
        <vt:i4>1966109</vt:i4>
      </vt:variant>
      <vt:variant>
        <vt:i4>66</vt:i4>
      </vt:variant>
      <vt:variant>
        <vt:i4>0</vt:i4>
      </vt:variant>
      <vt:variant>
        <vt:i4>5</vt:i4>
      </vt:variant>
      <vt:variant>
        <vt:lpwstr>https://www.dewr.gov.au/download/16477/vet-workforce-blueprint/38784/vet-workforce-blueprint/pdf</vt:lpwstr>
      </vt:variant>
      <vt:variant>
        <vt:lpwstr/>
      </vt:variant>
      <vt:variant>
        <vt:i4>5439490</vt:i4>
      </vt:variant>
      <vt:variant>
        <vt:i4>63</vt:i4>
      </vt:variant>
      <vt:variant>
        <vt:i4>0</vt:i4>
      </vt:variant>
      <vt:variant>
        <vt:i4>5</vt:i4>
      </vt:variant>
      <vt:variant>
        <vt:lpwstr>https://assets.ourwatch.org.au/assets/TAFE-resources/Respect-and-Equality-in-TAFE-National-Guide.pdf</vt:lpwstr>
      </vt:variant>
      <vt:variant>
        <vt:lpwstr/>
      </vt:variant>
      <vt:variant>
        <vt:i4>5439490</vt:i4>
      </vt:variant>
      <vt:variant>
        <vt:i4>60</vt:i4>
      </vt:variant>
      <vt:variant>
        <vt:i4>0</vt:i4>
      </vt:variant>
      <vt:variant>
        <vt:i4>5</vt:i4>
      </vt:variant>
      <vt:variant>
        <vt:lpwstr>https://assets.ourwatch.org.au/assets/TAFE-resources/Respect-and-Equality-in-TAFE-National-Guide.pdf</vt:lpwstr>
      </vt:variant>
      <vt:variant>
        <vt:lpwstr/>
      </vt:variant>
      <vt:variant>
        <vt:i4>2228260</vt:i4>
      </vt:variant>
      <vt:variant>
        <vt:i4>57</vt:i4>
      </vt:variant>
      <vt:variant>
        <vt:i4>0</vt:i4>
      </vt:variant>
      <vt:variant>
        <vt:i4>5</vt:i4>
      </vt:variant>
      <vt:variant>
        <vt:lpwstr>https://assets.ourwatch.org.au/assets/Key-frameworks/Change-the-story-Our-Watch-AA.pdf</vt:lpwstr>
      </vt:variant>
      <vt:variant>
        <vt:lpwstr/>
      </vt:variant>
      <vt:variant>
        <vt:i4>5439490</vt:i4>
      </vt:variant>
      <vt:variant>
        <vt:i4>54</vt:i4>
      </vt:variant>
      <vt:variant>
        <vt:i4>0</vt:i4>
      </vt:variant>
      <vt:variant>
        <vt:i4>5</vt:i4>
      </vt:variant>
      <vt:variant>
        <vt:lpwstr>https://assets.ourwatch.org.au/assets/TAFE-resources/Respect-and-Equality-in-TAFE-National-Guide.pdf</vt:lpwstr>
      </vt:variant>
      <vt:variant>
        <vt:lpwstr/>
      </vt:variant>
      <vt:variant>
        <vt:i4>5439490</vt:i4>
      </vt:variant>
      <vt:variant>
        <vt:i4>51</vt:i4>
      </vt:variant>
      <vt:variant>
        <vt:i4>0</vt:i4>
      </vt:variant>
      <vt:variant>
        <vt:i4>5</vt:i4>
      </vt:variant>
      <vt:variant>
        <vt:lpwstr>https://assets.ourwatch.org.au/assets/TAFE-resources/Respect-and-Equality-in-TAFE-National-Guide.pdf</vt:lpwstr>
      </vt:variant>
      <vt:variant>
        <vt:lpwstr/>
      </vt:variant>
      <vt:variant>
        <vt:i4>3342368</vt:i4>
      </vt:variant>
      <vt:variant>
        <vt:i4>48</vt:i4>
      </vt:variant>
      <vt:variant>
        <vt:i4>0</vt:i4>
      </vt:variant>
      <vt:variant>
        <vt:i4>5</vt:i4>
      </vt:variant>
      <vt:variant>
        <vt:lpwstr>https://universitiesaustralia.edu.au/project/2021-nsss/</vt:lpwstr>
      </vt:variant>
      <vt:variant>
        <vt:lpwstr/>
      </vt:variant>
      <vt:variant>
        <vt:i4>2228260</vt:i4>
      </vt:variant>
      <vt:variant>
        <vt:i4>45</vt:i4>
      </vt:variant>
      <vt:variant>
        <vt:i4>0</vt:i4>
      </vt:variant>
      <vt:variant>
        <vt:i4>5</vt:i4>
      </vt:variant>
      <vt:variant>
        <vt:lpwstr>https://assets.ourwatch.org.au/assets/Key-frameworks/Change-the-story-Our-Watch-AA.pdf</vt:lpwstr>
      </vt:variant>
      <vt:variant>
        <vt:lpwstr/>
      </vt:variant>
      <vt:variant>
        <vt:i4>1966109</vt:i4>
      </vt:variant>
      <vt:variant>
        <vt:i4>42</vt:i4>
      </vt:variant>
      <vt:variant>
        <vt:i4>0</vt:i4>
      </vt:variant>
      <vt:variant>
        <vt:i4>5</vt:i4>
      </vt:variant>
      <vt:variant>
        <vt:lpwstr>https://www.dewr.gov.au/download/16477/vet-workforce-blueprint/38784/vet-workforce-blueprint/pdf</vt:lpwstr>
      </vt:variant>
      <vt:variant>
        <vt:lpwstr/>
      </vt:variant>
      <vt:variant>
        <vt:i4>2228260</vt:i4>
      </vt:variant>
      <vt:variant>
        <vt:i4>39</vt:i4>
      </vt:variant>
      <vt:variant>
        <vt:i4>0</vt:i4>
      </vt:variant>
      <vt:variant>
        <vt:i4>5</vt:i4>
      </vt:variant>
      <vt:variant>
        <vt:lpwstr>https://assets.ourwatch.org.au/assets/Key-frameworks/Change-the-story-Our-Watch-AA.pdf</vt:lpwstr>
      </vt:variant>
      <vt:variant>
        <vt:lpwstr/>
      </vt:variant>
      <vt:variant>
        <vt:i4>2228260</vt:i4>
      </vt:variant>
      <vt:variant>
        <vt:i4>36</vt:i4>
      </vt:variant>
      <vt:variant>
        <vt:i4>0</vt:i4>
      </vt:variant>
      <vt:variant>
        <vt:i4>5</vt:i4>
      </vt:variant>
      <vt:variant>
        <vt:lpwstr>https://assets.ourwatch.org.au/assets/Key-frameworks/Change-the-story-Our-Watch-AA.pdf</vt:lpwstr>
      </vt:variant>
      <vt:variant>
        <vt:lpwstr/>
      </vt:variant>
      <vt:variant>
        <vt:i4>393325</vt:i4>
      </vt:variant>
      <vt:variant>
        <vt:i4>33</vt:i4>
      </vt:variant>
      <vt:variant>
        <vt:i4>0</vt:i4>
      </vt:variant>
      <vt:variant>
        <vt:i4>5</vt:i4>
      </vt:variant>
      <vt:variant>
        <vt:lpwstr>https://www.jobsandskills.gov.au/sites/default/files/2024-10/vet_workforce_study_2024.pdf</vt:lpwstr>
      </vt:variant>
      <vt:variant>
        <vt:lpwstr/>
      </vt:variant>
      <vt:variant>
        <vt:i4>1966109</vt:i4>
      </vt:variant>
      <vt:variant>
        <vt:i4>30</vt:i4>
      </vt:variant>
      <vt:variant>
        <vt:i4>0</vt:i4>
      </vt:variant>
      <vt:variant>
        <vt:i4>5</vt:i4>
      </vt:variant>
      <vt:variant>
        <vt:lpwstr>https://www.dewr.gov.au/download/16477/vet-workforce-blueprint/38784/vet-workforce-blueprint/pdf</vt:lpwstr>
      </vt:variant>
      <vt:variant>
        <vt:lpwstr/>
      </vt:variant>
      <vt:variant>
        <vt:i4>5046367</vt:i4>
      </vt:variant>
      <vt:variant>
        <vt:i4>27</vt:i4>
      </vt:variant>
      <vt:variant>
        <vt:i4>0</vt:i4>
      </vt:variant>
      <vt:variant>
        <vt:i4>5</vt:i4>
      </vt:variant>
      <vt:variant>
        <vt:lpwstr>https://www.aph.gov.au/About_Parliament/Parliamentary_departments/Parliamentary_Library/Research/Quick_Guides/2023-24/VocationalEducationandTraining</vt:lpwstr>
      </vt:variant>
      <vt:variant>
        <vt:lpwstr/>
      </vt:variant>
      <vt:variant>
        <vt:i4>393325</vt:i4>
      </vt:variant>
      <vt:variant>
        <vt:i4>24</vt:i4>
      </vt:variant>
      <vt:variant>
        <vt:i4>0</vt:i4>
      </vt:variant>
      <vt:variant>
        <vt:i4>5</vt:i4>
      </vt:variant>
      <vt:variant>
        <vt:lpwstr>https://www.jobsandskills.gov.au/sites/default/files/2024-10/vet_workforce_study_2024.pdf</vt:lpwstr>
      </vt:variant>
      <vt:variant>
        <vt:lpwstr/>
      </vt:variant>
      <vt:variant>
        <vt:i4>6750261</vt:i4>
      </vt:variant>
      <vt:variant>
        <vt:i4>21</vt:i4>
      </vt:variant>
      <vt:variant>
        <vt:i4>0</vt:i4>
      </vt:variant>
      <vt:variant>
        <vt:i4>5</vt:i4>
      </vt:variant>
      <vt:variant>
        <vt:lpwstr>https://www.aph.gov.au/Parliamentary_Business/Committees/Senate/Finance_and_Public_Administration/Gendersegregation</vt:lpwstr>
      </vt:variant>
      <vt:variant>
        <vt:lpwstr/>
      </vt:variant>
      <vt:variant>
        <vt:i4>6750261</vt:i4>
      </vt:variant>
      <vt:variant>
        <vt:i4>18</vt:i4>
      </vt:variant>
      <vt:variant>
        <vt:i4>0</vt:i4>
      </vt:variant>
      <vt:variant>
        <vt:i4>5</vt:i4>
      </vt:variant>
      <vt:variant>
        <vt:lpwstr>https://www.aph.gov.au/Parliamentary_Business/Committees/Senate/Finance_and_Public_Administration/Gendersegregation</vt:lpwstr>
      </vt:variant>
      <vt:variant>
        <vt:lpwstr/>
      </vt:variant>
      <vt:variant>
        <vt:i4>5111893</vt:i4>
      </vt:variant>
      <vt:variant>
        <vt:i4>15</vt:i4>
      </vt:variant>
      <vt:variant>
        <vt:i4>0</vt:i4>
      </vt:variant>
      <vt:variant>
        <vt:i4>5</vt:i4>
      </vt:variant>
      <vt:variant>
        <vt:lpwstr>https://www.ncver.edu.au/research-and-statistics/vocstats</vt:lpwstr>
      </vt:variant>
      <vt:variant>
        <vt:lpwstr/>
      </vt:variant>
      <vt:variant>
        <vt:i4>2228260</vt:i4>
      </vt:variant>
      <vt:variant>
        <vt:i4>12</vt:i4>
      </vt:variant>
      <vt:variant>
        <vt:i4>0</vt:i4>
      </vt:variant>
      <vt:variant>
        <vt:i4>5</vt:i4>
      </vt:variant>
      <vt:variant>
        <vt:lpwstr>https://assets.ourwatch.org.au/assets/Key-frameworks/Change-the-story-Our-Watch-AA.pdf</vt:lpwstr>
      </vt:variant>
      <vt:variant>
        <vt:lpwstr/>
      </vt:variant>
      <vt:variant>
        <vt:i4>5046367</vt:i4>
      </vt:variant>
      <vt:variant>
        <vt:i4>9</vt:i4>
      </vt:variant>
      <vt:variant>
        <vt:i4>0</vt:i4>
      </vt:variant>
      <vt:variant>
        <vt:i4>5</vt:i4>
      </vt:variant>
      <vt:variant>
        <vt:lpwstr>https://www.aph.gov.au/About_Parliament/Parliamentary_departments/Parliamentary_Library/Research/Quick_Guides/2023-24/VocationalEducationandTraining</vt:lpwstr>
      </vt:variant>
      <vt:variant>
        <vt:lpwstr/>
      </vt:variant>
      <vt:variant>
        <vt:i4>393325</vt:i4>
      </vt:variant>
      <vt:variant>
        <vt:i4>6</vt:i4>
      </vt:variant>
      <vt:variant>
        <vt:i4>0</vt:i4>
      </vt:variant>
      <vt:variant>
        <vt:i4>5</vt:i4>
      </vt:variant>
      <vt:variant>
        <vt:lpwstr>https://www.jobsandskills.gov.au/sites/default/files/2024-10/vet_workforce_study_2024.pdf</vt:lpwstr>
      </vt:variant>
      <vt:variant>
        <vt:lpwstr/>
      </vt:variant>
      <vt:variant>
        <vt:i4>5046367</vt:i4>
      </vt:variant>
      <vt:variant>
        <vt:i4>3</vt:i4>
      </vt:variant>
      <vt:variant>
        <vt:i4>0</vt:i4>
      </vt:variant>
      <vt:variant>
        <vt:i4>5</vt:i4>
      </vt:variant>
      <vt:variant>
        <vt:lpwstr>https://www.aph.gov.au/About_Parliament/Parliamentary_departments/Parliamentary_Library/Research/Quick_Guides/2023-24/VocationalEducationandTraining</vt:lpwstr>
      </vt:variant>
      <vt:variant>
        <vt:lpwstr/>
      </vt:variant>
      <vt:variant>
        <vt:i4>196701</vt:i4>
      </vt:variant>
      <vt:variant>
        <vt:i4>0</vt:i4>
      </vt:variant>
      <vt:variant>
        <vt:i4>0</vt:i4>
      </vt:variant>
      <vt:variant>
        <vt:i4>5</vt:i4>
      </vt:variant>
      <vt:variant>
        <vt:lpwstr>https://www.studyaustralia.gov.au/en/plan-your-studies/vocational-education-and-training</vt:lpwstr>
      </vt:variant>
      <vt:variant>
        <vt:lpwstr>:~:text=and%20paramedic%20roles.-,What%20is%20VET%3F,the%20largest%20provider%20of%20VET</vt:lpwstr>
      </vt:variant>
      <vt:variant>
        <vt:i4>6357027</vt:i4>
      </vt:variant>
      <vt:variant>
        <vt:i4>24</vt:i4>
      </vt:variant>
      <vt:variant>
        <vt:i4>0</vt:i4>
      </vt:variant>
      <vt:variant>
        <vt:i4>5</vt:i4>
      </vt:variant>
      <vt:variant>
        <vt:lpwstr>http://www.dandolo.com.au/</vt:lpwstr>
      </vt:variant>
      <vt:variant>
        <vt:lpwstr/>
      </vt:variant>
      <vt:variant>
        <vt:i4>6291456</vt:i4>
      </vt:variant>
      <vt:variant>
        <vt:i4>21</vt:i4>
      </vt:variant>
      <vt:variant>
        <vt:i4>0</vt:i4>
      </vt:variant>
      <vt:variant>
        <vt:i4>5</vt:i4>
      </vt:variant>
      <vt:variant>
        <vt:lpwstr>mailto:enquiries@dandolo.com.au</vt:lpwstr>
      </vt:variant>
      <vt:variant>
        <vt:lpwstr/>
      </vt:variant>
      <vt:variant>
        <vt:i4>6357027</vt:i4>
      </vt:variant>
      <vt:variant>
        <vt:i4>15</vt:i4>
      </vt:variant>
      <vt:variant>
        <vt:i4>0</vt:i4>
      </vt:variant>
      <vt:variant>
        <vt:i4>5</vt:i4>
      </vt:variant>
      <vt:variant>
        <vt:lpwstr>http://www.dandolo.com.au/</vt:lpwstr>
      </vt:variant>
      <vt:variant>
        <vt:lpwstr/>
      </vt:variant>
      <vt:variant>
        <vt:i4>6291456</vt:i4>
      </vt:variant>
      <vt:variant>
        <vt:i4>12</vt:i4>
      </vt:variant>
      <vt:variant>
        <vt:i4>0</vt:i4>
      </vt:variant>
      <vt:variant>
        <vt:i4>5</vt:i4>
      </vt:variant>
      <vt:variant>
        <vt:lpwstr>mailto:enquiries@dandolo.com.au</vt:lpwstr>
      </vt:variant>
      <vt:variant>
        <vt:lpwstr/>
      </vt:variant>
      <vt:variant>
        <vt:i4>6357027</vt:i4>
      </vt:variant>
      <vt:variant>
        <vt:i4>6</vt:i4>
      </vt:variant>
      <vt:variant>
        <vt:i4>0</vt:i4>
      </vt:variant>
      <vt:variant>
        <vt:i4>5</vt:i4>
      </vt:variant>
      <vt:variant>
        <vt:lpwstr>http://www.dandolo.com.au/</vt:lpwstr>
      </vt:variant>
      <vt:variant>
        <vt:lpwstr/>
      </vt:variant>
      <vt:variant>
        <vt:i4>6619137</vt:i4>
      </vt:variant>
      <vt:variant>
        <vt:i4>3</vt:i4>
      </vt:variant>
      <vt:variant>
        <vt:i4>0</vt:i4>
      </vt:variant>
      <vt:variant>
        <vt:i4>5</vt:i4>
      </vt:variant>
      <vt:variant>
        <vt:lpwstr>mailto:admin@dandolo.com.au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RESPECT AND EQUALITY AT TAFES 2 PROJECT</dc:title>
  <dc:subject>document subtitle</dc:subject>
  <dc:creator>Ellie Hamil</dc:creator>
  <cp:keywords/>
  <cp:lastModifiedBy>Catalina Sinclair</cp:lastModifiedBy>
  <cp:revision>2</cp:revision>
  <cp:lastPrinted>2025-07-25T05:41:00Z</cp:lastPrinted>
  <dcterms:created xsi:type="dcterms:W3CDTF">2025-10-26T23:27:00Z</dcterms:created>
  <dcterms:modified xsi:type="dcterms:W3CDTF">2025-10-26T23:27:00Z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GrammarlyDocumentId">
    <vt:lpwstr>d4d1cc0a4e95b5c84bd7777b5243dc8a798f64120f2f3e0b98b9149223220ddc</vt:lpwstr>
  </property>
</Properties>
</file>