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C0777" w14:textId="2A837A9D" w:rsidR="00507FBD" w:rsidRPr="009A06F2" w:rsidRDefault="00BC4C77" w:rsidP="009A06F2">
      <w:pPr>
        <w:pStyle w:val="BodyText"/>
        <w:spacing w:after="0"/>
        <w:rPr>
          <w:sz w:val="12"/>
          <w:szCs w:val="12"/>
        </w:rPr>
      </w:pPr>
      <w:r>
        <w:rPr>
          <w:noProof/>
          <w:sz w:val="12"/>
          <w:szCs w:val="12"/>
        </w:rPr>
        <w:drawing>
          <wp:anchor distT="0" distB="0" distL="114300" distR="114300" simplePos="0" relativeHeight="251658240" behindDoc="1" locked="1" layoutInCell="1" allowOverlap="1" wp14:anchorId="7B697F00" wp14:editId="0F86D21C">
            <wp:simplePos x="0" y="0"/>
            <wp:positionH relativeFrom="page">
              <wp:posOffset>0</wp:posOffset>
            </wp:positionH>
            <wp:positionV relativeFrom="page">
              <wp:posOffset>0</wp:posOffset>
            </wp:positionV>
            <wp:extent cx="7558560" cy="1861920"/>
            <wp:effectExtent l="0" t="0" r="4445" b="5080"/>
            <wp:wrapNone/>
            <wp:docPr id="709722265" name="Picture 1" descr="Our Watch - Preventing violence against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22265" name="Picture 1" descr="Our Watch - Preventing violence against women"/>
                    <pic:cNvPicPr/>
                  </pic:nvPicPr>
                  <pic:blipFill>
                    <a:blip r:embed="rId8" cstate="print">
                      <a:extLst>
                        <a:ext uri="{28A0092B-C50C-407E-A947-70E740481C1C}">
                          <a14:useLocalDpi xmlns:a14="http://schemas.microsoft.com/office/drawing/2010/main" val="0"/>
                        </a:ext>
                      </a:extLst>
                    </a:blip>
                    <a:srcRect t="3007" b="3007"/>
                    <a:stretch>
                      <a:fillRect/>
                    </a:stretch>
                  </pic:blipFill>
                  <pic:spPr bwMode="auto">
                    <a:xfrm>
                      <a:off x="0" y="0"/>
                      <a:ext cx="7558560" cy="1861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01054D" w14:textId="713704B2" w:rsidR="00737077" w:rsidRDefault="00737077" w:rsidP="00ED43DE">
      <w:pPr>
        <w:pStyle w:val="BodyText"/>
        <w:sectPr w:rsidR="00737077" w:rsidSect="000D3A47">
          <w:headerReference w:type="even" r:id="rId9"/>
          <w:headerReference w:type="default" r:id="rId10"/>
          <w:footerReference w:type="even" r:id="rId11"/>
          <w:footerReference w:type="default" r:id="rId12"/>
          <w:headerReference w:type="first" r:id="rId13"/>
          <w:footerReference w:type="first" r:id="rId14"/>
          <w:pgSz w:w="11906" w:h="16838" w:code="9"/>
          <w:pgMar w:top="2948" w:right="2552" w:bottom="992" w:left="1134" w:header="284" w:footer="533" w:gutter="0"/>
          <w:cols w:space="708"/>
          <w:docGrid w:linePitch="360"/>
        </w:sectPr>
      </w:pPr>
    </w:p>
    <w:p w14:paraId="097C6685" w14:textId="59C58842" w:rsidR="00A33840" w:rsidRDefault="00A33840" w:rsidP="00A33840">
      <w:pPr>
        <w:pStyle w:val="Title"/>
      </w:pPr>
      <w:r>
        <w:t>Preventin</w:t>
      </w:r>
      <w:r w:rsidR="00D118CC">
        <w:t>g sexual harassme</w:t>
      </w:r>
      <w:r>
        <w:t xml:space="preserve">nt: </w:t>
      </w:r>
      <w:r w:rsidR="00D118CC">
        <w:t>s</w:t>
      </w:r>
      <w:r>
        <w:t>ome</w:t>
      </w:r>
      <w:r w:rsidR="00D118CC">
        <w:t xml:space="preserve"> actions for senior executi</w:t>
      </w:r>
      <w:r>
        <w:t>ves</w:t>
      </w:r>
    </w:p>
    <w:p w14:paraId="0475B245" w14:textId="77777777" w:rsidR="00A33840" w:rsidRDefault="00A33840" w:rsidP="00A33840">
      <w:pPr>
        <w:pStyle w:val="BodyText"/>
      </w:pPr>
      <w:r>
        <w:t>What senior executives communicate to their employees and stakeholders and how they do it significantly shapes people’s attitudes to sexual harassment. One peer-reviewed study from 2018 found that messaging from a CEO who emphasised the severity of the problem versus one who downplayed the issue significantly affected whether or not staff saw sexual harassment as a ‘high-priority issue’. This pattern held no matter the participants’ gender or political affiliation.</w:t>
      </w:r>
    </w:p>
    <w:p w14:paraId="3244AC27" w14:textId="77777777" w:rsidR="00A33840" w:rsidRPr="00A33840" w:rsidRDefault="00A33840" w:rsidP="00A33840">
      <w:pPr>
        <w:pStyle w:val="QuoteItalic"/>
      </w:pPr>
      <w:r w:rsidRPr="00A33840">
        <w:t>How you lead and the visibility of that leadership makes a difference!</w:t>
      </w:r>
    </w:p>
    <w:p w14:paraId="0F8D18A8" w14:textId="77777777" w:rsidR="00A33840" w:rsidRDefault="00A33840" w:rsidP="00A33840">
      <w:pPr>
        <w:pStyle w:val="Heading1"/>
      </w:pPr>
      <w:r>
        <w:t>Make Our Watch’s Workplace Equality and Respect Standards a part of your workplace’s core values</w:t>
      </w:r>
    </w:p>
    <w:p w14:paraId="32F79942" w14:textId="77777777" w:rsidR="00A33840" w:rsidRDefault="00A33840" w:rsidP="00A33840">
      <w:pPr>
        <w:pStyle w:val="Caption"/>
      </w:pPr>
      <w:r>
        <w:t>Our Watch Workplace Equality and Respect Standards</w:t>
      </w:r>
    </w:p>
    <w:tbl>
      <w:tblPr>
        <w:tblStyle w:val="TableGrid"/>
        <w:tblW w:w="0" w:type="auto"/>
        <w:tblCellMar>
          <w:left w:w="170" w:type="dxa"/>
        </w:tblCellMar>
        <w:tblLook w:val="04A0" w:firstRow="1" w:lastRow="0" w:firstColumn="1" w:lastColumn="0" w:noHBand="0" w:noVBand="1"/>
      </w:tblPr>
      <w:tblGrid>
        <w:gridCol w:w="8210"/>
      </w:tblGrid>
      <w:tr w:rsidR="00A33840" w14:paraId="37F2F6D8" w14:textId="77777777" w:rsidTr="00A33840">
        <w:trPr>
          <w:cnfStyle w:val="100000000000" w:firstRow="1" w:lastRow="0" w:firstColumn="0" w:lastColumn="0" w:oddVBand="0" w:evenVBand="0" w:oddHBand="0" w:evenHBand="0" w:firstRowFirstColumn="0" w:firstRowLastColumn="0" w:lastRowFirstColumn="0" w:lastRowLastColumn="0"/>
        </w:trPr>
        <w:tc>
          <w:tcPr>
            <w:tcW w:w="8220" w:type="dxa"/>
            <w:tcBorders>
              <w:top w:val="single" w:sz="4" w:space="0" w:color="002554" w:themeColor="accent1"/>
              <w:left w:val="single" w:sz="4" w:space="0" w:color="002554" w:themeColor="accent1"/>
              <w:bottom w:val="single" w:sz="4" w:space="0" w:color="002554" w:themeColor="accent1"/>
              <w:right w:val="single" w:sz="4" w:space="0" w:color="002554" w:themeColor="accent1"/>
            </w:tcBorders>
          </w:tcPr>
          <w:p w14:paraId="3778EA72" w14:textId="77777777" w:rsidR="00A33840" w:rsidRDefault="00A33840" w:rsidP="00A33840">
            <w:pPr>
              <w:pStyle w:val="BodyText"/>
              <w:spacing w:before="180"/>
            </w:pPr>
            <w:r w:rsidRPr="00A33840">
              <w:rPr>
                <w:rStyle w:val="Strong"/>
              </w:rPr>
              <w:t>Commitment:</w:t>
            </w:r>
            <w:r>
              <w:t xml:space="preserve"> We demonstrate an ongoing commitment to workplace gender equality and preventing sexual harassment and other forms of gender-based violence.</w:t>
            </w:r>
          </w:p>
          <w:p w14:paraId="34C6EC62" w14:textId="77777777" w:rsidR="00A33840" w:rsidRDefault="00A33840" w:rsidP="00A33840">
            <w:pPr>
              <w:pStyle w:val="BodyText"/>
            </w:pPr>
            <w:r w:rsidRPr="00A33840">
              <w:rPr>
                <w:rStyle w:val="Strong"/>
              </w:rPr>
              <w:t>Conditions:</w:t>
            </w:r>
            <w:r>
              <w:t xml:space="preserve"> We apply a gender lens to our workplace policies and practices to ensure they are fair and equitable.</w:t>
            </w:r>
          </w:p>
          <w:p w14:paraId="4E6744B1" w14:textId="77777777" w:rsidR="00A33840" w:rsidRDefault="00A33840" w:rsidP="00A33840">
            <w:pPr>
              <w:pStyle w:val="BodyText"/>
            </w:pPr>
            <w:r w:rsidRPr="00A33840">
              <w:rPr>
                <w:rStyle w:val="Strong"/>
              </w:rPr>
              <w:t>Culture:</w:t>
            </w:r>
            <w:r>
              <w:t xml:space="preserve"> We promote a workplace culture where all people feel safe, confident, and supported to actively challenge gender bias and discrimination, gender stereotypes and harmful gender norms without adverse consequences.</w:t>
            </w:r>
          </w:p>
          <w:p w14:paraId="6AC31303" w14:textId="77777777" w:rsidR="00A33840" w:rsidRDefault="00A33840" w:rsidP="00A33840">
            <w:pPr>
              <w:pStyle w:val="BodyText"/>
            </w:pPr>
            <w:r w:rsidRPr="00A33840">
              <w:rPr>
                <w:rStyle w:val="Strong"/>
              </w:rPr>
              <w:t>Support:</w:t>
            </w:r>
            <w:r>
              <w:t xml:space="preserve"> We listen to, respect and support people who experience sexual harassment and gender-based violence (including domestic and family violence) through policies and practices that consider the impact of trauma.</w:t>
            </w:r>
          </w:p>
          <w:p w14:paraId="36A6CC28" w14:textId="2439E721" w:rsidR="00A33840" w:rsidRDefault="00A33840" w:rsidP="00A33840">
            <w:pPr>
              <w:pStyle w:val="BodyText"/>
            </w:pPr>
            <w:r w:rsidRPr="00A33840">
              <w:rPr>
                <w:rStyle w:val="Strong"/>
              </w:rPr>
              <w:t>Core business:</w:t>
            </w:r>
            <w:r>
              <w:t xml:space="preserve"> We promote gender equality in our external engagement with customers, stakeholders, and the community.</w:t>
            </w:r>
          </w:p>
        </w:tc>
      </w:tr>
    </w:tbl>
    <w:p w14:paraId="386697E6" w14:textId="77777777" w:rsidR="00A33840" w:rsidRDefault="00A33840" w:rsidP="00A33840">
      <w:pPr>
        <w:pStyle w:val="BodyText"/>
      </w:pPr>
      <w:r>
        <w:br w:type="page"/>
      </w:r>
    </w:p>
    <w:p w14:paraId="74440E7C" w14:textId="076B3F43" w:rsidR="00A33840" w:rsidRDefault="00A33840" w:rsidP="00A33840">
      <w:pPr>
        <w:pStyle w:val="BodyTextAfterBullets"/>
        <w:spacing w:before="400"/>
      </w:pPr>
      <w:r>
        <w:lastRenderedPageBreak/>
        <w:t>Here are some practical actions that you, as leaders, can take to prevent and mitigate the risks of sexual harassment in your workplaces.</w:t>
      </w:r>
    </w:p>
    <w:p w14:paraId="71EC8F4C" w14:textId="77777777" w:rsidR="00A33840" w:rsidRDefault="00A33840" w:rsidP="00A33840">
      <w:pPr>
        <w:pStyle w:val="Heading2"/>
      </w:pPr>
      <w:r>
        <w:t>Commitment</w:t>
      </w:r>
    </w:p>
    <w:p w14:paraId="1B425850" w14:textId="7048168D" w:rsidR="00A33840" w:rsidRDefault="00A33840" w:rsidP="00B029F1">
      <w:pPr>
        <w:pStyle w:val="ListBullet"/>
      </w:pPr>
      <w:r>
        <w:t>To know how to lead to prevent sexual harassment, build your understanding of the key drivers of sexual harassment.</w:t>
      </w:r>
    </w:p>
    <w:p w14:paraId="5B42B8B9" w14:textId="18960D5F" w:rsidR="00A33840" w:rsidRDefault="00A33840" w:rsidP="00B029F1">
      <w:pPr>
        <w:pStyle w:val="ListBullet"/>
      </w:pPr>
      <w:r>
        <w:t>Invest in understanding your workplace’s formal and informal culture so you can promote positive norms, values, and behaviours that encourage a diverse, inclusive, gender-equal workplace.</w:t>
      </w:r>
    </w:p>
    <w:p w14:paraId="29B56BDF" w14:textId="4F8BA996" w:rsidR="00A33840" w:rsidRDefault="00A33840" w:rsidP="00B029F1">
      <w:pPr>
        <w:pStyle w:val="ListBullet"/>
      </w:pPr>
      <w:r>
        <w:t>Be vocal about your commitment to inclusion and gender equality, and clearly communicate this commitment to all employees and stakeholders.</w:t>
      </w:r>
    </w:p>
    <w:p w14:paraId="2FF81B9C" w14:textId="3BF5C28C" w:rsidR="00A33840" w:rsidRDefault="00A33840" w:rsidP="00B029F1">
      <w:pPr>
        <w:pStyle w:val="ListBullet"/>
      </w:pPr>
      <w:r>
        <w:t>Build into leadership communication, policy, and practice that speaking up and taking action against sexual harassment is everyone’s responsibility and a workplace health and safety obligation.</w:t>
      </w:r>
    </w:p>
    <w:p w14:paraId="5C480217" w14:textId="5E3553A4" w:rsidR="00A33840" w:rsidRDefault="00A33840" w:rsidP="00B029F1">
      <w:pPr>
        <w:pStyle w:val="ListBullet"/>
      </w:pPr>
      <w:r>
        <w:t>Make promoting gender equality and preventing sexual harassment and other forms of gender-based violence a leadership priority by establishing good practice, ensuring that your workplace’s risk management approach addresses non-financial risks, like psychosocial risks (which includes sexual harassment), and collaborating with industry partners and prevention experts to develop a collective approach to preventing sexual harassment.</w:t>
      </w:r>
    </w:p>
    <w:p w14:paraId="51852510" w14:textId="3ED6B22A" w:rsidR="00A33840" w:rsidRDefault="00A33840" w:rsidP="00B029F1">
      <w:pPr>
        <w:pStyle w:val="ListBullet"/>
      </w:pPr>
      <w:r>
        <w:t>Stay informed by mandating oversight over incidents, promoting regular reporting and ensuring that the actions of executives and board members are data-informed.</w:t>
      </w:r>
    </w:p>
    <w:p w14:paraId="7BEBC88D" w14:textId="4D7DCB33" w:rsidR="00A33840" w:rsidRDefault="00A33840" w:rsidP="00B029F1">
      <w:pPr>
        <w:pStyle w:val="ListBullet"/>
      </w:pPr>
      <w:r>
        <w:t>Measure the impact of leadership on changing organisational culture.</w:t>
      </w:r>
    </w:p>
    <w:p w14:paraId="1F79BF16" w14:textId="6DE94A7A" w:rsidR="00A33840" w:rsidRDefault="00A33840" w:rsidP="00B029F1">
      <w:pPr>
        <w:pStyle w:val="ListBullet"/>
      </w:pPr>
      <w:r>
        <w:t>Set, endorse, and regularly review gender equality and diversity targets.</w:t>
      </w:r>
    </w:p>
    <w:p w14:paraId="1CA47E32" w14:textId="77777777" w:rsidR="00A33840" w:rsidRDefault="00A33840" w:rsidP="00A33840">
      <w:pPr>
        <w:pStyle w:val="Heading2"/>
      </w:pPr>
      <w:r>
        <w:t>Conditions</w:t>
      </w:r>
    </w:p>
    <w:p w14:paraId="6D89F76A" w14:textId="29DB1A31" w:rsidR="00A33840" w:rsidRDefault="00A33840" w:rsidP="00B029F1">
      <w:pPr>
        <w:pStyle w:val="ListBullet"/>
      </w:pPr>
      <w:r>
        <w:t>Establish (and promote from the top) a common framework and language for identifying, raising and responding to sexual harassment.</w:t>
      </w:r>
    </w:p>
    <w:p w14:paraId="60E580A3" w14:textId="5588849E" w:rsidR="00A33840" w:rsidRDefault="00A33840" w:rsidP="00B029F1">
      <w:pPr>
        <w:pStyle w:val="ListBullet"/>
      </w:pPr>
      <w:r>
        <w:t>Ensure that organisational systems, processes and communications recognise sexual harassment as a type of workplace harm and risk.</w:t>
      </w:r>
    </w:p>
    <w:p w14:paraId="5F84D30A" w14:textId="715491CA" w:rsidR="00A33840" w:rsidRDefault="00A33840" w:rsidP="00B029F1">
      <w:pPr>
        <w:pStyle w:val="ListBullet"/>
      </w:pPr>
      <w:r>
        <w:t>Sponsor policies and procedures that support a commitment to gender equality and the prevention of sexual harassment and other forms of gender-based violence so employees of all genders feel safe and supported.</w:t>
      </w:r>
    </w:p>
    <w:p w14:paraId="05A12112" w14:textId="5469DDE7" w:rsidR="00A33840" w:rsidRDefault="00A33840" w:rsidP="00B029F1">
      <w:pPr>
        <w:pStyle w:val="ListBullet"/>
      </w:pPr>
      <w:r>
        <w:t>Proactively support the development and implementation of workplace policies that enable all employees to balance caring and work responsibilities, including parental leave (</w:t>
      </w:r>
      <w:r w:rsidRPr="00A33840">
        <w:rPr>
          <w:rStyle w:val="Emphasis"/>
        </w:rPr>
        <w:t>encourage</w:t>
      </w:r>
      <w:r>
        <w:t xml:space="preserve"> men who are becoming parents to take leave) and flexible work policies (including working from home, job sharing, and part-time hours). These should be accessible to all employees. Use the ‘If not, why not?’ logic to support your decision-making. Senior leaders should </w:t>
      </w:r>
      <w:r>
        <w:lastRenderedPageBreak/>
        <w:t>demonstrate the use of these policies. Other leave provisions that foster a gender-inclusive and culturally supportive work environment include (but are not limited to) Sorry Business for Aboriginal and/or Torres Strait Islander staff, in acknowledgment of their cultural obligations; floating public holidays for staff of different religious, cultural and political beliefs; domestic violence leave; and gender affirmation leave (for staff who are transitioning gender).</w:t>
      </w:r>
    </w:p>
    <w:p w14:paraId="117E5B60" w14:textId="7C72D9EE" w:rsidR="00A33840" w:rsidRDefault="00A33840" w:rsidP="00B029F1">
      <w:pPr>
        <w:pStyle w:val="ListBullet"/>
      </w:pPr>
      <w:r>
        <w:t>Use recruitment and promotion strategies to create a diverse workforce (across gender identity, race, ability, sexual orientation, age, and other identity markers). These strategies and processes should include criteria for fostering a safe, respectful and inclusive organisational culture and modelling this conduct. All recruitment materials, contracts and performance management frameworks must articulate this focus on safety, respect and inclusion.</w:t>
      </w:r>
    </w:p>
    <w:p w14:paraId="37842F51" w14:textId="5D1F78B2" w:rsidR="00A33840" w:rsidRDefault="00A33840" w:rsidP="00B029F1">
      <w:pPr>
        <w:pStyle w:val="ListBullet"/>
      </w:pPr>
      <w:r>
        <w:t>Analyse remuneration practices to close any identified gender pay gaps.</w:t>
      </w:r>
    </w:p>
    <w:p w14:paraId="65180E2A" w14:textId="77777777" w:rsidR="00A33840" w:rsidRDefault="00A33840" w:rsidP="00A33840">
      <w:pPr>
        <w:pStyle w:val="Heading2"/>
      </w:pPr>
      <w:r>
        <w:t>Culture</w:t>
      </w:r>
    </w:p>
    <w:p w14:paraId="66E455FE" w14:textId="1B661A9C" w:rsidR="00A33840" w:rsidRDefault="00A33840" w:rsidP="00B029F1">
      <w:pPr>
        <w:pStyle w:val="ListBullet"/>
      </w:pPr>
      <w:r>
        <w:t>Model inclusive, respectful leadership in all interactions with employees and external stakeholders.</w:t>
      </w:r>
    </w:p>
    <w:p w14:paraId="60C3F153" w14:textId="37179343" w:rsidR="00A33840" w:rsidRDefault="00A33840" w:rsidP="00B029F1">
      <w:pPr>
        <w:pStyle w:val="ListBullet"/>
      </w:pPr>
      <w:r>
        <w:t>Invest in ongoing workplace-wide learning and capacity-building tailored to roles and responsibilities. The purpose of these initiatives should be to have staff understand the range of behaviours that constitute sexual harassment and what drives this behaviour, the importance of workplace contributions to preventing gendered-based violence, the value of being an active bystander, and employees’ role in prevention and response to sexual harassment. Ensure that all learning/training materials, corporate events and resources that address sexual harassment recognise the diverse experiences and needs of workers, including women, LGBTIQA+ workers, CALD workers and workers with disability.</w:t>
      </w:r>
    </w:p>
    <w:p w14:paraId="580DE740" w14:textId="1E793AD9" w:rsidR="00A33840" w:rsidRDefault="00A33840" w:rsidP="00B029F1">
      <w:pPr>
        <w:pStyle w:val="ListBullet"/>
      </w:pPr>
      <w:r>
        <w:t>Celebrate positive behaviours that promote safe, inclusive and respectful workplaces, and acknowledge employees who take active steps to prevent and respond to sexual harassment in your workplace.</w:t>
      </w:r>
    </w:p>
    <w:p w14:paraId="286D63E2" w14:textId="2BD35194" w:rsidR="00A33840" w:rsidRDefault="00A33840" w:rsidP="00B029F1">
      <w:pPr>
        <w:pStyle w:val="ListBullet"/>
      </w:pPr>
      <w:r>
        <w:t>Instruct people managers to regularly communicate about respectful conduct, the workplace’s stance on sexual harassment, and the consequences for perpetrators.</w:t>
      </w:r>
    </w:p>
    <w:p w14:paraId="079DA295" w14:textId="77777777" w:rsidR="00A33840" w:rsidRDefault="00A33840" w:rsidP="00A33840">
      <w:pPr>
        <w:pStyle w:val="Heading2"/>
      </w:pPr>
      <w:r>
        <w:t>Support</w:t>
      </w:r>
    </w:p>
    <w:p w14:paraId="4572DA90" w14:textId="64ED5DD3" w:rsidR="00A33840" w:rsidRDefault="00A33840" w:rsidP="00B029F1">
      <w:pPr>
        <w:pStyle w:val="ListBullet"/>
      </w:pPr>
      <w:r>
        <w:t>Provide employees with tools and language to help them safely raise concerns about inappropriate behaviour in the moment and/or support those who may be impacted (active bystander training).</w:t>
      </w:r>
    </w:p>
    <w:p w14:paraId="62379523" w14:textId="0135574D" w:rsidR="00A33840" w:rsidRDefault="00A33840" w:rsidP="00B029F1">
      <w:pPr>
        <w:pStyle w:val="ListBullet"/>
      </w:pPr>
      <w:r>
        <w:t>Make sure internal teams can respond appropriately to sexual harassment (this may include having contact officers or managers trained in managing disclosures).</w:t>
      </w:r>
    </w:p>
    <w:p w14:paraId="09613CDB" w14:textId="7662CACF" w:rsidR="00A33840" w:rsidRDefault="00A33840" w:rsidP="00B029F1">
      <w:pPr>
        <w:pStyle w:val="ListBullet"/>
      </w:pPr>
      <w:r>
        <w:t>Create a workplace environment in which it is safe for people to speak up via anonymous reporting channels. You might not be able to act on an anonymous complaint, but you will be able to identify ‘hot spots’ and areas of risk in your business.</w:t>
      </w:r>
    </w:p>
    <w:p w14:paraId="72684891" w14:textId="470B5CFD" w:rsidR="00A33840" w:rsidRDefault="00A33840" w:rsidP="00B029F1">
      <w:pPr>
        <w:pStyle w:val="ListBullet"/>
      </w:pPr>
      <w:r>
        <w:t>Introduce clear guidelines and principles around confidentiality and transparency for high-profile sexual harassment cases, in line with the emerging advice from Respect@Work on removing non-disclosure agreements (NDAs) from the process.</w:t>
      </w:r>
    </w:p>
    <w:p w14:paraId="25B4C68F" w14:textId="19FB299C" w:rsidR="00A33840" w:rsidRDefault="00A33840" w:rsidP="00B029F1">
      <w:pPr>
        <w:pStyle w:val="ListBullet"/>
      </w:pPr>
      <w:r>
        <w:t>Review your use of non-disclosure agreements.</w:t>
      </w:r>
    </w:p>
    <w:p w14:paraId="2332145F" w14:textId="77777777" w:rsidR="00A33840" w:rsidRDefault="00A33840" w:rsidP="009669C6">
      <w:pPr>
        <w:pStyle w:val="Heading2"/>
        <w:spacing w:before="240" w:after="80"/>
      </w:pPr>
      <w:r>
        <w:t>Core business</w:t>
      </w:r>
    </w:p>
    <w:p w14:paraId="534451BC" w14:textId="686C0E26" w:rsidR="00A33840" w:rsidRDefault="00A33840" w:rsidP="00B029F1">
      <w:pPr>
        <w:pStyle w:val="ListBullet"/>
      </w:pPr>
      <w:r>
        <w:t>Create a well-resourced team tasked with achieving inclusive gender equality.</w:t>
      </w:r>
    </w:p>
    <w:p w14:paraId="7F006F3C" w14:textId="1467C90F" w:rsidR="00A33840" w:rsidRDefault="00A33840" w:rsidP="00B029F1">
      <w:pPr>
        <w:pStyle w:val="ListBullet"/>
      </w:pPr>
      <w:r>
        <w:t>Seek opportunities to positively influence gender equality in your engagements with clients, customers, suppliers and communities.</w:t>
      </w:r>
    </w:p>
    <w:p w14:paraId="4EB85E1C" w14:textId="6C990496" w:rsidR="00A33840" w:rsidRDefault="00A33840" w:rsidP="00B029F1">
      <w:pPr>
        <w:pStyle w:val="ListBullet"/>
      </w:pPr>
      <w:r>
        <w:t>Join communities of practice (such as Champions of Change) to peer-learn from other leaders how to implement and sustain positive workplace change. Access a mentor if appropriate.</w:t>
      </w:r>
    </w:p>
    <w:p w14:paraId="11FF4831" w14:textId="4551DAEA" w:rsidR="00A33840" w:rsidRDefault="00A33840" w:rsidP="00B029F1">
      <w:pPr>
        <w:pStyle w:val="ListBullet"/>
      </w:pPr>
      <w:r>
        <w:t>Participate in industry-specific gender equality and diversity and inclusion initiatives and advocacy.</w:t>
      </w:r>
    </w:p>
    <w:p w14:paraId="345C7527" w14:textId="43359C82" w:rsidR="00A33840" w:rsidRDefault="00A33840" w:rsidP="009669C6">
      <w:pPr>
        <w:pStyle w:val="Heading1"/>
        <w:spacing w:before="320" w:after="160"/>
      </w:pPr>
      <w:r>
        <w:t>Further information</w:t>
      </w:r>
    </w:p>
    <w:p w14:paraId="483FAF69" w14:textId="0C9B3985" w:rsidR="0030399E" w:rsidRDefault="00A33840" w:rsidP="00A33840">
      <w:pPr>
        <w:pStyle w:val="BodyText"/>
      </w:pPr>
      <w:r w:rsidRPr="00A33840">
        <w:rPr>
          <w:rStyle w:val="Strong"/>
        </w:rPr>
        <w:t>For more information, tools and resources</w:t>
      </w:r>
      <w:r>
        <w:t xml:space="preserve"> on how to prevent sexual harassment in your workplace, visit</w:t>
      </w:r>
      <w:r w:rsidR="00B029F1">
        <w:t xml:space="preserve"> </w:t>
      </w:r>
      <w:hyperlink r:id="rId15" w:history="1">
        <w:r w:rsidR="00B029F1" w:rsidRPr="001705FB">
          <w:rPr>
            <w:rStyle w:val="Hyperlink"/>
            <w:rFonts w:asciiTheme="minorHAnsi" w:hAnsiTheme="minorHAnsi"/>
          </w:rPr>
          <w:t>Our Watch – Workplace Equality and Respect</w:t>
        </w:r>
      </w:hyperlink>
      <w:r w:rsidR="00B029F1">
        <w:t xml:space="preserve"> &lt;workplace.ourwatch.org.au&gt;</w:t>
      </w:r>
    </w:p>
    <w:p w14:paraId="1561C8F7" w14:textId="77777777" w:rsidR="009669C6" w:rsidRDefault="009669C6" w:rsidP="009669C6">
      <w:pPr>
        <w:pStyle w:val="Heading1"/>
        <w:spacing w:before="320" w:after="160"/>
      </w:pPr>
      <w:r>
        <w:t>Acknowledgements</w:t>
      </w:r>
    </w:p>
    <w:p w14:paraId="636773A9" w14:textId="77777777" w:rsidR="009669C6" w:rsidRDefault="009669C6" w:rsidP="009669C6">
      <w:r>
        <w:t>Our Watch acknowledges the Traditional Owners of the land across Australia on which we work and live. We pay our respects to Aboriginal and Torres Strait Islander peoples past and present, and we value Aboriginal and Torres Strait Islander histories, cultures, and knowledge.</w:t>
      </w:r>
    </w:p>
    <w:p w14:paraId="12CD029F" w14:textId="77777777" w:rsidR="009669C6" w:rsidRDefault="009669C6" w:rsidP="009669C6">
      <w:r>
        <w:t>Our Watch acknowledges the support of the Victorian Government and the Australian Government.</w:t>
      </w:r>
    </w:p>
    <w:p w14:paraId="5DEA5AA3" w14:textId="4389443C" w:rsidR="009669C6" w:rsidRDefault="009669C6" w:rsidP="009669C6">
      <w:pPr>
        <w:pStyle w:val="BodyText"/>
        <w:tabs>
          <w:tab w:val="left" w:pos="2835"/>
        </w:tabs>
        <w:spacing w:before="300"/>
      </w:pPr>
      <w:r>
        <w:rPr>
          <w:noProof/>
        </w:rPr>
        <w:drawing>
          <wp:inline distT="0" distB="0" distL="0" distR="0" wp14:anchorId="37D23013" wp14:editId="6047F4DA">
            <wp:extent cx="1264920" cy="722630"/>
            <wp:effectExtent l="0" t="0" r="0" b="1270"/>
            <wp:docPr id="1056241970" name="Picture 2"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ctoria State Govern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4920" cy="722630"/>
                    </a:xfrm>
                    <a:prstGeom prst="rect">
                      <a:avLst/>
                    </a:prstGeom>
                    <a:noFill/>
                    <a:ln>
                      <a:noFill/>
                    </a:ln>
                  </pic:spPr>
                </pic:pic>
              </a:graphicData>
            </a:graphic>
          </wp:inline>
        </w:drawing>
      </w:r>
      <w:r>
        <w:tab/>
      </w:r>
      <w:r>
        <w:rPr>
          <w:noProof/>
        </w:rPr>
        <w:drawing>
          <wp:inline distT="0" distB="0" distL="0" distR="0" wp14:anchorId="158B2046" wp14:editId="60D7046C">
            <wp:extent cx="1416050" cy="733425"/>
            <wp:effectExtent l="0" t="0" r="0" b="9525"/>
            <wp:docPr id="1605699001" name="Picture 1"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an Govern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6050" cy="733425"/>
                    </a:xfrm>
                    <a:prstGeom prst="rect">
                      <a:avLst/>
                    </a:prstGeom>
                    <a:noFill/>
                    <a:ln>
                      <a:noFill/>
                    </a:ln>
                  </pic:spPr>
                </pic:pic>
              </a:graphicData>
            </a:graphic>
          </wp:inline>
        </w:drawing>
      </w:r>
    </w:p>
    <w:p w14:paraId="4DEA3B6F" w14:textId="6FC9C394" w:rsidR="009669C6" w:rsidRDefault="009669C6" w:rsidP="009669C6">
      <w:pPr>
        <w:spacing w:before="480"/>
      </w:pPr>
      <w:r>
        <w:t>© Our Watch 2024</w:t>
      </w:r>
    </w:p>
    <w:sectPr w:rsidR="009669C6" w:rsidSect="000D3A47">
      <w:headerReference w:type="default" r:id="rId18"/>
      <w:footerReference w:type="default" r:id="rId19"/>
      <w:type w:val="continuous"/>
      <w:pgSz w:w="11906" w:h="16838" w:code="9"/>
      <w:pgMar w:top="2041" w:right="2552" w:bottom="1134" w:left="1134" w:header="675"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4F484" w14:textId="77777777" w:rsidR="000D3A47" w:rsidRDefault="000D3A47" w:rsidP="0086572B">
      <w:r>
        <w:separator/>
      </w:r>
    </w:p>
  </w:endnote>
  <w:endnote w:type="continuationSeparator" w:id="0">
    <w:p w14:paraId="607EFF8F" w14:textId="77777777" w:rsidR="000D3A47" w:rsidRDefault="000D3A47" w:rsidP="0086572B">
      <w:r>
        <w:continuationSeparator/>
      </w:r>
    </w:p>
  </w:endnote>
  <w:endnote w:type="continuationNotice" w:id="1">
    <w:p w14:paraId="58C82383" w14:textId="77777777" w:rsidR="000D3A47" w:rsidRDefault="000D3A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Light">
    <w:charset w:val="00"/>
    <w:family w:val="auto"/>
    <w:pitch w:val="variable"/>
    <w:sig w:usb0="00008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6CD6C" w14:textId="77777777" w:rsidR="00D118CC" w:rsidRDefault="00D118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C4C17" w14:textId="77777777" w:rsidR="00D118CC" w:rsidRDefault="00D118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4CD55" w14:textId="77777777" w:rsidR="00D118CC" w:rsidRDefault="00D118C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6891C" w14:textId="77777777" w:rsidR="00507FBD" w:rsidRPr="0074201B" w:rsidRDefault="00507FBD" w:rsidP="0074201B">
    <w:pPr>
      <w:pStyle w:val="Footer"/>
    </w:pPr>
    <w:r w:rsidRPr="00990FD7">
      <w:rPr>
        <w:noProof/>
      </w:rPr>
      <w:drawing>
        <wp:anchor distT="0" distB="0" distL="114300" distR="114300" simplePos="0" relativeHeight="251660289" behindDoc="1" locked="1" layoutInCell="1" allowOverlap="1" wp14:anchorId="3F56BE81" wp14:editId="7DD731B4">
          <wp:simplePos x="717550" y="9613900"/>
          <wp:positionH relativeFrom="page">
            <wp:align>right</wp:align>
          </wp:positionH>
          <wp:positionV relativeFrom="page">
            <wp:align>bottom</wp:align>
          </wp:positionV>
          <wp:extent cx="1594800" cy="712800"/>
          <wp:effectExtent l="0" t="0" r="0" b="0"/>
          <wp:wrapNone/>
          <wp:docPr id="1" name="Picture 1">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5E2CD" w14:textId="77777777" w:rsidR="000D3A47" w:rsidRPr="00D918CA" w:rsidRDefault="000D3A47" w:rsidP="00E763DC">
      <w:pPr>
        <w:pStyle w:val="Footer"/>
        <w:spacing w:before="80" w:after="120"/>
        <w:rPr>
          <w:sz w:val="12"/>
          <w:szCs w:val="12"/>
        </w:rPr>
      </w:pPr>
      <w:r w:rsidRPr="00D918CA">
        <w:rPr>
          <w:sz w:val="12"/>
          <w:szCs w:val="12"/>
        </w:rPr>
        <w:separator/>
      </w:r>
    </w:p>
  </w:footnote>
  <w:footnote w:type="continuationSeparator" w:id="0">
    <w:p w14:paraId="28C38D1F" w14:textId="77777777" w:rsidR="000D3A47" w:rsidRDefault="000D3A47" w:rsidP="00C03734"/>
  </w:footnote>
  <w:footnote w:type="continuationNotice" w:id="1">
    <w:p w14:paraId="1964D799" w14:textId="77777777" w:rsidR="000D3A47" w:rsidRDefault="000D3A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3680E" w14:textId="77777777" w:rsidR="00D118CC" w:rsidRDefault="00D118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3A459" w14:textId="77777777" w:rsidR="00D118CC" w:rsidRDefault="00D118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D5DD8" w14:textId="77777777" w:rsidR="00D118CC" w:rsidRDefault="00D118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5BAC5" w14:textId="2E612B7D" w:rsidR="00507FBD" w:rsidRDefault="00A33840" w:rsidP="009A06F2">
    <w:pPr>
      <w:pStyle w:val="HeaderWithLine"/>
    </w:pPr>
    <w:r>
      <w:t>Preventin</w:t>
    </w:r>
    <w:r w:rsidR="00D118CC">
      <w:t>g sexual harass</w:t>
    </w:r>
    <w:r>
      <w:t xml:space="preserve">ment: </w:t>
    </w:r>
    <w:r w:rsidR="00D118CC">
      <w:t>s</w:t>
    </w:r>
    <w:r>
      <w:t>o</w:t>
    </w:r>
    <w:r w:rsidR="00D118CC">
      <w:t>me actions for senior executi</w:t>
    </w:r>
    <w:r>
      <w:t>ves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9ABA77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EECC965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6F37EA"/>
    <w:multiLevelType w:val="multilevel"/>
    <w:tmpl w:val="1BF4A770"/>
    <w:styleLink w:val="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26208B5"/>
    <w:multiLevelType w:val="multilevel"/>
    <w:tmpl w:val="070CAB22"/>
    <w:lvl w:ilvl="0">
      <w:start w:val="1"/>
      <w:numFmt w:val="bullet"/>
      <w:suff w:val="space"/>
      <w:lvlText w:val="—"/>
      <w:lvlJc w:val="left"/>
      <w:pPr>
        <w:ind w:left="0" w:firstLine="0"/>
      </w:pPr>
      <w:rPr>
        <w:rFonts w:ascii="Calibri" w:hAnsi="Calibri" w:hint="default"/>
        <w:color w:val="auto"/>
        <w:w w:val="85"/>
        <w:position w:val="2"/>
      </w:rPr>
    </w:lvl>
    <w:lvl w:ilvl="1">
      <w:start w:val="1"/>
      <w:numFmt w:val="bullet"/>
      <w:suff w:val="space"/>
      <w:lvlText w:val="—"/>
      <w:lvlJc w:val="left"/>
      <w:pPr>
        <w:ind w:left="0" w:firstLine="0"/>
      </w:pPr>
      <w:rPr>
        <w:rFonts w:ascii="Poppins Light" w:hAnsi="Poppins Light" w:hint="default"/>
        <w:color w:val="auto"/>
        <w:w w:val="90"/>
      </w:rPr>
    </w:lvl>
    <w:lvl w:ilvl="2">
      <w:start w:val="1"/>
      <w:numFmt w:val="bullet"/>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BE32363"/>
    <w:multiLevelType w:val="multilevel"/>
    <w:tmpl w:val="53843EBE"/>
    <w:styleLink w:val="TableBullets"/>
    <w:lvl w:ilvl="0">
      <w:start w:val="1"/>
      <w:numFmt w:val="bullet"/>
      <w:pStyle w:val="TableBullet"/>
      <w:lvlText w:val=""/>
      <w:lvlJc w:val="left"/>
      <w:pPr>
        <w:ind w:left="227" w:hanging="227"/>
      </w:pPr>
      <w:rPr>
        <w:rFonts w:ascii="Wingdings" w:hAnsi="Wingdings"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60E1502C"/>
    <w:multiLevelType w:val="multilevel"/>
    <w:tmpl w:val="D1740DEA"/>
    <w:styleLink w:val="Bullets"/>
    <w:lvl w:ilvl="0">
      <w:start w:val="1"/>
      <w:numFmt w:val="bullet"/>
      <w:pStyle w:val="ListBullet"/>
      <w:lvlText w:val=""/>
      <w:lvlJc w:val="left"/>
      <w:pPr>
        <w:ind w:left="340" w:hanging="340"/>
      </w:pPr>
      <w:rPr>
        <w:rFonts w:ascii="Wingdings" w:hAnsi="Wingdings" w:hint="default"/>
        <w:color w:val="002554" w:themeColor="text1"/>
        <w:position w:val="0"/>
        <w:sz w:val="24"/>
      </w:rPr>
    </w:lvl>
    <w:lvl w:ilvl="1">
      <w:start w:val="1"/>
      <w:numFmt w:val="bullet"/>
      <w:lvlRestart w:val="0"/>
      <w:pStyle w:val="ListBullet2"/>
      <w:lvlText w:val="–"/>
      <w:lvlJc w:val="left"/>
      <w:pPr>
        <w:ind w:left="680" w:hanging="340"/>
      </w:pPr>
      <w:rPr>
        <w:rFonts w:ascii="Roboto" w:hAnsi="Roboto" w:hint="default"/>
        <w:color w:val="002554" w:themeColor="text1"/>
      </w:rPr>
    </w:lvl>
    <w:lvl w:ilvl="2">
      <w:start w:val="1"/>
      <w:numFmt w:val="bullet"/>
      <w:lvlRestart w:val="0"/>
      <w:pStyle w:val="ListBullet3"/>
      <w:lvlText w:val="•"/>
      <w:lvlJc w:val="left"/>
      <w:pPr>
        <w:ind w:left="1021" w:hanging="341"/>
      </w:pPr>
      <w:rPr>
        <w:rFonts w:ascii="Calibri" w:hAnsi="Calibri" w:hint="default"/>
        <w:color w:val="002554" w:themeColor="text1"/>
      </w:rPr>
    </w:lvl>
    <w:lvl w:ilvl="3">
      <w:start w:val="1"/>
      <w:numFmt w:val="none"/>
      <w:lvlRestart w:val="0"/>
      <w:lvlText w:val=""/>
      <w:lvlJc w:val="left"/>
      <w:pPr>
        <w:ind w:left="680" w:firstLine="0"/>
      </w:pPr>
      <w:rPr>
        <w:rFonts w:hint="default"/>
        <w:color w:val="auto"/>
        <w:position w:val="-2"/>
        <w:sz w:val="13"/>
      </w:rPr>
    </w:lvl>
    <w:lvl w:ilvl="4">
      <w:start w:val="1"/>
      <w:numFmt w:val="none"/>
      <w:lvlRestart w:val="0"/>
      <w:lvlText w:val=""/>
      <w:lvlJc w:val="left"/>
      <w:pPr>
        <w:ind w:left="680" w:firstLine="0"/>
      </w:pPr>
      <w:rPr>
        <w:rFonts w:hint="default"/>
        <w:color w:val="auto"/>
      </w:rPr>
    </w:lvl>
    <w:lvl w:ilvl="5">
      <w:start w:val="1"/>
      <w:numFmt w:val="none"/>
      <w:lvlRestart w:val="0"/>
      <w:lvlText w:val=""/>
      <w:lvlJc w:val="left"/>
      <w:pPr>
        <w:ind w:left="680" w:firstLine="0"/>
      </w:pPr>
      <w:rPr>
        <w:rFonts w:hint="default"/>
      </w:rPr>
    </w:lvl>
    <w:lvl w:ilvl="6">
      <w:start w:val="1"/>
      <w:numFmt w:val="none"/>
      <w:lvlRestart w:val="0"/>
      <w:lvlText w:val=""/>
      <w:lvlJc w:val="left"/>
      <w:pPr>
        <w:ind w:left="680" w:firstLine="0"/>
      </w:pPr>
      <w:rPr>
        <w:rFonts w:hint="default"/>
      </w:rPr>
    </w:lvl>
    <w:lvl w:ilvl="7">
      <w:start w:val="1"/>
      <w:numFmt w:val="none"/>
      <w:lvlRestart w:val="0"/>
      <w:lvlText w:val=""/>
      <w:lvlJc w:val="left"/>
      <w:pPr>
        <w:ind w:left="680" w:firstLine="0"/>
      </w:pPr>
      <w:rPr>
        <w:rFonts w:hint="default"/>
      </w:rPr>
    </w:lvl>
    <w:lvl w:ilvl="8">
      <w:start w:val="1"/>
      <w:numFmt w:val="none"/>
      <w:lvlRestart w:val="0"/>
      <w:lvlText w:val=""/>
      <w:lvlJc w:val="left"/>
      <w:pPr>
        <w:ind w:left="680" w:firstLine="0"/>
      </w:pPr>
      <w:rPr>
        <w:rFonts w:hint="default"/>
      </w:rPr>
    </w:lvl>
  </w:abstractNum>
  <w:abstractNum w:abstractNumId="7" w15:restartNumberingAfterBreak="0">
    <w:nsid w:val="62EA0407"/>
    <w:multiLevelType w:val="multilevel"/>
    <w:tmpl w:val="070CAB22"/>
    <w:lvl w:ilvl="0">
      <w:start w:val="1"/>
      <w:numFmt w:val="bullet"/>
      <w:suff w:val="space"/>
      <w:lvlText w:val="—"/>
      <w:lvlJc w:val="left"/>
      <w:pPr>
        <w:ind w:left="0" w:firstLine="0"/>
      </w:pPr>
      <w:rPr>
        <w:rFonts w:ascii="Calibri" w:hAnsi="Calibri" w:hint="default"/>
        <w:color w:val="auto"/>
        <w:w w:val="85"/>
        <w:position w:val="2"/>
      </w:rPr>
    </w:lvl>
    <w:lvl w:ilvl="1">
      <w:start w:val="1"/>
      <w:numFmt w:val="bullet"/>
      <w:suff w:val="space"/>
      <w:lvlText w:val="—"/>
      <w:lvlJc w:val="left"/>
      <w:pPr>
        <w:ind w:left="0" w:firstLine="0"/>
      </w:pPr>
      <w:rPr>
        <w:rFonts w:ascii="Poppins Light" w:hAnsi="Poppins Light" w:hint="default"/>
        <w:color w:val="auto"/>
        <w:w w:val="90"/>
      </w:rPr>
    </w:lvl>
    <w:lvl w:ilvl="2">
      <w:start w:val="1"/>
      <w:numFmt w:val="bullet"/>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5356BCE"/>
    <w:multiLevelType w:val="multilevel"/>
    <w:tmpl w:val="50D80332"/>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92A0718"/>
    <w:multiLevelType w:val="multilevel"/>
    <w:tmpl w:val="D1740DEA"/>
    <w:numStyleLink w:val="Bullets"/>
  </w:abstractNum>
  <w:abstractNum w:abstractNumId="10" w15:restartNumberingAfterBreak="0">
    <w:nsid w:val="7CB456E0"/>
    <w:multiLevelType w:val="multilevel"/>
    <w:tmpl w:val="1BF4A770"/>
    <w:numStyleLink w:val="Numbering"/>
  </w:abstractNum>
  <w:num w:numId="1" w16cid:durableId="212887353">
    <w:abstractNumId w:val="6"/>
  </w:num>
  <w:num w:numId="2" w16cid:durableId="252445112">
    <w:abstractNumId w:val="3"/>
  </w:num>
  <w:num w:numId="3" w16cid:durableId="448009589">
    <w:abstractNumId w:val="2"/>
  </w:num>
  <w:num w:numId="4" w16cid:durableId="121655067">
    <w:abstractNumId w:val="8"/>
  </w:num>
  <w:num w:numId="5" w16cid:durableId="723263129">
    <w:abstractNumId w:val="10"/>
  </w:num>
  <w:num w:numId="6" w16cid:durableId="1112750581">
    <w:abstractNumId w:val="4"/>
  </w:num>
  <w:num w:numId="7" w16cid:durableId="1150943867">
    <w:abstractNumId w:val="7"/>
  </w:num>
  <w:num w:numId="8" w16cid:durableId="255946728">
    <w:abstractNumId w:val="9"/>
  </w:num>
  <w:num w:numId="9" w16cid:durableId="4485522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01251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70676090">
    <w:abstractNumId w:val="0"/>
  </w:num>
  <w:num w:numId="12" w16cid:durableId="509831988">
    <w:abstractNumId w:val="1"/>
  </w:num>
  <w:num w:numId="13" w16cid:durableId="1987090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41717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244755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239043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30883416">
    <w:abstractNumId w:val="5"/>
  </w:num>
  <w:num w:numId="18" w16cid:durableId="584724611">
    <w:abstractNumId w:val="6"/>
  </w:num>
  <w:num w:numId="19" w16cid:durableId="1593005002">
    <w:abstractNumId w:val="6"/>
  </w:num>
  <w:num w:numId="20" w16cid:durableId="815754794">
    <w:abstractNumId w:val="6"/>
  </w:num>
  <w:num w:numId="21" w16cid:durableId="142894675">
    <w:abstractNumId w:val="6"/>
  </w:num>
  <w:num w:numId="22" w16cid:durableId="1435859508">
    <w:abstractNumId w:val="5"/>
  </w:num>
  <w:num w:numId="23" w16cid:durableId="1997569939">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103"/>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Grid"/>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B42"/>
    <w:rsid w:val="0000027A"/>
    <w:rsid w:val="000008A7"/>
    <w:rsid w:val="000073DD"/>
    <w:rsid w:val="000105FD"/>
    <w:rsid w:val="000136DF"/>
    <w:rsid w:val="000267F4"/>
    <w:rsid w:val="000300AF"/>
    <w:rsid w:val="0004264E"/>
    <w:rsid w:val="000511B9"/>
    <w:rsid w:val="00054ABD"/>
    <w:rsid w:val="00055A3A"/>
    <w:rsid w:val="000724AE"/>
    <w:rsid w:val="00075328"/>
    <w:rsid w:val="0008037D"/>
    <w:rsid w:val="00094F3A"/>
    <w:rsid w:val="000954B3"/>
    <w:rsid w:val="000973BC"/>
    <w:rsid w:val="000A2116"/>
    <w:rsid w:val="000A3A9D"/>
    <w:rsid w:val="000A6BFB"/>
    <w:rsid w:val="000B497F"/>
    <w:rsid w:val="000C1E3F"/>
    <w:rsid w:val="000C1F74"/>
    <w:rsid w:val="000C2307"/>
    <w:rsid w:val="000C278E"/>
    <w:rsid w:val="000C5AFE"/>
    <w:rsid w:val="000C7D75"/>
    <w:rsid w:val="000D22BD"/>
    <w:rsid w:val="000D2E05"/>
    <w:rsid w:val="000D3A47"/>
    <w:rsid w:val="000E119B"/>
    <w:rsid w:val="000E1D20"/>
    <w:rsid w:val="000F6681"/>
    <w:rsid w:val="00102429"/>
    <w:rsid w:val="001070C3"/>
    <w:rsid w:val="001072F9"/>
    <w:rsid w:val="00112E8F"/>
    <w:rsid w:val="001268BC"/>
    <w:rsid w:val="00137E20"/>
    <w:rsid w:val="00144A2B"/>
    <w:rsid w:val="00150182"/>
    <w:rsid w:val="001636EF"/>
    <w:rsid w:val="00164AC5"/>
    <w:rsid w:val="00165983"/>
    <w:rsid w:val="00165D5C"/>
    <w:rsid w:val="001705FB"/>
    <w:rsid w:val="00180798"/>
    <w:rsid w:val="00180932"/>
    <w:rsid w:val="00183992"/>
    <w:rsid w:val="0019690A"/>
    <w:rsid w:val="001A0D77"/>
    <w:rsid w:val="001B7F51"/>
    <w:rsid w:val="001C3456"/>
    <w:rsid w:val="001C4352"/>
    <w:rsid w:val="001C7835"/>
    <w:rsid w:val="001D6DA3"/>
    <w:rsid w:val="001F13C1"/>
    <w:rsid w:val="001F446D"/>
    <w:rsid w:val="00202F87"/>
    <w:rsid w:val="00213304"/>
    <w:rsid w:val="00214529"/>
    <w:rsid w:val="00221AB7"/>
    <w:rsid w:val="002233DA"/>
    <w:rsid w:val="00230CBA"/>
    <w:rsid w:val="00234382"/>
    <w:rsid w:val="002357B3"/>
    <w:rsid w:val="002405EC"/>
    <w:rsid w:val="00241D5A"/>
    <w:rsid w:val="00246435"/>
    <w:rsid w:val="00246BCF"/>
    <w:rsid w:val="00251576"/>
    <w:rsid w:val="002550F9"/>
    <w:rsid w:val="00270834"/>
    <w:rsid w:val="00280758"/>
    <w:rsid w:val="002814E6"/>
    <w:rsid w:val="0028308F"/>
    <w:rsid w:val="00290C55"/>
    <w:rsid w:val="002933C3"/>
    <w:rsid w:val="002C52BC"/>
    <w:rsid w:val="002D576D"/>
    <w:rsid w:val="002D710A"/>
    <w:rsid w:val="002E27D5"/>
    <w:rsid w:val="002E654C"/>
    <w:rsid w:val="002E6572"/>
    <w:rsid w:val="0030399E"/>
    <w:rsid w:val="00305171"/>
    <w:rsid w:val="00307D9C"/>
    <w:rsid w:val="00313324"/>
    <w:rsid w:val="00331774"/>
    <w:rsid w:val="00334AD4"/>
    <w:rsid w:val="00343657"/>
    <w:rsid w:val="00343E87"/>
    <w:rsid w:val="00346004"/>
    <w:rsid w:val="0034680A"/>
    <w:rsid w:val="00363A81"/>
    <w:rsid w:val="00363FF8"/>
    <w:rsid w:val="00365896"/>
    <w:rsid w:val="00370CB9"/>
    <w:rsid w:val="0037721D"/>
    <w:rsid w:val="0038102A"/>
    <w:rsid w:val="0039078E"/>
    <w:rsid w:val="00393275"/>
    <w:rsid w:val="003A353D"/>
    <w:rsid w:val="003B6BA0"/>
    <w:rsid w:val="003C21C6"/>
    <w:rsid w:val="003C2E12"/>
    <w:rsid w:val="003D1ECE"/>
    <w:rsid w:val="003D23A3"/>
    <w:rsid w:val="003D5856"/>
    <w:rsid w:val="003E159B"/>
    <w:rsid w:val="00403EA8"/>
    <w:rsid w:val="00404E4F"/>
    <w:rsid w:val="0040590F"/>
    <w:rsid w:val="00405A17"/>
    <w:rsid w:val="00414BA8"/>
    <w:rsid w:val="00415F99"/>
    <w:rsid w:val="0042339A"/>
    <w:rsid w:val="0042508F"/>
    <w:rsid w:val="00461FFF"/>
    <w:rsid w:val="004635FD"/>
    <w:rsid w:val="00470BBF"/>
    <w:rsid w:val="00473A3F"/>
    <w:rsid w:val="00481CC3"/>
    <w:rsid w:val="00491EA7"/>
    <w:rsid w:val="0049224E"/>
    <w:rsid w:val="004B5074"/>
    <w:rsid w:val="004B609E"/>
    <w:rsid w:val="004B675F"/>
    <w:rsid w:val="004B7329"/>
    <w:rsid w:val="004B73A3"/>
    <w:rsid w:val="004B7489"/>
    <w:rsid w:val="004D0774"/>
    <w:rsid w:val="004D1815"/>
    <w:rsid w:val="004D59AE"/>
    <w:rsid w:val="004E0833"/>
    <w:rsid w:val="004E1CB4"/>
    <w:rsid w:val="004E28C6"/>
    <w:rsid w:val="004F138F"/>
    <w:rsid w:val="004F1DC6"/>
    <w:rsid w:val="0050670B"/>
    <w:rsid w:val="00507FBD"/>
    <w:rsid w:val="005105FF"/>
    <w:rsid w:val="005141E8"/>
    <w:rsid w:val="0052059A"/>
    <w:rsid w:val="005356AC"/>
    <w:rsid w:val="00537559"/>
    <w:rsid w:val="00546B13"/>
    <w:rsid w:val="00550C99"/>
    <w:rsid w:val="00553179"/>
    <w:rsid w:val="00553413"/>
    <w:rsid w:val="00556A66"/>
    <w:rsid w:val="0058369E"/>
    <w:rsid w:val="005840AA"/>
    <w:rsid w:val="00586217"/>
    <w:rsid w:val="005870BD"/>
    <w:rsid w:val="00593314"/>
    <w:rsid w:val="00594496"/>
    <w:rsid w:val="005C6618"/>
    <w:rsid w:val="005E1C6E"/>
    <w:rsid w:val="005F7BEB"/>
    <w:rsid w:val="00603FD5"/>
    <w:rsid w:val="0061040B"/>
    <w:rsid w:val="00616CA4"/>
    <w:rsid w:val="00616DC8"/>
    <w:rsid w:val="00621579"/>
    <w:rsid w:val="00623C0F"/>
    <w:rsid w:val="00647480"/>
    <w:rsid w:val="0065250A"/>
    <w:rsid w:val="006664F7"/>
    <w:rsid w:val="00666DE1"/>
    <w:rsid w:val="00670356"/>
    <w:rsid w:val="006756B2"/>
    <w:rsid w:val="00684423"/>
    <w:rsid w:val="0068724F"/>
    <w:rsid w:val="00695B11"/>
    <w:rsid w:val="006974A2"/>
    <w:rsid w:val="006A1DEF"/>
    <w:rsid w:val="006A23B9"/>
    <w:rsid w:val="006A34C5"/>
    <w:rsid w:val="006B2360"/>
    <w:rsid w:val="006C31AA"/>
    <w:rsid w:val="006C4AF4"/>
    <w:rsid w:val="006D3F2F"/>
    <w:rsid w:val="006E3536"/>
    <w:rsid w:val="006F54DA"/>
    <w:rsid w:val="00713B8B"/>
    <w:rsid w:val="00714488"/>
    <w:rsid w:val="00734963"/>
    <w:rsid w:val="00737077"/>
    <w:rsid w:val="0074201B"/>
    <w:rsid w:val="00772D25"/>
    <w:rsid w:val="007900DE"/>
    <w:rsid w:val="00792CFA"/>
    <w:rsid w:val="007974E4"/>
    <w:rsid w:val="007A0363"/>
    <w:rsid w:val="007A7D3A"/>
    <w:rsid w:val="007B4602"/>
    <w:rsid w:val="007B48FB"/>
    <w:rsid w:val="007C0ADF"/>
    <w:rsid w:val="007C4FFE"/>
    <w:rsid w:val="007D7B42"/>
    <w:rsid w:val="007E586C"/>
    <w:rsid w:val="00800CDD"/>
    <w:rsid w:val="008104DA"/>
    <w:rsid w:val="0081533C"/>
    <w:rsid w:val="00822DF0"/>
    <w:rsid w:val="0085439B"/>
    <w:rsid w:val="0086572B"/>
    <w:rsid w:val="00883AAB"/>
    <w:rsid w:val="00896C45"/>
    <w:rsid w:val="008A7096"/>
    <w:rsid w:val="008B05C3"/>
    <w:rsid w:val="008B4965"/>
    <w:rsid w:val="008C0EB6"/>
    <w:rsid w:val="008C707A"/>
    <w:rsid w:val="008D1ABD"/>
    <w:rsid w:val="008F38FC"/>
    <w:rsid w:val="0090137A"/>
    <w:rsid w:val="00907240"/>
    <w:rsid w:val="0091143E"/>
    <w:rsid w:val="00936068"/>
    <w:rsid w:val="009366B4"/>
    <w:rsid w:val="0094398B"/>
    <w:rsid w:val="009452C4"/>
    <w:rsid w:val="009517CC"/>
    <w:rsid w:val="00957785"/>
    <w:rsid w:val="009615D4"/>
    <w:rsid w:val="009669C6"/>
    <w:rsid w:val="00971FF9"/>
    <w:rsid w:val="00974677"/>
    <w:rsid w:val="009802D1"/>
    <w:rsid w:val="00983723"/>
    <w:rsid w:val="00990FD7"/>
    <w:rsid w:val="00991168"/>
    <w:rsid w:val="009A06F2"/>
    <w:rsid w:val="009A2F17"/>
    <w:rsid w:val="009A4587"/>
    <w:rsid w:val="009A6FDC"/>
    <w:rsid w:val="009A7C61"/>
    <w:rsid w:val="009B3B98"/>
    <w:rsid w:val="009B7E0E"/>
    <w:rsid w:val="009C09D0"/>
    <w:rsid w:val="009D24F5"/>
    <w:rsid w:val="009D6035"/>
    <w:rsid w:val="009F0DF2"/>
    <w:rsid w:val="009F2A37"/>
    <w:rsid w:val="009F6BBF"/>
    <w:rsid w:val="00A0032E"/>
    <w:rsid w:val="00A12289"/>
    <w:rsid w:val="00A12DEA"/>
    <w:rsid w:val="00A13664"/>
    <w:rsid w:val="00A16F8B"/>
    <w:rsid w:val="00A24EF4"/>
    <w:rsid w:val="00A33840"/>
    <w:rsid w:val="00A46170"/>
    <w:rsid w:val="00A60B01"/>
    <w:rsid w:val="00A65C34"/>
    <w:rsid w:val="00A90151"/>
    <w:rsid w:val="00A9359B"/>
    <w:rsid w:val="00A97B80"/>
    <w:rsid w:val="00AA163B"/>
    <w:rsid w:val="00AB0CEB"/>
    <w:rsid w:val="00AB1774"/>
    <w:rsid w:val="00AC0558"/>
    <w:rsid w:val="00AC6E87"/>
    <w:rsid w:val="00AD1A44"/>
    <w:rsid w:val="00AF7073"/>
    <w:rsid w:val="00B029F1"/>
    <w:rsid w:val="00B23603"/>
    <w:rsid w:val="00B32D6C"/>
    <w:rsid w:val="00B37050"/>
    <w:rsid w:val="00B3749D"/>
    <w:rsid w:val="00B51D4B"/>
    <w:rsid w:val="00B65DAA"/>
    <w:rsid w:val="00B66B2F"/>
    <w:rsid w:val="00B74F7F"/>
    <w:rsid w:val="00B75B08"/>
    <w:rsid w:val="00B76C02"/>
    <w:rsid w:val="00B85E95"/>
    <w:rsid w:val="00B87859"/>
    <w:rsid w:val="00B91D47"/>
    <w:rsid w:val="00BA3CB8"/>
    <w:rsid w:val="00BA7623"/>
    <w:rsid w:val="00BC1EFB"/>
    <w:rsid w:val="00BC4753"/>
    <w:rsid w:val="00BC4C77"/>
    <w:rsid w:val="00BF2C66"/>
    <w:rsid w:val="00BF65E6"/>
    <w:rsid w:val="00BF68C8"/>
    <w:rsid w:val="00C01E68"/>
    <w:rsid w:val="00C03734"/>
    <w:rsid w:val="00C11924"/>
    <w:rsid w:val="00C14E7A"/>
    <w:rsid w:val="00C276EB"/>
    <w:rsid w:val="00C326F9"/>
    <w:rsid w:val="00C37A29"/>
    <w:rsid w:val="00C41A14"/>
    <w:rsid w:val="00C41C64"/>
    <w:rsid w:val="00C471C1"/>
    <w:rsid w:val="00C70EFC"/>
    <w:rsid w:val="00C800CB"/>
    <w:rsid w:val="00C80806"/>
    <w:rsid w:val="00C82DE7"/>
    <w:rsid w:val="00C83127"/>
    <w:rsid w:val="00C932F3"/>
    <w:rsid w:val="00CA396E"/>
    <w:rsid w:val="00CA5753"/>
    <w:rsid w:val="00CA60FE"/>
    <w:rsid w:val="00CC0EC4"/>
    <w:rsid w:val="00CC125D"/>
    <w:rsid w:val="00CC3421"/>
    <w:rsid w:val="00CC3B59"/>
    <w:rsid w:val="00CD61EB"/>
    <w:rsid w:val="00CE066A"/>
    <w:rsid w:val="00CF02F0"/>
    <w:rsid w:val="00CF59E1"/>
    <w:rsid w:val="00D118CC"/>
    <w:rsid w:val="00D16F74"/>
    <w:rsid w:val="00D27CF0"/>
    <w:rsid w:val="00D34DC7"/>
    <w:rsid w:val="00D402E8"/>
    <w:rsid w:val="00D42915"/>
    <w:rsid w:val="00D433EC"/>
    <w:rsid w:val="00D47510"/>
    <w:rsid w:val="00D60649"/>
    <w:rsid w:val="00D61E88"/>
    <w:rsid w:val="00D62D47"/>
    <w:rsid w:val="00D662F6"/>
    <w:rsid w:val="00D80395"/>
    <w:rsid w:val="00D83923"/>
    <w:rsid w:val="00D85FBA"/>
    <w:rsid w:val="00D918CA"/>
    <w:rsid w:val="00D9303F"/>
    <w:rsid w:val="00D9419D"/>
    <w:rsid w:val="00DA0559"/>
    <w:rsid w:val="00DC5BA4"/>
    <w:rsid w:val="00DC5E0C"/>
    <w:rsid w:val="00DF4E3E"/>
    <w:rsid w:val="00E043F9"/>
    <w:rsid w:val="00E0453D"/>
    <w:rsid w:val="00E05FA6"/>
    <w:rsid w:val="00E25474"/>
    <w:rsid w:val="00E32F93"/>
    <w:rsid w:val="00E415DB"/>
    <w:rsid w:val="00E54B2B"/>
    <w:rsid w:val="00E70791"/>
    <w:rsid w:val="00E72AD3"/>
    <w:rsid w:val="00E74E10"/>
    <w:rsid w:val="00E763DC"/>
    <w:rsid w:val="00E86339"/>
    <w:rsid w:val="00E945AC"/>
    <w:rsid w:val="00E9686E"/>
    <w:rsid w:val="00E97909"/>
    <w:rsid w:val="00EA1943"/>
    <w:rsid w:val="00EA300A"/>
    <w:rsid w:val="00EC3F9C"/>
    <w:rsid w:val="00ED43DE"/>
    <w:rsid w:val="00EE6F14"/>
    <w:rsid w:val="00EF039B"/>
    <w:rsid w:val="00EF3F23"/>
    <w:rsid w:val="00EF73EA"/>
    <w:rsid w:val="00F120D7"/>
    <w:rsid w:val="00F12C35"/>
    <w:rsid w:val="00F162D4"/>
    <w:rsid w:val="00F4010B"/>
    <w:rsid w:val="00F416F3"/>
    <w:rsid w:val="00F43E5B"/>
    <w:rsid w:val="00F45363"/>
    <w:rsid w:val="00F46C64"/>
    <w:rsid w:val="00F4702C"/>
    <w:rsid w:val="00F47437"/>
    <w:rsid w:val="00F505B8"/>
    <w:rsid w:val="00F516E6"/>
    <w:rsid w:val="00F57F42"/>
    <w:rsid w:val="00F613F3"/>
    <w:rsid w:val="00F634F6"/>
    <w:rsid w:val="00F735D0"/>
    <w:rsid w:val="00F77431"/>
    <w:rsid w:val="00F87B07"/>
    <w:rsid w:val="00F94880"/>
    <w:rsid w:val="00FA1D28"/>
    <w:rsid w:val="00FB0D65"/>
    <w:rsid w:val="00FB127D"/>
    <w:rsid w:val="00FB29DB"/>
    <w:rsid w:val="00FB74A1"/>
    <w:rsid w:val="00FC2D8B"/>
    <w:rsid w:val="00FC3383"/>
    <w:rsid w:val="00FD3306"/>
    <w:rsid w:val="00FD3469"/>
    <w:rsid w:val="00FE57D8"/>
    <w:rsid w:val="00FF0570"/>
    <w:rsid w:val="00FF699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592C2"/>
  <w15:chartTrackingRefBased/>
  <w15:docId w15:val="{3AA74C16-AD27-1748-8E15-8E4300D67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D1815"/>
    <w:pPr>
      <w:spacing w:after="180" w:line="264" w:lineRule="auto"/>
    </w:pPr>
    <w:rPr>
      <w:color w:val="002554" w:themeColor="text1"/>
      <w:spacing w:val="-5"/>
      <w:sz w:val="24"/>
    </w:rPr>
  </w:style>
  <w:style w:type="paragraph" w:styleId="Heading1">
    <w:name w:val="heading 1"/>
    <w:next w:val="BodyText"/>
    <w:link w:val="Heading1Char"/>
    <w:uiPriority w:val="5"/>
    <w:qFormat/>
    <w:rsid w:val="004D1815"/>
    <w:pPr>
      <w:keepNext/>
      <w:keepLines/>
      <w:spacing w:before="400" w:after="240" w:line="216" w:lineRule="auto"/>
      <w:outlineLvl w:val="0"/>
    </w:pPr>
    <w:rPr>
      <w:rFonts w:asciiTheme="majorHAnsi" w:hAnsiTheme="majorHAnsi" w:cstheme="majorHAnsi"/>
      <w:b/>
      <w:bCs/>
      <w:color w:val="002554" w:themeColor="text1"/>
      <w:spacing w:val="-3"/>
      <w:sz w:val="34"/>
      <w:szCs w:val="21"/>
    </w:rPr>
  </w:style>
  <w:style w:type="paragraph" w:styleId="Heading2">
    <w:name w:val="heading 2"/>
    <w:next w:val="BodyText"/>
    <w:link w:val="Heading2Char"/>
    <w:uiPriority w:val="5"/>
    <w:qFormat/>
    <w:rsid w:val="004D1815"/>
    <w:pPr>
      <w:keepNext/>
      <w:keepLines/>
      <w:spacing w:before="280" w:after="120" w:line="240" w:lineRule="auto"/>
      <w:outlineLvl w:val="1"/>
    </w:pPr>
    <w:rPr>
      <w:rFonts w:asciiTheme="majorHAnsi" w:hAnsiTheme="majorHAnsi" w:cstheme="majorHAnsi"/>
      <w:b/>
      <w:bCs/>
      <w:color w:val="002554" w:themeColor="text1"/>
      <w:spacing w:val="-3"/>
      <w:sz w:val="28"/>
      <w:szCs w:val="18"/>
    </w:rPr>
  </w:style>
  <w:style w:type="paragraph" w:styleId="Heading3">
    <w:name w:val="heading 3"/>
    <w:next w:val="BodyText"/>
    <w:link w:val="Heading3Char"/>
    <w:uiPriority w:val="5"/>
    <w:qFormat/>
    <w:rsid w:val="004D1815"/>
    <w:pPr>
      <w:keepNext/>
      <w:keepLines/>
      <w:spacing w:before="280" w:after="120" w:line="240" w:lineRule="auto"/>
      <w:outlineLvl w:val="2"/>
    </w:pPr>
    <w:rPr>
      <w:rFonts w:asciiTheme="majorHAnsi" w:eastAsiaTheme="majorEastAsia" w:hAnsiTheme="majorHAnsi" w:cstheme="majorBidi"/>
      <w:b/>
      <w:color w:val="002554" w:themeColor="text1"/>
      <w:spacing w:val="-5"/>
      <w:sz w:val="24"/>
      <w:szCs w:val="28"/>
    </w:rPr>
  </w:style>
  <w:style w:type="paragraph" w:styleId="Heading4">
    <w:name w:val="heading 4"/>
    <w:basedOn w:val="Normal"/>
    <w:next w:val="BodyText"/>
    <w:link w:val="Heading4Char"/>
    <w:uiPriority w:val="9"/>
    <w:semiHidden/>
    <w:rsid w:val="004D1815"/>
    <w:pPr>
      <w:keepNext/>
      <w:keepLines/>
      <w:suppressAutoHyphens/>
      <w:spacing w:after="0" w:line="240" w:lineRule="auto"/>
      <w:outlineLvl w:val="3"/>
    </w:pPr>
    <w:rPr>
      <w:rFonts w:asciiTheme="majorHAnsi" w:eastAsiaTheme="majorEastAsia" w:hAnsiTheme="majorHAnsi" w:cstheme="majorBidi"/>
      <w:b/>
      <w:sz w:val="18"/>
    </w:rPr>
  </w:style>
  <w:style w:type="paragraph" w:styleId="Heading5">
    <w:name w:val="heading 5"/>
    <w:basedOn w:val="Normal"/>
    <w:next w:val="Normal"/>
    <w:link w:val="Heading5Char"/>
    <w:uiPriority w:val="9"/>
    <w:semiHidden/>
    <w:rsid w:val="004D1815"/>
    <w:pPr>
      <w:keepNext/>
      <w:keepLines/>
      <w:spacing w:after="0" w:line="240" w:lineRule="auto"/>
      <w:outlineLvl w:val="4"/>
    </w:pPr>
    <w:rPr>
      <w:rFonts w:eastAsiaTheme="majorEastAsia" w:cstheme="majorBidi"/>
      <w:b/>
      <w:sz w:val="18"/>
    </w:rPr>
  </w:style>
  <w:style w:type="paragraph" w:styleId="Heading6">
    <w:name w:val="heading 6"/>
    <w:basedOn w:val="Normal"/>
    <w:next w:val="Normal"/>
    <w:link w:val="Heading6Char"/>
    <w:uiPriority w:val="9"/>
    <w:semiHidden/>
    <w:rsid w:val="004D1815"/>
    <w:pPr>
      <w:keepNext/>
      <w:keepLines/>
      <w:spacing w:after="0" w:line="240" w:lineRule="auto"/>
      <w:outlineLvl w:val="5"/>
    </w:pPr>
    <w:rPr>
      <w:rFonts w:eastAsiaTheme="majorEastAsia" w:cstheme="majorBid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semiHidden/>
    <w:qFormat/>
    <w:rsid w:val="00D34DC7"/>
    <w:pPr>
      <w:spacing w:after="0"/>
    </w:pPr>
  </w:style>
  <w:style w:type="paragraph" w:styleId="ListBullet">
    <w:name w:val="List Bullet"/>
    <w:basedOn w:val="BodyText"/>
    <w:uiPriority w:val="2"/>
    <w:qFormat/>
    <w:rsid w:val="002E27D5"/>
    <w:pPr>
      <w:numPr>
        <w:numId w:val="21"/>
      </w:numPr>
      <w:spacing w:after="80"/>
    </w:pPr>
  </w:style>
  <w:style w:type="paragraph" w:styleId="ListBullet2">
    <w:name w:val="List Bullet 2"/>
    <w:basedOn w:val="BodyText"/>
    <w:uiPriority w:val="3"/>
    <w:qFormat/>
    <w:rsid w:val="002E27D5"/>
    <w:pPr>
      <w:numPr>
        <w:ilvl w:val="1"/>
        <w:numId w:val="21"/>
      </w:numPr>
      <w:spacing w:after="80"/>
    </w:pPr>
  </w:style>
  <w:style w:type="paragraph" w:styleId="ListNumber">
    <w:name w:val="List Number"/>
    <w:basedOn w:val="BodyText"/>
    <w:uiPriority w:val="4"/>
    <w:qFormat/>
    <w:rsid w:val="00CF59E1"/>
    <w:pPr>
      <w:numPr>
        <w:numId w:val="2"/>
      </w:numPr>
      <w:spacing w:after="120"/>
    </w:pPr>
  </w:style>
  <w:style w:type="numbering" w:customStyle="1" w:styleId="Bullets">
    <w:name w:val="Bullets"/>
    <w:uiPriority w:val="99"/>
    <w:rsid w:val="002E27D5"/>
    <w:pPr>
      <w:numPr>
        <w:numId w:val="1"/>
      </w:numPr>
    </w:pPr>
  </w:style>
  <w:style w:type="character" w:customStyle="1" w:styleId="Heading1Char">
    <w:name w:val="Heading 1 Char"/>
    <w:basedOn w:val="DefaultParagraphFont"/>
    <w:link w:val="Heading1"/>
    <w:uiPriority w:val="5"/>
    <w:rsid w:val="004D1815"/>
    <w:rPr>
      <w:rFonts w:asciiTheme="majorHAnsi" w:hAnsiTheme="majorHAnsi" w:cstheme="majorHAnsi"/>
      <w:b/>
      <w:bCs/>
      <w:color w:val="002554" w:themeColor="text1"/>
      <w:spacing w:val="-3"/>
      <w:sz w:val="34"/>
      <w:szCs w:val="21"/>
    </w:rPr>
  </w:style>
  <w:style w:type="paragraph" w:styleId="ListNumber2">
    <w:name w:val="List Number 2"/>
    <w:basedOn w:val="BodyText"/>
    <w:uiPriority w:val="99"/>
    <w:rsid w:val="00CF59E1"/>
    <w:pPr>
      <w:numPr>
        <w:ilvl w:val="1"/>
        <w:numId w:val="2"/>
      </w:numPr>
      <w:spacing w:after="100"/>
      <w:contextualSpacing/>
    </w:pPr>
  </w:style>
  <w:style w:type="character" w:customStyle="1" w:styleId="Heading2Char">
    <w:name w:val="Heading 2 Char"/>
    <w:basedOn w:val="DefaultParagraphFont"/>
    <w:link w:val="Heading2"/>
    <w:uiPriority w:val="5"/>
    <w:rsid w:val="004D1815"/>
    <w:rPr>
      <w:rFonts w:asciiTheme="majorHAnsi" w:hAnsiTheme="majorHAnsi" w:cstheme="majorHAnsi"/>
      <w:b/>
      <w:bCs/>
      <w:color w:val="002554" w:themeColor="text1"/>
      <w:spacing w:val="-3"/>
      <w:sz w:val="28"/>
      <w:szCs w:val="18"/>
    </w:rPr>
  </w:style>
  <w:style w:type="paragraph" w:styleId="ListParagraph">
    <w:name w:val="List Paragraph"/>
    <w:basedOn w:val="Normal"/>
    <w:uiPriority w:val="34"/>
    <w:semiHidden/>
    <w:rsid w:val="00594496"/>
    <w:pPr>
      <w:ind w:left="284"/>
      <w:contextualSpacing/>
    </w:pPr>
  </w:style>
  <w:style w:type="paragraph" w:styleId="Header">
    <w:name w:val="header"/>
    <w:link w:val="HeaderChar"/>
    <w:uiPriority w:val="99"/>
    <w:unhideWhenUsed/>
    <w:rsid w:val="002E27D5"/>
    <w:pPr>
      <w:tabs>
        <w:tab w:val="right" w:pos="8789"/>
      </w:tabs>
      <w:spacing w:after="0" w:line="240" w:lineRule="auto"/>
      <w:ind w:right="-3119"/>
      <w:contextualSpacing/>
    </w:pPr>
    <w:rPr>
      <w:color w:val="002554" w:themeColor="text1"/>
      <w:sz w:val="20"/>
    </w:rPr>
  </w:style>
  <w:style w:type="character" w:customStyle="1" w:styleId="HeaderChar">
    <w:name w:val="Header Char"/>
    <w:basedOn w:val="DefaultParagraphFont"/>
    <w:link w:val="Header"/>
    <w:uiPriority w:val="99"/>
    <w:rsid w:val="002E27D5"/>
    <w:rPr>
      <w:color w:val="002554" w:themeColor="text1"/>
      <w:sz w:val="20"/>
    </w:rPr>
  </w:style>
  <w:style w:type="paragraph" w:styleId="Footer">
    <w:name w:val="footer"/>
    <w:link w:val="FooterChar"/>
    <w:uiPriority w:val="99"/>
    <w:rsid w:val="00C800CB"/>
    <w:pPr>
      <w:spacing w:after="0" w:line="240" w:lineRule="auto"/>
    </w:pPr>
    <w:rPr>
      <w:color w:val="002554" w:themeColor="text1"/>
      <w:sz w:val="20"/>
    </w:rPr>
  </w:style>
  <w:style w:type="character" w:customStyle="1" w:styleId="FooterChar">
    <w:name w:val="Footer Char"/>
    <w:basedOn w:val="DefaultParagraphFont"/>
    <w:link w:val="Footer"/>
    <w:uiPriority w:val="99"/>
    <w:rsid w:val="000C278E"/>
    <w:rPr>
      <w:color w:val="002554" w:themeColor="text1"/>
      <w:sz w:val="20"/>
    </w:rPr>
  </w:style>
  <w:style w:type="numbering" w:customStyle="1" w:styleId="Numbering">
    <w:name w:val="Numbering"/>
    <w:uiPriority w:val="99"/>
    <w:rsid w:val="00CF59E1"/>
    <w:pPr>
      <w:numPr>
        <w:numId w:val="2"/>
      </w:numPr>
    </w:pPr>
  </w:style>
  <w:style w:type="paragraph" w:styleId="ListBullet3">
    <w:name w:val="List Bullet 3"/>
    <w:basedOn w:val="BodyText"/>
    <w:uiPriority w:val="99"/>
    <w:rsid w:val="002E27D5"/>
    <w:pPr>
      <w:numPr>
        <w:ilvl w:val="2"/>
        <w:numId w:val="21"/>
      </w:numPr>
      <w:spacing w:after="80"/>
    </w:pPr>
  </w:style>
  <w:style w:type="paragraph" w:styleId="ListContinue2">
    <w:name w:val="List Continue 2"/>
    <w:basedOn w:val="Normal"/>
    <w:uiPriority w:val="99"/>
    <w:semiHidden/>
    <w:qFormat/>
    <w:rsid w:val="005870BD"/>
    <w:pPr>
      <w:ind w:left="737"/>
    </w:pPr>
  </w:style>
  <w:style w:type="paragraph" w:styleId="ListNumber3">
    <w:name w:val="List Number 3"/>
    <w:basedOn w:val="Normal"/>
    <w:uiPriority w:val="99"/>
    <w:semiHidden/>
    <w:rsid w:val="00CF59E1"/>
    <w:pPr>
      <w:contextualSpacing/>
    </w:pPr>
  </w:style>
  <w:style w:type="paragraph" w:styleId="ListNumber4">
    <w:name w:val="List Number 4"/>
    <w:basedOn w:val="Normal"/>
    <w:uiPriority w:val="99"/>
    <w:semiHidden/>
    <w:rsid w:val="00CF59E1"/>
    <w:pPr>
      <w:contextualSpacing/>
    </w:pPr>
  </w:style>
  <w:style w:type="paragraph" w:styleId="ListNumber5">
    <w:name w:val="List Number 5"/>
    <w:basedOn w:val="Normal"/>
    <w:uiPriority w:val="99"/>
    <w:semiHidden/>
    <w:rsid w:val="00CF59E1"/>
    <w:pPr>
      <w:contextualSpacing/>
    </w:pPr>
  </w:style>
  <w:style w:type="paragraph" w:styleId="ListContinue">
    <w:name w:val="List Continue"/>
    <w:basedOn w:val="Normal"/>
    <w:uiPriority w:val="99"/>
    <w:semiHidden/>
    <w:qFormat/>
    <w:rsid w:val="005870BD"/>
    <w:pPr>
      <w:ind w:left="340"/>
    </w:pPr>
  </w:style>
  <w:style w:type="paragraph" w:styleId="ListContinue3">
    <w:name w:val="List Continue 3"/>
    <w:basedOn w:val="Normal"/>
    <w:uiPriority w:val="99"/>
    <w:semiHidden/>
    <w:rsid w:val="005870BD"/>
    <w:pPr>
      <w:ind w:left="1134"/>
    </w:pPr>
  </w:style>
  <w:style w:type="paragraph" w:styleId="ListContinue4">
    <w:name w:val="List Continue 4"/>
    <w:basedOn w:val="Normal"/>
    <w:uiPriority w:val="99"/>
    <w:semiHidden/>
    <w:rsid w:val="00974677"/>
    <w:pPr>
      <w:ind w:left="1132"/>
      <w:contextualSpacing/>
    </w:pPr>
  </w:style>
  <w:style w:type="character" w:customStyle="1" w:styleId="Heading3Char">
    <w:name w:val="Heading 3 Char"/>
    <w:basedOn w:val="DefaultParagraphFont"/>
    <w:link w:val="Heading3"/>
    <w:uiPriority w:val="5"/>
    <w:rsid w:val="004D1815"/>
    <w:rPr>
      <w:rFonts w:asciiTheme="majorHAnsi" w:eastAsiaTheme="majorEastAsia" w:hAnsiTheme="majorHAnsi" w:cstheme="majorBidi"/>
      <w:b/>
      <w:color w:val="002554" w:themeColor="text1"/>
      <w:spacing w:val="-5"/>
      <w:sz w:val="24"/>
      <w:szCs w:val="28"/>
    </w:rPr>
  </w:style>
  <w:style w:type="character" w:customStyle="1" w:styleId="Heading4Char">
    <w:name w:val="Heading 4 Char"/>
    <w:basedOn w:val="DefaultParagraphFont"/>
    <w:link w:val="Heading4"/>
    <w:uiPriority w:val="9"/>
    <w:semiHidden/>
    <w:rsid w:val="004D1815"/>
    <w:rPr>
      <w:rFonts w:asciiTheme="majorHAnsi" w:eastAsiaTheme="majorEastAsia" w:hAnsiTheme="majorHAnsi" w:cstheme="majorBidi"/>
      <w:b/>
      <w:color w:val="002554" w:themeColor="text1"/>
      <w:spacing w:val="-5"/>
      <w:sz w:val="18"/>
    </w:rPr>
  </w:style>
  <w:style w:type="character" w:customStyle="1" w:styleId="Heading5Char">
    <w:name w:val="Heading 5 Char"/>
    <w:basedOn w:val="DefaultParagraphFont"/>
    <w:link w:val="Heading5"/>
    <w:uiPriority w:val="9"/>
    <w:semiHidden/>
    <w:rsid w:val="004D1815"/>
    <w:rPr>
      <w:rFonts w:eastAsiaTheme="majorEastAsia" w:cstheme="majorBidi"/>
      <w:b/>
      <w:color w:val="002554" w:themeColor="text1"/>
      <w:spacing w:val="-5"/>
      <w:sz w:val="18"/>
    </w:rPr>
  </w:style>
  <w:style w:type="numbering" w:customStyle="1" w:styleId="ListHeadings">
    <w:name w:val="List Headings"/>
    <w:uiPriority w:val="99"/>
    <w:rsid w:val="00D16F74"/>
    <w:pPr>
      <w:numPr>
        <w:numId w:val="3"/>
      </w:numPr>
    </w:pPr>
  </w:style>
  <w:style w:type="paragraph" w:styleId="Title">
    <w:name w:val="Title"/>
    <w:next w:val="Normal"/>
    <w:link w:val="TitleChar"/>
    <w:uiPriority w:val="10"/>
    <w:rsid w:val="008F38FC"/>
    <w:pPr>
      <w:keepLines/>
      <w:suppressAutoHyphens/>
      <w:spacing w:after="320" w:line="216" w:lineRule="auto"/>
    </w:pPr>
    <w:rPr>
      <w:rFonts w:asciiTheme="majorHAnsi" w:hAnsiTheme="majorHAnsi"/>
      <w:b/>
      <w:bCs/>
      <w:color w:val="002554" w:themeColor="text1"/>
      <w:spacing w:val="-5"/>
      <w:sz w:val="52"/>
      <w:szCs w:val="52"/>
    </w:rPr>
  </w:style>
  <w:style w:type="character" w:customStyle="1" w:styleId="TitleChar">
    <w:name w:val="Title Char"/>
    <w:basedOn w:val="DefaultParagraphFont"/>
    <w:link w:val="Title"/>
    <w:uiPriority w:val="10"/>
    <w:rsid w:val="008F38FC"/>
    <w:rPr>
      <w:rFonts w:asciiTheme="majorHAnsi" w:hAnsiTheme="majorHAnsi"/>
      <w:b/>
      <w:bCs/>
      <w:color w:val="002554" w:themeColor="text1"/>
      <w:spacing w:val="-5"/>
      <w:sz w:val="52"/>
      <w:szCs w:val="52"/>
    </w:rPr>
  </w:style>
  <w:style w:type="paragraph" w:styleId="ListBullet4">
    <w:name w:val="List Bullet 4"/>
    <w:basedOn w:val="Normal"/>
    <w:uiPriority w:val="99"/>
    <w:semiHidden/>
    <w:rsid w:val="000C1F74"/>
    <w:pPr>
      <w:spacing w:after="130" w:line="192" w:lineRule="auto"/>
    </w:pPr>
  </w:style>
  <w:style w:type="paragraph" w:customStyle="1" w:styleId="Introduction">
    <w:name w:val="Introduction"/>
    <w:basedOn w:val="Normal"/>
    <w:next w:val="BodyText"/>
    <w:link w:val="IntroductionChar"/>
    <w:uiPriority w:val="6"/>
    <w:qFormat/>
    <w:rsid w:val="00F57F42"/>
    <w:pPr>
      <w:spacing w:before="180"/>
    </w:pPr>
    <w:rPr>
      <w:rFonts w:cstheme="majorHAnsi"/>
      <w:b/>
      <w:bCs/>
    </w:rPr>
  </w:style>
  <w:style w:type="character" w:styleId="FollowedHyperlink">
    <w:name w:val="FollowedHyperlink"/>
    <w:basedOn w:val="DefaultParagraphFont"/>
    <w:uiPriority w:val="99"/>
    <w:rsid w:val="002933C3"/>
    <w:rPr>
      <w:color w:val="002554" w:themeColor="text1"/>
      <w:u w:val="single"/>
    </w:rPr>
  </w:style>
  <w:style w:type="character" w:customStyle="1" w:styleId="IntroductionChar">
    <w:name w:val="Introduction Char"/>
    <w:basedOn w:val="DefaultParagraphFont"/>
    <w:link w:val="Introduction"/>
    <w:uiPriority w:val="6"/>
    <w:rsid w:val="000A3A9D"/>
    <w:rPr>
      <w:rFonts w:cstheme="majorHAnsi"/>
      <w:b/>
      <w:bCs/>
      <w:color w:val="002554" w:themeColor="text1"/>
      <w:spacing w:val="-5"/>
      <w:sz w:val="24"/>
    </w:rPr>
  </w:style>
  <w:style w:type="paragraph" w:styleId="ListContinue5">
    <w:name w:val="List Continue 5"/>
    <w:basedOn w:val="Normal"/>
    <w:uiPriority w:val="99"/>
    <w:semiHidden/>
    <w:rsid w:val="00593314"/>
    <w:pPr>
      <w:ind w:left="1415"/>
      <w:contextualSpacing/>
    </w:pPr>
  </w:style>
  <w:style w:type="table" w:styleId="TableGrid">
    <w:name w:val="Table Grid"/>
    <w:basedOn w:val="TableNormal"/>
    <w:uiPriority w:val="39"/>
    <w:rsid w:val="002E27D5"/>
    <w:pPr>
      <w:spacing w:after="0" w:line="240" w:lineRule="auto"/>
    </w:pPr>
    <w:tblPr>
      <w:tblBorders>
        <w:top w:val="single" w:sz="4" w:space="0" w:color="002554" w:themeColor="accent1"/>
        <w:bottom w:val="single" w:sz="4" w:space="0" w:color="002554" w:themeColor="accent1"/>
        <w:insideH w:val="single" w:sz="4" w:space="0" w:color="002554" w:themeColor="accent1"/>
      </w:tblBorders>
      <w:tblCellMar>
        <w:left w:w="0" w:type="dxa"/>
        <w:right w:w="170" w:type="dxa"/>
      </w:tblCellMar>
    </w:tblPr>
    <w:tblStylePr w:type="firstRow">
      <w:tblPr/>
      <w:tcPr>
        <w:vAlign w:val="bottom"/>
      </w:tcPr>
    </w:tblStylePr>
  </w:style>
  <w:style w:type="paragraph" w:styleId="Caption">
    <w:name w:val="caption"/>
    <w:basedOn w:val="Normal"/>
    <w:next w:val="BodyText"/>
    <w:uiPriority w:val="8"/>
    <w:qFormat/>
    <w:rsid w:val="00202F87"/>
    <w:pPr>
      <w:keepNext/>
      <w:keepLines/>
      <w:spacing w:before="280" w:after="160" w:line="240" w:lineRule="auto"/>
    </w:pPr>
    <w:rPr>
      <w:b/>
      <w:iCs/>
      <w:spacing w:val="0"/>
      <w:szCs w:val="18"/>
    </w:rPr>
  </w:style>
  <w:style w:type="paragraph" w:styleId="List">
    <w:name w:val="List"/>
    <w:basedOn w:val="Normal"/>
    <w:uiPriority w:val="99"/>
    <w:semiHidden/>
    <w:rsid w:val="00E25474"/>
    <w:pPr>
      <w:numPr>
        <w:numId w:val="4"/>
      </w:numPr>
      <w:contextualSpacing/>
    </w:pPr>
  </w:style>
  <w:style w:type="paragraph" w:styleId="List2">
    <w:name w:val="List 2"/>
    <w:basedOn w:val="Normal"/>
    <w:uiPriority w:val="99"/>
    <w:semiHidden/>
    <w:rsid w:val="00E25474"/>
    <w:pPr>
      <w:numPr>
        <w:ilvl w:val="1"/>
        <w:numId w:val="4"/>
      </w:numPr>
      <w:contextualSpacing/>
    </w:pPr>
  </w:style>
  <w:style w:type="paragraph" w:styleId="Subtitle">
    <w:name w:val="Subtitle"/>
    <w:link w:val="SubtitleChar"/>
    <w:uiPriority w:val="11"/>
    <w:rsid w:val="009A06F2"/>
    <w:pPr>
      <w:keepLines/>
      <w:spacing w:after="480" w:line="216" w:lineRule="auto"/>
      <w:ind w:right="1418"/>
    </w:pPr>
    <w:rPr>
      <w:color w:val="002554" w:themeColor="text1"/>
      <w:spacing w:val="-8"/>
      <w:sz w:val="36"/>
      <w:szCs w:val="36"/>
    </w:rPr>
  </w:style>
  <w:style w:type="character" w:customStyle="1" w:styleId="SubtitleChar">
    <w:name w:val="Subtitle Char"/>
    <w:basedOn w:val="DefaultParagraphFont"/>
    <w:link w:val="Subtitle"/>
    <w:uiPriority w:val="11"/>
    <w:rsid w:val="009A06F2"/>
    <w:rPr>
      <w:color w:val="002554" w:themeColor="text1"/>
      <w:spacing w:val="-8"/>
      <w:sz w:val="36"/>
      <w:szCs w:val="36"/>
    </w:rPr>
  </w:style>
  <w:style w:type="paragraph" w:styleId="TOCHeading">
    <w:name w:val="TOC Heading"/>
    <w:basedOn w:val="Heading1"/>
    <w:next w:val="BodyText"/>
    <w:uiPriority w:val="39"/>
    <w:rsid w:val="00E415DB"/>
    <w:pPr>
      <w:spacing w:before="600"/>
      <w:outlineLvl w:val="9"/>
    </w:pPr>
  </w:style>
  <w:style w:type="paragraph" w:styleId="TOC1">
    <w:name w:val="toc 1"/>
    <w:uiPriority w:val="39"/>
    <w:rsid w:val="00CA396E"/>
    <w:pPr>
      <w:pBdr>
        <w:bottom w:val="single" w:sz="2" w:space="3" w:color="002554" w:themeColor="accent1"/>
        <w:between w:val="single" w:sz="2" w:space="1" w:color="002554" w:themeColor="accent1"/>
      </w:pBdr>
      <w:tabs>
        <w:tab w:val="right" w:pos="8222"/>
      </w:tabs>
      <w:spacing w:before="120" w:after="40" w:line="240" w:lineRule="auto"/>
    </w:pPr>
    <w:rPr>
      <w:rFonts w:eastAsiaTheme="minorEastAsia"/>
      <w:b/>
      <w:noProof/>
      <w:color w:val="002554" w:themeColor="text1"/>
      <w:sz w:val="24"/>
      <w:szCs w:val="20"/>
      <w:u w:color="D50032"/>
    </w:rPr>
  </w:style>
  <w:style w:type="paragraph" w:styleId="TOC2">
    <w:name w:val="toc 2"/>
    <w:basedOn w:val="TOC1"/>
    <w:uiPriority w:val="39"/>
    <w:rsid w:val="00D85FBA"/>
    <w:rPr>
      <w:b w:val="0"/>
      <w:szCs w:val="24"/>
    </w:rPr>
  </w:style>
  <w:style w:type="paragraph" w:styleId="TOC3">
    <w:name w:val="toc 3"/>
    <w:basedOn w:val="TOC2"/>
    <w:uiPriority w:val="39"/>
    <w:rsid w:val="00D85FBA"/>
    <w:pPr>
      <w:ind w:left="284"/>
    </w:pPr>
  </w:style>
  <w:style w:type="character" w:styleId="Hyperlink">
    <w:name w:val="Hyperlink"/>
    <w:basedOn w:val="DefaultParagraphFont"/>
    <w:uiPriority w:val="99"/>
    <w:unhideWhenUsed/>
    <w:rsid w:val="00D402E8"/>
    <w:rPr>
      <w:rFonts w:ascii="Roboto" w:hAnsi="Roboto"/>
      <w:color w:val="002554" w:themeColor="hyperlink"/>
      <w:u w:val="single"/>
    </w:rPr>
  </w:style>
  <w:style w:type="paragraph" w:styleId="EndnoteText">
    <w:name w:val="endnote text"/>
    <w:basedOn w:val="Normal"/>
    <w:link w:val="EndnoteTextChar"/>
    <w:uiPriority w:val="99"/>
    <w:rsid w:val="004B5074"/>
    <w:pPr>
      <w:spacing w:after="80" w:line="240" w:lineRule="auto"/>
    </w:pPr>
    <w:rPr>
      <w:spacing w:val="-3"/>
      <w:sz w:val="20"/>
      <w:szCs w:val="20"/>
    </w:rPr>
  </w:style>
  <w:style w:type="paragraph" w:customStyle="1" w:styleId="QuoteBold">
    <w:name w:val="Quote Bold"/>
    <w:basedOn w:val="Normal"/>
    <w:next w:val="QuoteAttribution"/>
    <w:link w:val="QuoteBoldChar"/>
    <w:uiPriority w:val="4"/>
    <w:rsid w:val="000C1E3F"/>
    <w:pPr>
      <w:keepLines/>
      <w:spacing w:line="288" w:lineRule="auto"/>
      <w:ind w:left="340"/>
    </w:pPr>
    <w:rPr>
      <w:b/>
      <w:sz w:val="26"/>
    </w:rPr>
  </w:style>
  <w:style w:type="paragraph" w:customStyle="1" w:styleId="QuoteAttribution">
    <w:name w:val="Quote Attribution"/>
    <w:next w:val="BodyText"/>
    <w:link w:val="QuoteAttributionChar"/>
    <w:uiPriority w:val="11"/>
    <w:rsid w:val="002E27D5"/>
    <w:pPr>
      <w:keepLines/>
      <w:spacing w:after="320" w:line="240" w:lineRule="auto"/>
      <w:ind w:left="340"/>
    </w:pPr>
    <w:rPr>
      <w:color w:val="002554" w:themeColor="text1"/>
      <w:spacing w:val="-5"/>
      <w:sz w:val="24"/>
    </w:rPr>
  </w:style>
  <w:style w:type="character" w:customStyle="1" w:styleId="QuoteBoldChar">
    <w:name w:val="Quote Bold Char"/>
    <w:basedOn w:val="DefaultParagraphFont"/>
    <w:link w:val="QuoteBold"/>
    <w:uiPriority w:val="4"/>
    <w:rsid w:val="000C1E3F"/>
    <w:rPr>
      <w:b/>
      <w:color w:val="002554" w:themeColor="text1"/>
      <w:spacing w:val="-5"/>
      <w:sz w:val="26"/>
    </w:rPr>
  </w:style>
  <w:style w:type="paragraph" w:styleId="FootnoteText">
    <w:name w:val="footnote text"/>
    <w:basedOn w:val="Normal"/>
    <w:link w:val="FootnoteTextChar"/>
    <w:uiPriority w:val="99"/>
    <w:rsid w:val="00A12289"/>
    <w:pPr>
      <w:spacing w:after="80" w:line="240" w:lineRule="auto"/>
      <w:ind w:left="284" w:hanging="284"/>
    </w:pPr>
    <w:rPr>
      <w:bCs/>
      <w:spacing w:val="-3"/>
      <w:sz w:val="20"/>
      <w:szCs w:val="20"/>
    </w:rPr>
  </w:style>
  <w:style w:type="character" w:customStyle="1" w:styleId="QuoteAttributionChar">
    <w:name w:val="Quote Attribution Char"/>
    <w:basedOn w:val="QuoteBoldChar"/>
    <w:link w:val="QuoteAttribution"/>
    <w:uiPriority w:val="11"/>
    <w:rsid w:val="002E27D5"/>
    <w:rPr>
      <w:b w:val="0"/>
      <w:color w:val="002554" w:themeColor="text1"/>
      <w:spacing w:val="-5"/>
      <w:sz w:val="24"/>
    </w:rPr>
  </w:style>
  <w:style w:type="character" w:customStyle="1" w:styleId="FootnoteTextChar">
    <w:name w:val="Footnote Text Char"/>
    <w:basedOn w:val="DefaultParagraphFont"/>
    <w:link w:val="FootnoteText"/>
    <w:uiPriority w:val="99"/>
    <w:rsid w:val="00A12289"/>
    <w:rPr>
      <w:bCs/>
      <w:color w:val="002554" w:themeColor="text1"/>
      <w:spacing w:val="-3"/>
      <w:sz w:val="20"/>
      <w:szCs w:val="20"/>
    </w:rPr>
  </w:style>
  <w:style w:type="character" w:styleId="FootnoteReference">
    <w:name w:val="footnote reference"/>
    <w:basedOn w:val="DefaultParagraphFont"/>
    <w:uiPriority w:val="99"/>
    <w:rsid w:val="00214529"/>
    <w:rPr>
      <w:vertAlign w:val="superscript"/>
    </w:rPr>
  </w:style>
  <w:style w:type="character" w:customStyle="1" w:styleId="NoSpacingChar">
    <w:name w:val="No Spacing Char"/>
    <w:basedOn w:val="DefaultParagraphFont"/>
    <w:link w:val="NoSpacing"/>
    <w:uiPriority w:val="1"/>
    <w:semiHidden/>
    <w:rsid w:val="000C278E"/>
    <w:rPr>
      <w:color w:val="002554" w:themeColor="text1"/>
      <w:spacing w:val="-5"/>
      <w:sz w:val="24"/>
    </w:rPr>
  </w:style>
  <w:style w:type="paragraph" w:customStyle="1" w:styleId="QuoteLarge">
    <w:name w:val="Quote Large"/>
    <w:basedOn w:val="Normal"/>
    <w:next w:val="QuoteLargeAttribution"/>
    <w:link w:val="QuoteLargeChar"/>
    <w:uiPriority w:val="4"/>
    <w:rsid w:val="002233DA"/>
    <w:pPr>
      <w:keepLines/>
      <w:spacing w:before="360" w:after="360" w:line="216" w:lineRule="auto"/>
      <w:ind w:left="340"/>
    </w:pPr>
    <w:rPr>
      <w:b/>
      <w:bCs/>
      <w:spacing w:val="-8"/>
      <w:sz w:val="36"/>
      <w:szCs w:val="36"/>
    </w:rPr>
  </w:style>
  <w:style w:type="paragraph" w:customStyle="1" w:styleId="QuoteLargeAttribution">
    <w:name w:val="Quote Large Attribution"/>
    <w:link w:val="QuoteLargeAttributionChar"/>
    <w:uiPriority w:val="4"/>
    <w:rsid w:val="002233DA"/>
    <w:pPr>
      <w:keepLines/>
      <w:spacing w:after="320" w:line="240" w:lineRule="auto"/>
      <w:ind w:left="340"/>
    </w:pPr>
    <w:rPr>
      <w:color w:val="002554" w:themeColor="text1"/>
      <w:spacing w:val="-6"/>
      <w:sz w:val="28"/>
      <w:szCs w:val="28"/>
    </w:rPr>
  </w:style>
  <w:style w:type="character" w:customStyle="1" w:styleId="QuoteLargeChar">
    <w:name w:val="Quote Large Char"/>
    <w:basedOn w:val="DefaultParagraphFont"/>
    <w:link w:val="QuoteLarge"/>
    <w:uiPriority w:val="4"/>
    <w:rsid w:val="002233DA"/>
    <w:rPr>
      <w:b/>
      <w:bCs/>
      <w:color w:val="002554" w:themeColor="text1"/>
      <w:spacing w:val="-8"/>
      <w:sz w:val="36"/>
      <w:szCs w:val="36"/>
    </w:rPr>
  </w:style>
  <w:style w:type="character" w:styleId="Strong">
    <w:name w:val="Strong"/>
    <w:basedOn w:val="DefaultParagraphFont"/>
    <w:uiPriority w:val="22"/>
    <w:rsid w:val="00D402E8"/>
    <w:rPr>
      <w:rFonts w:ascii="Roboto" w:hAnsi="Roboto"/>
      <w:b/>
      <w:bCs/>
    </w:rPr>
  </w:style>
  <w:style w:type="character" w:customStyle="1" w:styleId="QuoteLargeAttributionChar">
    <w:name w:val="Quote Large Attribution Char"/>
    <w:basedOn w:val="QuoteLargeChar"/>
    <w:link w:val="QuoteLargeAttribution"/>
    <w:uiPriority w:val="4"/>
    <w:rsid w:val="002233DA"/>
    <w:rPr>
      <w:b w:val="0"/>
      <w:bCs w:val="0"/>
      <w:color w:val="002554" w:themeColor="text1"/>
      <w:spacing w:val="-6"/>
      <w:sz w:val="28"/>
      <w:szCs w:val="28"/>
    </w:rPr>
  </w:style>
  <w:style w:type="character" w:customStyle="1" w:styleId="Heading6Char">
    <w:name w:val="Heading 6 Char"/>
    <w:basedOn w:val="DefaultParagraphFont"/>
    <w:link w:val="Heading6"/>
    <w:uiPriority w:val="9"/>
    <w:semiHidden/>
    <w:rsid w:val="004D1815"/>
    <w:rPr>
      <w:rFonts w:eastAsiaTheme="majorEastAsia" w:cstheme="majorBidi"/>
      <w:color w:val="002554" w:themeColor="text1"/>
      <w:spacing w:val="-5"/>
      <w:sz w:val="18"/>
    </w:rPr>
  </w:style>
  <w:style w:type="character" w:styleId="CommentReference">
    <w:name w:val="annotation reference"/>
    <w:basedOn w:val="DefaultParagraphFont"/>
    <w:uiPriority w:val="99"/>
    <w:semiHidden/>
    <w:unhideWhenUsed/>
    <w:rsid w:val="005105FF"/>
    <w:rPr>
      <w:sz w:val="16"/>
      <w:szCs w:val="16"/>
    </w:rPr>
  </w:style>
  <w:style w:type="paragraph" w:styleId="CommentText">
    <w:name w:val="annotation text"/>
    <w:basedOn w:val="Normal"/>
    <w:link w:val="CommentTextChar"/>
    <w:uiPriority w:val="99"/>
    <w:semiHidden/>
    <w:rsid w:val="005105FF"/>
    <w:pPr>
      <w:spacing w:line="240" w:lineRule="auto"/>
    </w:pPr>
    <w:rPr>
      <w:sz w:val="20"/>
      <w:szCs w:val="20"/>
    </w:rPr>
  </w:style>
  <w:style w:type="character" w:customStyle="1" w:styleId="CommentTextChar">
    <w:name w:val="Comment Text Char"/>
    <w:basedOn w:val="DefaultParagraphFont"/>
    <w:link w:val="CommentText"/>
    <w:uiPriority w:val="99"/>
    <w:semiHidden/>
    <w:rsid w:val="003C21C6"/>
    <w:rPr>
      <w:color w:val="002554" w:themeColor="text1"/>
      <w:spacing w:val="-5"/>
      <w:sz w:val="20"/>
      <w:szCs w:val="20"/>
    </w:rPr>
  </w:style>
  <w:style w:type="paragraph" w:styleId="CommentSubject">
    <w:name w:val="annotation subject"/>
    <w:basedOn w:val="CommentText"/>
    <w:next w:val="CommentText"/>
    <w:link w:val="CommentSubjectChar"/>
    <w:uiPriority w:val="99"/>
    <w:semiHidden/>
    <w:unhideWhenUsed/>
    <w:rsid w:val="005105FF"/>
    <w:rPr>
      <w:b/>
      <w:bCs/>
    </w:rPr>
  </w:style>
  <w:style w:type="character" w:customStyle="1" w:styleId="CommentSubjectChar">
    <w:name w:val="Comment Subject Char"/>
    <w:basedOn w:val="CommentTextChar"/>
    <w:link w:val="CommentSubject"/>
    <w:uiPriority w:val="99"/>
    <w:semiHidden/>
    <w:rsid w:val="005105FF"/>
    <w:rPr>
      <w:rFonts w:ascii="Roboto" w:hAnsi="Roboto"/>
      <w:b/>
      <w:bCs/>
      <w:color w:val="002554"/>
      <w:spacing w:val="-5"/>
      <w:sz w:val="20"/>
      <w:szCs w:val="20"/>
    </w:rPr>
  </w:style>
  <w:style w:type="paragraph" w:styleId="BodyText">
    <w:name w:val="Body Text"/>
    <w:basedOn w:val="Normal"/>
    <w:link w:val="BodyTextChar"/>
    <w:qFormat/>
    <w:rsid w:val="00A12DEA"/>
  </w:style>
  <w:style w:type="character" w:customStyle="1" w:styleId="BodyTextChar">
    <w:name w:val="Body Text Char"/>
    <w:basedOn w:val="DefaultParagraphFont"/>
    <w:link w:val="BodyText"/>
    <w:rsid w:val="000A3A9D"/>
    <w:rPr>
      <w:color w:val="002554" w:themeColor="text1"/>
      <w:spacing w:val="-5"/>
      <w:sz w:val="24"/>
    </w:rPr>
  </w:style>
  <w:style w:type="paragraph" w:customStyle="1" w:styleId="BodyTextAfterBullets">
    <w:name w:val="Body Text After Bullets"/>
    <w:basedOn w:val="BodyText"/>
    <w:uiPriority w:val="1"/>
    <w:qFormat/>
    <w:rsid w:val="00F57F42"/>
    <w:pPr>
      <w:spacing w:before="180"/>
    </w:pPr>
  </w:style>
  <w:style w:type="paragraph" w:customStyle="1" w:styleId="TableBody">
    <w:name w:val="Table Body"/>
    <w:uiPriority w:val="9"/>
    <w:qFormat/>
    <w:rsid w:val="00ED43DE"/>
    <w:pPr>
      <w:spacing w:before="80" w:after="80" w:line="240" w:lineRule="auto"/>
    </w:pPr>
    <w:rPr>
      <w:color w:val="002554" w:themeColor="text1"/>
      <w:spacing w:val="-5"/>
      <w:sz w:val="24"/>
    </w:rPr>
  </w:style>
  <w:style w:type="paragraph" w:customStyle="1" w:styleId="TableHeaderRow">
    <w:name w:val="Table Header Row"/>
    <w:basedOn w:val="TableBody"/>
    <w:uiPriority w:val="9"/>
    <w:qFormat/>
    <w:rsid w:val="00ED43DE"/>
    <w:rPr>
      <w:b/>
      <w:bCs/>
    </w:rPr>
  </w:style>
  <w:style w:type="paragraph" w:customStyle="1" w:styleId="TableFirstColumn">
    <w:name w:val="Table First Column"/>
    <w:basedOn w:val="TableBody"/>
    <w:uiPriority w:val="9"/>
    <w:qFormat/>
    <w:rsid w:val="00054ABD"/>
    <w:rPr>
      <w:b/>
    </w:rPr>
  </w:style>
  <w:style w:type="paragraph" w:styleId="Quote">
    <w:name w:val="Quote"/>
    <w:basedOn w:val="BodyText"/>
    <w:next w:val="Normal"/>
    <w:link w:val="QuoteChar"/>
    <w:uiPriority w:val="11"/>
    <w:rsid w:val="000C1E3F"/>
    <w:pPr>
      <w:keepLines/>
      <w:spacing w:line="288" w:lineRule="auto"/>
      <w:ind w:left="340"/>
    </w:pPr>
    <w:rPr>
      <w:iCs/>
    </w:rPr>
  </w:style>
  <w:style w:type="character" w:customStyle="1" w:styleId="QuoteChar">
    <w:name w:val="Quote Char"/>
    <w:basedOn w:val="DefaultParagraphFont"/>
    <w:link w:val="Quote"/>
    <w:uiPriority w:val="11"/>
    <w:rsid w:val="000C1E3F"/>
    <w:rPr>
      <w:iCs/>
      <w:color w:val="002554" w:themeColor="text1"/>
      <w:spacing w:val="-5"/>
      <w:sz w:val="24"/>
    </w:rPr>
  </w:style>
  <w:style w:type="paragraph" w:customStyle="1" w:styleId="TableBullet">
    <w:name w:val="Table Bullet"/>
    <w:basedOn w:val="TableBody"/>
    <w:uiPriority w:val="9"/>
    <w:qFormat/>
    <w:rsid w:val="002E27D5"/>
    <w:pPr>
      <w:numPr>
        <w:numId w:val="23"/>
      </w:numPr>
    </w:pPr>
  </w:style>
  <w:style w:type="character" w:customStyle="1" w:styleId="EndnoteTextChar">
    <w:name w:val="Endnote Text Char"/>
    <w:basedOn w:val="DefaultParagraphFont"/>
    <w:link w:val="EndnoteText"/>
    <w:uiPriority w:val="99"/>
    <w:rsid w:val="004B5074"/>
    <w:rPr>
      <w:color w:val="002554" w:themeColor="text1"/>
      <w:spacing w:val="-3"/>
      <w:sz w:val="20"/>
      <w:szCs w:val="20"/>
    </w:rPr>
  </w:style>
  <w:style w:type="numbering" w:customStyle="1" w:styleId="TableBullets">
    <w:name w:val="Table Bullets"/>
    <w:basedOn w:val="NoList"/>
    <w:uiPriority w:val="99"/>
    <w:rsid w:val="002E27D5"/>
    <w:pPr>
      <w:numPr>
        <w:numId w:val="17"/>
      </w:numPr>
    </w:pPr>
  </w:style>
  <w:style w:type="paragraph" w:customStyle="1" w:styleId="HeaderWithLine">
    <w:name w:val="Header With Line"/>
    <w:rsid w:val="002E27D5"/>
    <w:pPr>
      <w:pBdr>
        <w:bottom w:val="single" w:sz="2" w:space="4" w:color="002554" w:themeColor="accent1"/>
      </w:pBdr>
      <w:tabs>
        <w:tab w:val="right" w:pos="9923"/>
      </w:tabs>
      <w:spacing w:after="0" w:line="240" w:lineRule="auto"/>
      <w:ind w:right="-8505"/>
    </w:pPr>
    <w:rPr>
      <w:color w:val="002554" w:themeColor="text1"/>
      <w:sz w:val="20"/>
    </w:rPr>
  </w:style>
  <w:style w:type="paragraph" w:styleId="BodyTextIndent">
    <w:name w:val="Body Text Indent"/>
    <w:basedOn w:val="BodyText"/>
    <w:link w:val="BodyTextIndentChar"/>
    <w:uiPriority w:val="99"/>
    <w:rsid w:val="00F416F3"/>
    <w:pPr>
      <w:ind w:left="340"/>
    </w:pPr>
  </w:style>
  <w:style w:type="character" w:customStyle="1" w:styleId="BodyTextIndentChar">
    <w:name w:val="Body Text Indent Char"/>
    <w:basedOn w:val="DefaultParagraphFont"/>
    <w:link w:val="BodyTextIndent"/>
    <w:uiPriority w:val="99"/>
    <w:rsid w:val="00F416F3"/>
    <w:rPr>
      <w:color w:val="002554" w:themeColor="text1"/>
      <w:spacing w:val="-5"/>
      <w:sz w:val="24"/>
    </w:rPr>
  </w:style>
  <w:style w:type="character" w:styleId="UnresolvedMention">
    <w:name w:val="Unresolved Mention"/>
    <w:basedOn w:val="DefaultParagraphFont"/>
    <w:uiPriority w:val="99"/>
    <w:semiHidden/>
    <w:unhideWhenUsed/>
    <w:rsid w:val="00F416F3"/>
    <w:rPr>
      <w:color w:val="605E5C"/>
      <w:shd w:val="clear" w:color="auto" w:fill="E1DFDD"/>
    </w:rPr>
  </w:style>
  <w:style w:type="character" w:styleId="Emphasis">
    <w:name w:val="Emphasis"/>
    <w:basedOn w:val="DefaultParagraphFont"/>
    <w:uiPriority w:val="20"/>
    <w:rsid w:val="00E70791"/>
    <w:rPr>
      <w:i/>
      <w:iCs/>
    </w:rPr>
  </w:style>
  <w:style w:type="paragraph" w:styleId="Revision">
    <w:name w:val="Revision"/>
    <w:hidden/>
    <w:uiPriority w:val="99"/>
    <w:semiHidden/>
    <w:rsid w:val="006F54DA"/>
    <w:pPr>
      <w:spacing w:after="0" w:line="240" w:lineRule="auto"/>
    </w:pPr>
    <w:rPr>
      <w:color w:val="002554" w:themeColor="text1"/>
      <w:spacing w:val="-5"/>
      <w:sz w:val="24"/>
    </w:rPr>
  </w:style>
  <w:style w:type="paragraph" w:customStyle="1" w:styleId="QuoteItalic">
    <w:name w:val="Quote Italic"/>
    <w:basedOn w:val="QuoteBold"/>
    <w:rsid w:val="00A33840"/>
    <w:rPr>
      <w:b w:val="0"/>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7275">
      <w:bodyDiv w:val="1"/>
      <w:marLeft w:val="0"/>
      <w:marRight w:val="0"/>
      <w:marTop w:val="0"/>
      <w:marBottom w:val="0"/>
      <w:divBdr>
        <w:top w:val="none" w:sz="0" w:space="0" w:color="auto"/>
        <w:left w:val="none" w:sz="0" w:space="0" w:color="auto"/>
        <w:bottom w:val="none" w:sz="0" w:space="0" w:color="auto"/>
        <w:right w:val="none" w:sz="0" w:space="0" w:color="auto"/>
      </w:divBdr>
    </w:div>
    <w:div w:id="293174362">
      <w:bodyDiv w:val="1"/>
      <w:marLeft w:val="0"/>
      <w:marRight w:val="0"/>
      <w:marTop w:val="0"/>
      <w:marBottom w:val="0"/>
      <w:divBdr>
        <w:top w:val="none" w:sz="0" w:space="0" w:color="auto"/>
        <w:left w:val="none" w:sz="0" w:space="0" w:color="auto"/>
        <w:bottom w:val="none" w:sz="0" w:space="0" w:color="auto"/>
        <w:right w:val="none" w:sz="0" w:space="0" w:color="auto"/>
      </w:divBdr>
    </w:div>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orkplace.ourwatch.org.au" TargetMode="External"/><Relationship Id="rId23"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ustomXml" Target="../customXml/item2.xm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ur Watch 170523">
      <a:dk1>
        <a:srgbClr val="002554"/>
      </a:dk1>
      <a:lt1>
        <a:sysClr val="window" lastClr="FFFFFF"/>
      </a:lt1>
      <a:dk2>
        <a:srgbClr val="FFFFFF"/>
      </a:dk2>
      <a:lt2>
        <a:srgbClr val="F9F1E9"/>
      </a:lt2>
      <a:accent1>
        <a:srgbClr val="002554"/>
      </a:accent1>
      <a:accent2>
        <a:srgbClr val="E0E5EA"/>
      </a:accent2>
      <a:accent3>
        <a:srgbClr val="8FCAB9"/>
      </a:accent3>
      <a:accent4>
        <a:srgbClr val="D8ECE6"/>
      </a:accent4>
      <a:accent5>
        <a:srgbClr val="C4CDD8"/>
      </a:accent5>
      <a:accent6>
        <a:srgbClr val="B1DACE"/>
      </a:accent6>
      <a:hlink>
        <a:srgbClr val="002554"/>
      </a:hlink>
      <a:folHlink>
        <a:srgbClr val="002554"/>
      </a:folHlink>
    </a:clrScheme>
    <a:fontScheme name="Our Watch Roboto">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B03D856CF1237418DF14C5037866882" ma:contentTypeVersion="18" ma:contentTypeDescription="Create a new document." ma:contentTypeScope="" ma:versionID="88a5a91db48de49da890a2337078991a">
  <xsd:schema xmlns:xsd="http://www.w3.org/2001/XMLSchema" xmlns:xs="http://www.w3.org/2001/XMLSchema" xmlns:p="http://schemas.microsoft.com/office/2006/metadata/properties" xmlns:ns2="24655829-77b5-4572-9306-0706e327d7ed" xmlns:ns3="ef89dfe1-2fd6-4ffd-966a-b6a657178080" targetNamespace="http://schemas.microsoft.com/office/2006/metadata/properties" ma:root="true" ma:fieldsID="e83577aeee1e8a0e764d951106682179" ns2:_="" ns3:_="">
    <xsd:import namespace="24655829-77b5-4572-9306-0706e327d7ed"/>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655829-77b5-4572-9306-0706e327d7e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24655829-77b5-4572-9306-0706e327d7e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CE184665-D126-4CD3-9C2A-184DC88856ED}"/>
</file>

<file path=customXml/itemProps3.xml><?xml version="1.0" encoding="utf-8"?>
<ds:datastoreItem xmlns:ds="http://schemas.openxmlformats.org/officeDocument/2006/customXml" ds:itemID="{D555BC26-37A6-47A3-B626-661C9CCC580D}"/>
</file>

<file path=customXml/itemProps4.xml><?xml version="1.0" encoding="utf-8"?>
<ds:datastoreItem xmlns:ds="http://schemas.openxmlformats.org/officeDocument/2006/customXml" ds:itemID="{9D8BF9D6-A067-42CB-AAAE-FEF73924BEC4}"/>
</file>

<file path=docProps/app.xml><?xml version="1.0" encoding="utf-8"?>
<Properties xmlns="http://schemas.openxmlformats.org/officeDocument/2006/extended-properties" xmlns:vt="http://schemas.openxmlformats.org/officeDocument/2006/docPropsVTypes">
  <Template>Normal.dotm</Template>
  <TotalTime>428</TotalTime>
  <Pages>4</Pages>
  <Words>1231</Words>
  <Characters>7017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Preventing sexual harassment: some actions for senior executives</vt:lpstr>
    </vt:vector>
  </TitlesOfParts>
  <Manager/>
  <Company>Our Watch</Company>
  <LinksUpToDate>false</LinksUpToDate>
  <CharactersWithSpaces>8232</CharactersWithSpaces>
  <SharedDoc>false</SharedDoc>
  <HyperlinkBase/>
  <HLinks>
    <vt:vector size="102" baseType="variant">
      <vt:variant>
        <vt:i4>1572916</vt:i4>
      </vt:variant>
      <vt:variant>
        <vt:i4>98</vt:i4>
      </vt:variant>
      <vt:variant>
        <vt:i4>0</vt:i4>
      </vt:variant>
      <vt:variant>
        <vt:i4>5</vt:i4>
      </vt:variant>
      <vt:variant>
        <vt:lpwstr/>
      </vt:variant>
      <vt:variant>
        <vt:lpwstr>_Toc131603499</vt:lpwstr>
      </vt:variant>
      <vt:variant>
        <vt:i4>1572916</vt:i4>
      </vt:variant>
      <vt:variant>
        <vt:i4>92</vt:i4>
      </vt:variant>
      <vt:variant>
        <vt:i4>0</vt:i4>
      </vt:variant>
      <vt:variant>
        <vt:i4>5</vt:i4>
      </vt:variant>
      <vt:variant>
        <vt:lpwstr/>
      </vt:variant>
      <vt:variant>
        <vt:lpwstr>_Toc131603498</vt:lpwstr>
      </vt:variant>
      <vt:variant>
        <vt:i4>1572916</vt:i4>
      </vt:variant>
      <vt:variant>
        <vt:i4>86</vt:i4>
      </vt:variant>
      <vt:variant>
        <vt:i4>0</vt:i4>
      </vt:variant>
      <vt:variant>
        <vt:i4>5</vt:i4>
      </vt:variant>
      <vt:variant>
        <vt:lpwstr/>
      </vt:variant>
      <vt:variant>
        <vt:lpwstr>_Toc131603497</vt:lpwstr>
      </vt:variant>
      <vt:variant>
        <vt:i4>1572916</vt:i4>
      </vt:variant>
      <vt:variant>
        <vt:i4>80</vt:i4>
      </vt:variant>
      <vt:variant>
        <vt:i4>0</vt:i4>
      </vt:variant>
      <vt:variant>
        <vt:i4>5</vt:i4>
      </vt:variant>
      <vt:variant>
        <vt:lpwstr/>
      </vt:variant>
      <vt:variant>
        <vt:lpwstr>_Toc131603496</vt:lpwstr>
      </vt:variant>
      <vt:variant>
        <vt:i4>1572916</vt:i4>
      </vt:variant>
      <vt:variant>
        <vt:i4>74</vt:i4>
      </vt:variant>
      <vt:variant>
        <vt:i4>0</vt:i4>
      </vt:variant>
      <vt:variant>
        <vt:i4>5</vt:i4>
      </vt:variant>
      <vt:variant>
        <vt:lpwstr/>
      </vt:variant>
      <vt:variant>
        <vt:lpwstr>_Toc131603495</vt:lpwstr>
      </vt:variant>
      <vt:variant>
        <vt:i4>1572916</vt:i4>
      </vt:variant>
      <vt:variant>
        <vt:i4>68</vt:i4>
      </vt:variant>
      <vt:variant>
        <vt:i4>0</vt:i4>
      </vt:variant>
      <vt:variant>
        <vt:i4>5</vt:i4>
      </vt:variant>
      <vt:variant>
        <vt:lpwstr/>
      </vt:variant>
      <vt:variant>
        <vt:lpwstr>_Toc131603494</vt:lpwstr>
      </vt:variant>
      <vt:variant>
        <vt:i4>1572916</vt:i4>
      </vt:variant>
      <vt:variant>
        <vt:i4>62</vt:i4>
      </vt:variant>
      <vt:variant>
        <vt:i4>0</vt:i4>
      </vt:variant>
      <vt:variant>
        <vt:i4>5</vt:i4>
      </vt:variant>
      <vt:variant>
        <vt:lpwstr/>
      </vt:variant>
      <vt:variant>
        <vt:lpwstr>_Toc131603493</vt:lpwstr>
      </vt:variant>
      <vt:variant>
        <vt:i4>1572916</vt:i4>
      </vt:variant>
      <vt:variant>
        <vt:i4>56</vt:i4>
      </vt:variant>
      <vt:variant>
        <vt:i4>0</vt:i4>
      </vt:variant>
      <vt:variant>
        <vt:i4>5</vt:i4>
      </vt:variant>
      <vt:variant>
        <vt:lpwstr/>
      </vt:variant>
      <vt:variant>
        <vt:lpwstr>_Toc131603492</vt:lpwstr>
      </vt:variant>
      <vt:variant>
        <vt:i4>1572916</vt:i4>
      </vt:variant>
      <vt:variant>
        <vt:i4>50</vt:i4>
      </vt:variant>
      <vt:variant>
        <vt:i4>0</vt:i4>
      </vt:variant>
      <vt:variant>
        <vt:i4>5</vt:i4>
      </vt:variant>
      <vt:variant>
        <vt:lpwstr/>
      </vt:variant>
      <vt:variant>
        <vt:lpwstr>_Toc131603491</vt:lpwstr>
      </vt:variant>
      <vt:variant>
        <vt:i4>1572916</vt:i4>
      </vt:variant>
      <vt:variant>
        <vt:i4>44</vt:i4>
      </vt:variant>
      <vt:variant>
        <vt:i4>0</vt:i4>
      </vt:variant>
      <vt:variant>
        <vt:i4>5</vt:i4>
      </vt:variant>
      <vt:variant>
        <vt:lpwstr/>
      </vt:variant>
      <vt:variant>
        <vt:lpwstr>_Toc131603490</vt:lpwstr>
      </vt:variant>
      <vt:variant>
        <vt:i4>1638452</vt:i4>
      </vt:variant>
      <vt:variant>
        <vt:i4>38</vt:i4>
      </vt:variant>
      <vt:variant>
        <vt:i4>0</vt:i4>
      </vt:variant>
      <vt:variant>
        <vt:i4>5</vt:i4>
      </vt:variant>
      <vt:variant>
        <vt:lpwstr/>
      </vt:variant>
      <vt:variant>
        <vt:lpwstr>_Toc131603489</vt:lpwstr>
      </vt:variant>
      <vt:variant>
        <vt:i4>1638452</vt:i4>
      </vt:variant>
      <vt:variant>
        <vt:i4>32</vt:i4>
      </vt:variant>
      <vt:variant>
        <vt:i4>0</vt:i4>
      </vt:variant>
      <vt:variant>
        <vt:i4>5</vt:i4>
      </vt:variant>
      <vt:variant>
        <vt:lpwstr/>
      </vt:variant>
      <vt:variant>
        <vt:lpwstr>_Toc131603488</vt:lpwstr>
      </vt:variant>
      <vt:variant>
        <vt:i4>1638452</vt:i4>
      </vt:variant>
      <vt:variant>
        <vt:i4>26</vt:i4>
      </vt:variant>
      <vt:variant>
        <vt:i4>0</vt:i4>
      </vt:variant>
      <vt:variant>
        <vt:i4>5</vt:i4>
      </vt:variant>
      <vt:variant>
        <vt:lpwstr/>
      </vt:variant>
      <vt:variant>
        <vt:lpwstr>_Toc131603487</vt:lpwstr>
      </vt:variant>
      <vt:variant>
        <vt:i4>1638452</vt:i4>
      </vt:variant>
      <vt:variant>
        <vt:i4>20</vt:i4>
      </vt:variant>
      <vt:variant>
        <vt:i4>0</vt:i4>
      </vt:variant>
      <vt:variant>
        <vt:i4>5</vt:i4>
      </vt:variant>
      <vt:variant>
        <vt:lpwstr/>
      </vt:variant>
      <vt:variant>
        <vt:lpwstr>_Toc131603486</vt:lpwstr>
      </vt:variant>
      <vt:variant>
        <vt:i4>1638452</vt:i4>
      </vt:variant>
      <vt:variant>
        <vt:i4>14</vt:i4>
      </vt:variant>
      <vt:variant>
        <vt:i4>0</vt:i4>
      </vt:variant>
      <vt:variant>
        <vt:i4>5</vt:i4>
      </vt:variant>
      <vt:variant>
        <vt:lpwstr/>
      </vt:variant>
      <vt:variant>
        <vt:lpwstr>_Toc131603485</vt:lpwstr>
      </vt:variant>
      <vt:variant>
        <vt:i4>1638452</vt:i4>
      </vt:variant>
      <vt:variant>
        <vt:i4>8</vt:i4>
      </vt:variant>
      <vt:variant>
        <vt:i4>0</vt:i4>
      </vt:variant>
      <vt:variant>
        <vt:i4>5</vt:i4>
      </vt:variant>
      <vt:variant>
        <vt:lpwstr/>
      </vt:variant>
      <vt:variant>
        <vt:lpwstr>_Toc131603484</vt:lpwstr>
      </vt:variant>
      <vt:variant>
        <vt:i4>1638452</vt:i4>
      </vt:variant>
      <vt:variant>
        <vt:i4>2</vt:i4>
      </vt:variant>
      <vt:variant>
        <vt:i4>0</vt:i4>
      </vt:variant>
      <vt:variant>
        <vt:i4>5</vt:i4>
      </vt:variant>
      <vt:variant>
        <vt:lpwstr/>
      </vt:variant>
      <vt:variant>
        <vt:lpwstr>_Toc131603483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Preventing sexual harassment: some actions for senior executives</dc:title>
  <dc:subject>Sexual harassment</dc:subject>
  <dc:creator>Our Watch</dc:creator>
  <cp:keywords/>
  <dc:description/>
  <cp:lastModifiedBy>Robert Di Renzo</cp:lastModifiedBy>
  <cp:revision>84</cp:revision>
  <cp:lastPrinted>2023-05-02T23:03:00Z</cp:lastPrinted>
  <dcterms:created xsi:type="dcterms:W3CDTF">2023-04-26T00:16:00Z</dcterms:created>
  <dcterms:modified xsi:type="dcterms:W3CDTF">2024-02-15T04:19:00Z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0x0101006B03D856CF1237418DF14C5037866882</vt:lpwstr>
  </property>
</Properties>
</file>