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BC0777" w14:textId="2A837A9D" w:rsidR="00507FBD" w:rsidRPr="009A06F2" w:rsidRDefault="00BC4C77" w:rsidP="009A06F2">
      <w:pPr>
        <w:pStyle w:val="BodyText"/>
        <w:spacing w:after="0"/>
        <w:rPr>
          <w:sz w:val="12"/>
          <w:szCs w:val="12"/>
        </w:rPr>
      </w:pPr>
      <w:r>
        <w:rPr>
          <w:noProof/>
          <w:sz w:val="12"/>
          <w:szCs w:val="12"/>
        </w:rPr>
        <w:drawing>
          <wp:anchor distT="0" distB="0" distL="114300" distR="114300" simplePos="0" relativeHeight="251658240" behindDoc="1" locked="1" layoutInCell="1" allowOverlap="1" wp14:anchorId="7B697F00" wp14:editId="00BD5DCC">
            <wp:simplePos x="0" y="0"/>
            <wp:positionH relativeFrom="page">
              <wp:posOffset>0</wp:posOffset>
            </wp:positionH>
            <wp:positionV relativeFrom="page">
              <wp:posOffset>0</wp:posOffset>
            </wp:positionV>
            <wp:extent cx="7558560" cy="1861920"/>
            <wp:effectExtent l="0" t="0" r="4445" b="5080"/>
            <wp:wrapNone/>
            <wp:docPr id="709722265" name="Picture 1" descr="Our Watch - Preventing violence against wom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9722265" name="Picture 1" descr="Our Watch - Preventing violence against women"/>
                    <pic:cNvPicPr/>
                  </pic:nvPicPr>
                  <pic:blipFill>
                    <a:blip r:embed="rId8" cstate="print">
                      <a:extLst>
                        <a:ext uri="{28A0092B-C50C-407E-A947-70E740481C1C}">
                          <a14:useLocalDpi xmlns:a14="http://schemas.microsoft.com/office/drawing/2010/main" val="0"/>
                        </a:ext>
                      </a:extLst>
                    </a:blip>
                    <a:srcRect t="3007" b="3007"/>
                    <a:stretch>
                      <a:fillRect/>
                    </a:stretch>
                  </pic:blipFill>
                  <pic:spPr bwMode="auto">
                    <a:xfrm>
                      <a:off x="0" y="0"/>
                      <a:ext cx="7558560" cy="18619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801054D" w14:textId="713704B2" w:rsidR="00737077" w:rsidRDefault="00737077" w:rsidP="00ED43DE">
      <w:pPr>
        <w:pStyle w:val="BodyText"/>
        <w:sectPr w:rsidR="00737077" w:rsidSect="00EE6132">
          <w:pgSz w:w="11906" w:h="16838" w:code="9"/>
          <w:pgMar w:top="2948" w:right="2552" w:bottom="992" w:left="1134" w:header="284" w:footer="533" w:gutter="0"/>
          <w:cols w:space="708"/>
          <w:docGrid w:linePitch="360"/>
        </w:sectPr>
      </w:pPr>
    </w:p>
    <w:p w14:paraId="38381A67" w14:textId="455D4158" w:rsidR="00431C58" w:rsidRDefault="00431C58" w:rsidP="00431C58">
      <w:pPr>
        <w:pStyle w:val="Title"/>
      </w:pPr>
      <w:r>
        <w:t xml:space="preserve">Tip sheet: Addressing and reducing resistance to preventing sexual harassment and violence against </w:t>
      </w:r>
      <w:proofErr w:type="gramStart"/>
      <w:r>
        <w:t>women</w:t>
      </w:r>
      <w:proofErr w:type="gramEnd"/>
    </w:p>
    <w:p w14:paraId="5B59B928" w14:textId="77777777" w:rsidR="00431C58" w:rsidRDefault="00431C58" w:rsidP="00431C58">
      <w:pPr>
        <w:pStyle w:val="BodyText"/>
      </w:pPr>
      <w:r>
        <w:t xml:space="preserve">This tip sheet is for anyone who is tasked with implementing initiatives within a workplace to promote gender equality and </w:t>
      </w:r>
      <w:proofErr w:type="gramStart"/>
      <w:r>
        <w:t>respect, and</w:t>
      </w:r>
      <w:proofErr w:type="gramEnd"/>
      <w:r>
        <w:t xml:space="preserve"> stop sexual harassment and violence against women before it starts.</w:t>
      </w:r>
    </w:p>
    <w:p w14:paraId="1C212846" w14:textId="77777777" w:rsidR="00431C58" w:rsidRDefault="00431C58" w:rsidP="00431C58">
      <w:pPr>
        <w:pStyle w:val="Heading1"/>
      </w:pPr>
      <w:r>
        <w:t xml:space="preserve">Be </w:t>
      </w:r>
      <w:proofErr w:type="gramStart"/>
      <w:r>
        <w:t>strategic</w:t>
      </w:r>
      <w:proofErr w:type="gramEnd"/>
    </w:p>
    <w:p w14:paraId="3F12B8C2" w14:textId="0327C244" w:rsidR="00431C58" w:rsidRDefault="00431C58" w:rsidP="00431C58">
      <w:pPr>
        <w:pStyle w:val="ListBullet"/>
      </w:pPr>
      <w:r>
        <w:t xml:space="preserve">Anticipate resistance – it is inevitable – and develop a plan for how you might address it. Not all types of resistance are the same, so a one-size-fits-all response will not work. To identify different types of resistance, and the best ways to address them, see </w:t>
      </w:r>
      <w:hyperlink r:id="rId9" w:history="1">
        <w:r w:rsidRPr="00B34508">
          <w:rPr>
            <w:rStyle w:val="Hyperlink"/>
            <w:rFonts w:asciiTheme="minorHAnsi" w:hAnsiTheme="minorHAnsi"/>
            <w:i/>
            <w:iCs/>
          </w:rPr>
          <w:t>Framework for Identifying and Addressing Resistance &amp; Backlas</w:t>
        </w:r>
        <w:r w:rsidR="00B34508" w:rsidRPr="00B34508">
          <w:rPr>
            <w:rStyle w:val="Hyperlink"/>
            <w:rFonts w:asciiTheme="minorHAnsi" w:hAnsiTheme="minorHAnsi"/>
            <w:i/>
            <w:iCs/>
          </w:rPr>
          <w:t>h</w:t>
        </w:r>
        <w:r w:rsidR="00B34508">
          <w:rPr>
            <w:rStyle w:val="Hyperlink"/>
            <w:rFonts w:asciiTheme="minorHAnsi" w:hAnsiTheme="minorHAnsi"/>
          </w:rPr>
          <w:t xml:space="preserve"> [PDF download]</w:t>
        </w:r>
      </w:hyperlink>
      <w:r>
        <w:t>.</w:t>
      </w:r>
    </w:p>
    <w:p w14:paraId="4C46AE36" w14:textId="3AA14A00" w:rsidR="00431C58" w:rsidRDefault="00431C58" w:rsidP="00431C58">
      <w:pPr>
        <w:pStyle w:val="ListBullet"/>
      </w:pPr>
      <w:r>
        <w:t>You may not convince everyone on the importance of primary prevention and gender equality. Focus on the ‘moveable middle’ – the group between the entrenched opposition—those who will never ‘move’ from their position—and the fully committed—those who already support primary prevention. Whereas the moveable middle is curious but may need more convincing to become committed to change. According to VicHealth, ‘drawing on our allies (others committed to equality) to work closely with, and then focusing on the ‘moveable middle’, is where change can most effectively begin.’</w:t>
      </w:r>
      <w:r w:rsidR="008C6E53">
        <w:rPr>
          <w:rStyle w:val="FootnoteReference"/>
        </w:rPr>
        <w:footnoteReference w:id="2"/>
      </w:r>
    </w:p>
    <w:p w14:paraId="4E962F40" w14:textId="105D46C9" w:rsidR="00431C58" w:rsidRDefault="00431C58" w:rsidP="00431C58">
      <w:pPr>
        <w:pStyle w:val="ListBullet"/>
      </w:pPr>
      <w:r>
        <w:t>Identify possible sites for resistance, recognising that it could come from unexpected sources (for example, someone in a position of leadership or influence and whose influence may have broad reach). You may wish to consider which employees or teams might be most affected by the advancement of gender equality in your workplace, or whether some sites or teams show more disrespect towards women (for example, a site where it is known that sexist jokes are common). Similarly, whether any employees are known to have used violence in the past, or whether some employees or teams have demonstrated strong adherence to gender roles and stereotypes.</w:t>
      </w:r>
    </w:p>
    <w:p w14:paraId="729F77B9" w14:textId="65713AE0" w:rsidR="00431C58" w:rsidRDefault="00431C58" w:rsidP="00431C58">
      <w:pPr>
        <w:pStyle w:val="ListBullet"/>
      </w:pPr>
      <w:r>
        <w:lastRenderedPageBreak/>
        <w:t>Before commencing any organisational culture change initiatives focusing on preventing sexual harassment, ensure you have processes in place to support employee welfare (for example, Employee Assistance Programs), including appropriate referral pathways in case someone discloses experiences of violence.</w:t>
      </w:r>
    </w:p>
    <w:p w14:paraId="6AC0ED5D" w14:textId="77777777" w:rsidR="00431C58" w:rsidRDefault="00431C58" w:rsidP="00431C58">
      <w:pPr>
        <w:pStyle w:val="Heading1"/>
      </w:pPr>
      <w:r>
        <w:t xml:space="preserve">Communicate, communicate, </w:t>
      </w:r>
      <w:proofErr w:type="gramStart"/>
      <w:r>
        <w:t>communicate</w:t>
      </w:r>
      <w:proofErr w:type="gramEnd"/>
    </w:p>
    <w:p w14:paraId="065EFE0D" w14:textId="43EC8382" w:rsidR="00431C58" w:rsidRDefault="00431C58" w:rsidP="00431C58">
      <w:pPr>
        <w:pStyle w:val="ListBullet"/>
      </w:pPr>
      <w:r>
        <w:t>Regularly communicate with employees using various communication channels (meetings, emails, intranet, etc.) to inform them of upcoming changes and why the organisation needs to adopt them.</w:t>
      </w:r>
    </w:p>
    <w:p w14:paraId="0544F678" w14:textId="637DEDC9" w:rsidR="00431C58" w:rsidRDefault="00431C58" w:rsidP="00431C58">
      <w:pPr>
        <w:pStyle w:val="ListBullet"/>
      </w:pPr>
      <w:r>
        <w:t>Communicate how the changes align with organisational values and leadership priorities.</w:t>
      </w:r>
    </w:p>
    <w:p w14:paraId="41B0007B" w14:textId="711836DF" w:rsidR="00431C58" w:rsidRDefault="00431C58" w:rsidP="00431C58">
      <w:pPr>
        <w:pStyle w:val="ListBullet"/>
      </w:pPr>
      <w:r>
        <w:t>Ensure all communications include contact information so employees know who to speak to about proposed changes.</w:t>
      </w:r>
    </w:p>
    <w:p w14:paraId="180F52F1" w14:textId="48FDF6B5" w:rsidR="00431C58" w:rsidRDefault="00431C58" w:rsidP="00431C58">
      <w:pPr>
        <w:pStyle w:val="ListBullet"/>
      </w:pPr>
      <w:r>
        <w:t>Provide opportunities for people to ask questions and give feedback – for example, during team meetings or training, at lunchtime briefings, via question-and-answer sessions, or by providing a contact to answer questions privately or via email. It is also important to consider how you will report to staff about concerns raised and let them know if and how they will be addressed.</w:t>
      </w:r>
    </w:p>
    <w:p w14:paraId="1EED9C61" w14:textId="51EE5498" w:rsidR="00431C58" w:rsidRDefault="00431C58" w:rsidP="00431C58">
      <w:pPr>
        <w:pStyle w:val="ListBullet"/>
      </w:pPr>
      <w:r>
        <w:t>Communicate how resistance that contravenes workplace policies or current legislation will be dealt with. Be explicit about unacceptable behaviours and practices by naming common types of resistance that will not be tolerated (e.g. denial that sexual harassment or gender discrimination is a problem in workplaces)</w:t>
      </w:r>
    </w:p>
    <w:p w14:paraId="1C94EAE4" w14:textId="3F303910" w:rsidR="00431C58" w:rsidRDefault="00431C58" w:rsidP="00431C58">
      <w:pPr>
        <w:pStyle w:val="ListBullet"/>
      </w:pPr>
      <w:r>
        <w:t>Develop communications and information packages for employees who are leading organisational culture change that they can draw on when responding to resistance in various forums, including online (emails, social media). Draft sample responses to resistance that may be encountered in employee conversations, meetings with external stakeholders, customers, clients and members, and public forums or presentations.</w:t>
      </w:r>
    </w:p>
    <w:p w14:paraId="1803E268" w14:textId="3809FF98" w:rsidR="00431C58" w:rsidRDefault="00431C58" w:rsidP="00431C58">
      <w:pPr>
        <w:pStyle w:val="ListBullet"/>
      </w:pPr>
      <w:r>
        <w:t>Proactively communicate and model respectful behaviours, for example through a clearly stated commitment by workplace leaders to preventing violence against women and promoting gender equality and respectful behaviour. This can be used to counter views and behaviours that undermine the validity of gender equality as an organisational goal. The statement could read something like this:</w:t>
      </w:r>
    </w:p>
    <w:p w14:paraId="045E15C7" w14:textId="77777777" w:rsidR="00431C58" w:rsidRDefault="00431C58">
      <w:pPr>
        <w:spacing w:after="160" w:line="259" w:lineRule="auto"/>
        <w:rPr>
          <w:bCs/>
          <w:i/>
          <w:iCs/>
          <w:sz w:val="26"/>
        </w:rPr>
      </w:pPr>
      <w:r>
        <w:br w:type="page"/>
      </w:r>
    </w:p>
    <w:p w14:paraId="68115E62" w14:textId="12BD5477" w:rsidR="00431C58" w:rsidRDefault="00431C58" w:rsidP="00431C58">
      <w:pPr>
        <w:pStyle w:val="QuoteItalic"/>
        <w:spacing w:before="320"/>
      </w:pPr>
      <w:r>
        <w:lastRenderedPageBreak/>
        <w:t>Our commitment to promoting gender equality for the prevention of violence against women is unequivocal and has the full support of the Board [or other governance structure] and all levels of management within the workplace.</w:t>
      </w:r>
    </w:p>
    <w:p w14:paraId="7D5ED50D" w14:textId="77777777" w:rsidR="00431C58" w:rsidRDefault="00431C58" w:rsidP="00431C58">
      <w:pPr>
        <w:pStyle w:val="QuoteItalic"/>
      </w:pPr>
      <w:r>
        <w:t>In all our work roles and functions, we will demonstrate our commitment to gender equality and respect. We will reject sexism and discriminatory attitudes and confront resistant or hostile attitudes and behaviours that undermine our efforts to promote gender equality and respect.</w:t>
      </w:r>
    </w:p>
    <w:p w14:paraId="3A2052CD" w14:textId="77777777" w:rsidR="00431C58" w:rsidRDefault="00431C58" w:rsidP="00431C58">
      <w:pPr>
        <w:pStyle w:val="Heading1"/>
      </w:pPr>
      <w:r>
        <w:t xml:space="preserve">Upskill </w:t>
      </w:r>
      <w:proofErr w:type="gramStart"/>
      <w:r>
        <w:t>employees</w:t>
      </w:r>
      <w:proofErr w:type="gramEnd"/>
    </w:p>
    <w:p w14:paraId="05155EB7" w14:textId="729F2975" w:rsidR="00431C58" w:rsidRDefault="00431C58" w:rsidP="00431C58">
      <w:pPr>
        <w:pStyle w:val="ListBullet"/>
      </w:pPr>
      <w:r>
        <w:t xml:space="preserve">Identify and upskill key employees you consider most appropriate to deal with resistance when it occurs and who can lead potentially difficult conversations about gender inequality and the need for change. This may be formal and informal leaders in the workplace who are, or become, committed to primary prevention and gender equality goals. Provide them with training and information packages with key messaging so that they can answer questions about gender equality and violence prevention. </w:t>
      </w:r>
      <w:proofErr w:type="gramStart"/>
      <w:r>
        <w:t>In particular, senior</w:t>
      </w:r>
      <w:proofErr w:type="gramEnd"/>
      <w:r>
        <w:t xml:space="preserve"> executives and managers must be informed about what is expected of them in terms of modelling the organisational commitment to promoting gender equality to prevent violence against women and managing discussions or comments that express different forms of resistance appropriately.</w:t>
      </w:r>
    </w:p>
    <w:p w14:paraId="1FDF3699" w14:textId="5F065308" w:rsidR="00431C58" w:rsidRDefault="00431C58" w:rsidP="00431C58">
      <w:pPr>
        <w:pStyle w:val="ListBullet"/>
      </w:pPr>
      <w:r>
        <w:t>Build employee capacity to manage difficult conversations. Some simple strategies to discuss with your employees:</w:t>
      </w:r>
    </w:p>
    <w:p w14:paraId="513E5430" w14:textId="2CDCFFF8" w:rsidR="00431C58" w:rsidRDefault="00431C58" w:rsidP="00431C58">
      <w:pPr>
        <w:pStyle w:val="ListBullet2"/>
      </w:pPr>
      <w:r w:rsidRPr="00431C58">
        <w:rPr>
          <w:rStyle w:val="Strong"/>
        </w:rPr>
        <w:t>Be present</w:t>
      </w:r>
      <w:r>
        <w:t xml:space="preserve"> in the conversation. Acknowledge that you have heard the other person’s question or concern. Remember that it is easy to misunderstand the concern being expressed. Use active listening to focus on what the person is saying and what is happening during the conversation. For example, ‘Listening to what you have said …’</w:t>
      </w:r>
    </w:p>
    <w:p w14:paraId="5F308FA6" w14:textId="097E488E" w:rsidR="00431C58" w:rsidRDefault="00431C58" w:rsidP="00431C58">
      <w:pPr>
        <w:pStyle w:val="ListBullet2"/>
      </w:pPr>
      <w:r w:rsidRPr="00431C58">
        <w:rPr>
          <w:rStyle w:val="Strong"/>
        </w:rPr>
        <w:t>Be open</w:t>
      </w:r>
      <w:r>
        <w:t>. If you always need to be right or have the final say in a conversation, that will not allow people to have an open and safe discussion with you. Look for common ground and values you both agree on. For example, if someone asks about men as victims, you might begin the discussion by acknowledging that you both have a concern for all victims of violence.</w:t>
      </w:r>
    </w:p>
    <w:p w14:paraId="6503C7D1" w14:textId="68C9F08D" w:rsidR="00431C58" w:rsidRDefault="00431C58" w:rsidP="00431C58">
      <w:pPr>
        <w:pStyle w:val="ListBullet2"/>
      </w:pPr>
      <w:r w:rsidRPr="00431C58">
        <w:rPr>
          <w:rStyle w:val="Strong"/>
        </w:rPr>
        <w:t>Be prepared</w:t>
      </w:r>
      <w:r>
        <w:t>. Do your homework on who you will be talking to and what their concerns might be. Make sure you have at hand the right information and evidence about gender equality and the drivers of violence against women and sexual harassment. Plan your conversations and be prepared for the types of questions that might be asked.</w:t>
      </w:r>
    </w:p>
    <w:p w14:paraId="5D158812" w14:textId="727767AA" w:rsidR="00431C58" w:rsidRDefault="00431C58" w:rsidP="00431C58">
      <w:pPr>
        <w:pStyle w:val="ListBullet2"/>
      </w:pPr>
      <w:r w:rsidRPr="00431C58">
        <w:rPr>
          <w:rStyle w:val="Strong"/>
        </w:rPr>
        <w:lastRenderedPageBreak/>
        <w:t>Practise</w:t>
      </w:r>
      <w:r>
        <w:t xml:space="preserve"> talking about violence against women and gender equality. Talking about these issues is not generally something we do every day. Practise responding in short, clear statements, and use evidence and true examples.</w:t>
      </w:r>
    </w:p>
    <w:p w14:paraId="1E121101" w14:textId="0E81FC64" w:rsidR="00431C58" w:rsidRDefault="00431C58" w:rsidP="00431C58">
      <w:pPr>
        <w:pStyle w:val="ListBullet2"/>
      </w:pPr>
      <w:r w:rsidRPr="00431C58">
        <w:rPr>
          <w:rStyle w:val="Strong"/>
        </w:rPr>
        <w:t>Make time for self-reflection</w:t>
      </w:r>
      <w:r>
        <w:t>. Reflect on how your discussions went and the assumptions and values you bring to your work.</w:t>
      </w:r>
    </w:p>
    <w:p w14:paraId="36230D82" w14:textId="091C6D2B" w:rsidR="00431C58" w:rsidRDefault="00431C58" w:rsidP="00431C58">
      <w:pPr>
        <w:pStyle w:val="ListBullet2"/>
      </w:pPr>
      <w:r w:rsidRPr="00431C58">
        <w:rPr>
          <w:rStyle w:val="Strong"/>
        </w:rPr>
        <w:t>Respect the other person</w:t>
      </w:r>
      <w:r>
        <w:t xml:space="preserve">. Respect that people come from different starting </w:t>
      </w:r>
      <w:proofErr w:type="gramStart"/>
      <w:r>
        <w:t>points, and</w:t>
      </w:r>
      <w:proofErr w:type="gramEnd"/>
      <w:r>
        <w:t xml:space="preserve"> acknowledge that engaging with these issues can mean changing entrenched attitudes and, behaviours and can have very real impacts on how people view and live in the </w:t>
      </w:r>
      <w:commentRangeStart w:id="0"/>
      <w:r>
        <w:t>world.</w:t>
      </w:r>
      <w:commentRangeEnd w:id="0"/>
      <w:r w:rsidR="00B34508">
        <w:rPr>
          <w:rStyle w:val="CommentReference"/>
        </w:rPr>
        <w:commentReference w:id="0"/>
      </w:r>
      <w:r w:rsidR="008C6E53">
        <w:rPr>
          <w:rStyle w:val="FootnoteReference"/>
        </w:rPr>
        <w:footnoteReference w:id="3"/>
      </w:r>
    </w:p>
    <w:p w14:paraId="7A0B4480" w14:textId="2A9016C9" w:rsidR="00431C58" w:rsidRDefault="00431C58" w:rsidP="00431C58">
      <w:pPr>
        <w:pStyle w:val="Heading1"/>
      </w:pPr>
      <w:r>
        <w:t>Further information</w:t>
      </w:r>
    </w:p>
    <w:p w14:paraId="79CA0C44" w14:textId="384223C1" w:rsidR="00431C58" w:rsidRDefault="00431C58" w:rsidP="00431C58">
      <w:pPr>
        <w:pStyle w:val="BodyText"/>
      </w:pPr>
      <w:r w:rsidRPr="00B06B95">
        <w:rPr>
          <w:rStyle w:val="Strong"/>
        </w:rPr>
        <w:t xml:space="preserve">For more information, </w:t>
      </w:r>
      <w:proofErr w:type="gramStart"/>
      <w:r w:rsidRPr="00B06B95">
        <w:rPr>
          <w:rStyle w:val="Strong"/>
        </w:rPr>
        <w:t>tools</w:t>
      </w:r>
      <w:proofErr w:type="gramEnd"/>
      <w:r w:rsidRPr="00B06B95">
        <w:rPr>
          <w:rStyle w:val="Strong"/>
        </w:rPr>
        <w:t xml:space="preserve"> and resources</w:t>
      </w:r>
      <w:r>
        <w:t xml:space="preserve"> on how to prevent sexual harassment in your workplace, visit </w:t>
      </w:r>
      <w:hyperlink r:id="rId14" w:history="1">
        <w:r w:rsidR="00B06B95" w:rsidRPr="001705FB">
          <w:rPr>
            <w:rStyle w:val="Hyperlink"/>
            <w:rFonts w:asciiTheme="minorHAnsi" w:hAnsiTheme="minorHAnsi"/>
          </w:rPr>
          <w:t>Our Watch – Workplace Equality and Respect</w:t>
        </w:r>
      </w:hyperlink>
      <w:r w:rsidR="00B06B95">
        <w:t xml:space="preserve"> &lt;workplace.ourwatch.org.au&gt;</w:t>
      </w:r>
    </w:p>
    <w:p w14:paraId="6D4C619C" w14:textId="462727C1" w:rsidR="00B06B95" w:rsidRDefault="00431C58" w:rsidP="00431C58">
      <w:pPr>
        <w:pStyle w:val="BodyText"/>
      </w:pPr>
      <w:r w:rsidRPr="00B06B95">
        <w:rPr>
          <w:rStyle w:val="Strong"/>
        </w:rPr>
        <w:t>For more information and frameworks on addressing sexual harassment as a workplace risk</w:t>
      </w:r>
      <w:r>
        <w:t xml:space="preserve">, visit </w:t>
      </w:r>
      <w:hyperlink r:id="rId15" w:history="1">
        <w:r w:rsidR="00B06B95" w:rsidRPr="001705FB">
          <w:rPr>
            <w:rStyle w:val="Hyperlink"/>
            <w:rFonts w:asciiTheme="minorHAnsi" w:hAnsiTheme="minorHAnsi"/>
          </w:rPr>
          <w:t>Our Watch – Practice guidance: Reducing risk in</w:t>
        </w:r>
        <w:r w:rsidR="00B06B95">
          <w:rPr>
            <w:rStyle w:val="Hyperlink"/>
            <w:rFonts w:asciiTheme="minorHAnsi" w:hAnsiTheme="minorHAnsi"/>
          </w:rPr>
          <w:t xml:space="preserve"> </w:t>
        </w:r>
        <w:r w:rsidR="00B06B95" w:rsidRPr="001705FB">
          <w:rPr>
            <w:rStyle w:val="Hyperlink"/>
            <w:rFonts w:asciiTheme="minorHAnsi" w:hAnsiTheme="minorHAnsi"/>
          </w:rPr>
          <w:t>workplace initiatives to prevent violence against women</w:t>
        </w:r>
      </w:hyperlink>
      <w:r w:rsidR="00B06B95">
        <w:t xml:space="preserve"> &lt;workplace.ourwatch.org.au/</w:t>
      </w:r>
      <w:r w:rsidR="00B06B95">
        <w:br/>
        <w:t>resource/practice-guidance-reducing-risk-in-workplace-initiatives-to-prevent-violence-against-women&gt;</w:t>
      </w:r>
    </w:p>
    <w:sectPr w:rsidR="00B06B95" w:rsidSect="00EE6132">
      <w:headerReference w:type="default" r:id="rId16"/>
      <w:footerReference w:type="default" r:id="rId17"/>
      <w:type w:val="continuous"/>
      <w:pgSz w:w="11906" w:h="16838" w:code="9"/>
      <w:pgMar w:top="2041" w:right="2552" w:bottom="1134" w:left="1134" w:header="675" w:footer="533"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Robert Di Renzo" w:date="2024-02-08T14:09:00Z" w:initials="RD">
    <w:p w14:paraId="0ABE1B29" w14:textId="77777777" w:rsidR="00B34508" w:rsidRDefault="00B34508" w:rsidP="00B34508">
      <w:pPr>
        <w:pStyle w:val="CommentText"/>
      </w:pPr>
      <w:r>
        <w:rPr>
          <w:rStyle w:val="CommentReference"/>
        </w:rPr>
        <w:annotationRef/>
      </w:r>
      <w:r>
        <w:t>Please check both links in footnote 2. Neither linked to the respective documents for me.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ABE1B2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06332901" w16cex:dateUtc="2024-02-08T03: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ABE1B29" w16cid:durableId="0633290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B0D462" w14:textId="77777777" w:rsidR="00EE6132" w:rsidRDefault="00EE6132" w:rsidP="0086572B">
      <w:r>
        <w:separator/>
      </w:r>
    </w:p>
  </w:endnote>
  <w:endnote w:type="continuationSeparator" w:id="0">
    <w:p w14:paraId="6A4B9938" w14:textId="77777777" w:rsidR="00EE6132" w:rsidRDefault="00EE6132" w:rsidP="0086572B">
      <w:r>
        <w:continuationSeparator/>
      </w:r>
    </w:p>
  </w:endnote>
  <w:endnote w:type="continuationNotice" w:id="1">
    <w:p w14:paraId="09857341" w14:textId="77777777" w:rsidR="00EE6132" w:rsidRDefault="00EE613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oppins Light">
    <w:charset w:val="00"/>
    <w:family w:val="auto"/>
    <w:pitch w:val="variable"/>
    <w:sig w:usb0="00008007" w:usb1="00000000" w:usb2="00000000" w:usb3="00000000" w:csb0="00000093" w:csb1="00000000"/>
  </w:font>
  <w:font w:name="Wingdings">
    <w:panose1 w:val="05000000000000000000"/>
    <w:charset w:val="02"/>
    <w:family w:val="auto"/>
    <w:pitch w:val="variable"/>
    <w:sig w:usb0="00000000" w:usb1="10000000" w:usb2="00000000" w:usb3="00000000" w:csb0="80000000" w:csb1="00000000"/>
  </w:font>
  <w:font w:name="Roboto">
    <w:panose1 w:val="02000000000000000000"/>
    <w:charset w:val="00"/>
    <w:family w:val="auto"/>
    <w:pitch w:val="variable"/>
    <w:sig w:usb0="E00002FF" w:usb1="5000205B" w:usb2="0000002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6891C" w14:textId="77777777" w:rsidR="00507FBD" w:rsidRPr="0074201B" w:rsidRDefault="00507FBD" w:rsidP="0074201B">
    <w:pPr>
      <w:pStyle w:val="Footer"/>
    </w:pPr>
    <w:r w:rsidRPr="00990FD7">
      <w:rPr>
        <w:noProof/>
      </w:rPr>
      <w:drawing>
        <wp:anchor distT="0" distB="0" distL="114300" distR="114300" simplePos="0" relativeHeight="251660289" behindDoc="1" locked="1" layoutInCell="1" allowOverlap="1" wp14:anchorId="3F56BE81" wp14:editId="7DD731B4">
          <wp:simplePos x="717550" y="9613900"/>
          <wp:positionH relativeFrom="page">
            <wp:align>right</wp:align>
          </wp:positionH>
          <wp:positionV relativeFrom="page">
            <wp:align>bottom</wp:align>
          </wp:positionV>
          <wp:extent cx="1594800" cy="712800"/>
          <wp:effectExtent l="0" t="0" r="0" b="0"/>
          <wp:wrapNone/>
          <wp:docPr id="1" name="Picture 1">
            <a:extLst xmlns:a="http://schemas.openxmlformats.org/drawingml/2006/main">
              <a:ext uri="{FF2B5EF4-FFF2-40B4-BE49-F238E27FC236}">
                <a16:creationId xmlns:a16="http://schemas.microsoft.com/office/drawing/2014/main" id="{2107D204-F303-33DF-C8A4-C5B2FD33A1C3}"/>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5074057" name="Picture 1735074057">
                    <a:extLst>
                      <a:ext uri="{FF2B5EF4-FFF2-40B4-BE49-F238E27FC236}">
                        <a16:creationId xmlns:a16="http://schemas.microsoft.com/office/drawing/2014/main" id="{2107D204-F303-33DF-C8A4-C5B2FD33A1C3}"/>
                      </a:ext>
                      <a:ext uri="{C183D7F6-B498-43B3-948B-1728B52AA6E4}">
                        <adec:decorative xmlns:adec="http://schemas.microsoft.com/office/drawing/2017/decorative" val="1"/>
                      </a:ext>
                    </a:extLst>
                  </pic:cNvPr>
                  <pic:cNvPicPr>
                    <a:picLocks noChangeAspect="1"/>
                  </pic:cNvPicPr>
                </pic:nvPicPr>
                <pic:blipFill rotWithShape="1">
                  <a:blip r:embed="rId1">
                    <a:extLst>
                      <a:ext uri="{28A0092B-C50C-407E-A947-70E740481C1C}">
                        <a14:useLocalDpi xmlns:a14="http://schemas.microsoft.com/office/drawing/2010/main" val="0"/>
                      </a:ext>
                    </a:extLst>
                  </a:blip>
                  <a:srcRect l="1" r="-28935" b="-23505"/>
                  <a:stretch/>
                </pic:blipFill>
                <pic:spPr>
                  <a:xfrm>
                    <a:off x="0" y="0"/>
                    <a:ext cx="1594800" cy="712800"/>
                  </a:xfrm>
                  <a:prstGeom prst="rect">
                    <a:avLst/>
                  </a:prstGeom>
                </pic:spPr>
              </pic:pic>
            </a:graphicData>
          </a:graphic>
          <wp14:sizeRelH relativeFrom="margin">
            <wp14:pctWidth>0</wp14:pctWidth>
          </wp14:sizeRelH>
          <wp14:sizeRelV relativeFrom="margin">
            <wp14:pctHeight>0</wp14:pctHeight>
          </wp14:sizeRelV>
        </wp:anchor>
      </w:drawing>
    </w:r>
    <w:r>
      <w:t xml:space="preserve">Page </w:t>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945AA2" w14:textId="77777777" w:rsidR="00EE6132" w:rsidRPr="00D918CA" w:rsidRDefault="00EE6132" w:rsidP="00E763DC">
      <w:pPr>
        <w:pStyle w:val="Footer"/>
        <w:spacing w:before="80" w:after="120"/>
        <w:rPr>
          <w:sz w:val="12"/>
          <w:szCs w:val="12"/>
        </w:rPr>
      </w:pPr>
      <w:r w:rsidRPr="00D918CA">
        <w:rPr>
          <w:sz w:val="12"/>
          <w:szCs w:val="12"/>
        </w:rPr>
        <w:separator/>
      </w:r>
    </w:p>
  </w:footnote>
  <w:footnote w:type="continuationSeparator" w:id="0">
    <w:p w14:paraId="3873F9F9" w14:textId="77777777" w:rsidR="00EE6132" w:rsidRDefault="00EE6132" w:rsidP="00C03734"/>
  </w:footnote>
  <w:footnote w:type="continuationNotice" w:id="1">
    <w:p w14:paraId="2493F943" w14:textId="77777777" w:rsidR="00EE6132" w:rsidRDefault="00EE6132">
      <w:pPr>
        <w:spacing w:after="0" w:line="240" w:lineRule="auto"/>
      </w:pPr>
    </w:p>
  </w:footnote>
  <w:footnote w:id="2">
    <w:p w14:paraId="58A0A97B" w14:textId="07A7C391" w:rsidR="008C6E53" w:rsidRPr="008C6E53" w:rsidRDefault="008C6E53" w:rsidP="008C6E53">
      <w:pPr>
        <w:pStyle w:val="FootnoteText"/>
        <w:rPr>
          <w:lang w:val="en-US"/>
        </w:rPr>
      </w:pPr>
      <w:r w:rsidRPr="008C6E53">
        <w:footnoteRef/>
      </w:r>
      <w:r>
        <w:tab/>
      </w:r>
      <w:r w:rsidRPr="001C2E7F">
        <w:t xml:space="preserve">Vic Health. (2018). </w:t>
      </w:r>
      <w:r w:rsidRPr="008C6E53">
        <w:rPr>
          <w:rStyle w:val="Emphasis"/>
        </w:rPr>
        <w:t>(En)countering resistance: Strategies to respond to resistance to gender equality initiatives</w:t>
      </w:r>
      <w:r w:rsidRPr="008F0DF9">
        <w:t xml:space="preserve">. </w:t>
      </w:r>
      <w:r w:rsidRPr="001C2E7F">
        <w:rPr>
          <w:rFonts w:eastAsia="Times New Roman" w:cs="Times New Roman"/>
          <w:lang w:eastAsia="en-GB"/>
        </w:rPr>
        <w:t>Victorian Health Promotion Foundation, Melbourne.</w:t>
      </w:r>
    </w:p>
  </w:footnote>
  <w:footnote w:id="3">
    <w:p w14:paraId="2294BD46" w14:textId="684D8392" w:rsidR="008C6E53" w:rsidRPr="008C6E53" w:rsidRDefault="008C6E53" w:rsidP="008C6E53">
      <w:pPr>
        <w:pStyle w:val="FootnoteText"/>
      </w:pPr>
      <w:r w:rsidRPr="008C6E53">
        <w:footnoteRef/>
      </w:r>
      <w:r w:rsidRPr="008C6E53">
        <w:tab/>
      </w:r>
      <w:r w:rsidRPr="008C6E53">
        <w:rPr>
          <w:rStyle w:val="normaltextrun"/>
        </w:rPr>
        <w:t>Women’s Health West. (20</w:t>
      </w:r>
      <w:r w:rsidR="00395F1F">
        <w:rPr>
          <w:rStyle w:val="normaltextrun"/>
        </w:rPr>
        <w:t>20</w:t>
      </w:r>
      <w:r w:rsidRPr="008C6E53">
        <w:rPr>
          <w:rStyle w:val="normaltextrun"/>
        </w:rPr>
        <w:t xml:space="preserve">). </w:t>
      </w:r>
      <w:hyperlink r:id="rId1" w:history="1">
        <w:r w:rsidR="00395F1F" w:rsidRPr="00395F1F">
          <w:rPr>
            <w:rStyle w:val="Hyperlink"/>
            <w:rFonts w:asciiTheme="minorHAnsi" w:hAnsiTheme="minorHAnsi"/>
          </w:rPr>
          <w:t xml:space="preserve">Communications Guidelines </w:t>
        </w:r>
        <w:proofErr w:type="gramStart"/>
        <w:r w:rsidR="00395F1F" w:rsidRPr="00395F1F">
          <w:rPr>
            <w:rStyle w:val="Hyperlink"/>
            <w:rFonts w:asciiTheme="minorHAnsi" w:hAnsiTheme="minorHAnsi"/>
          </w:rPr>
          <w:t>For</w:t>
        </w:r>
        <w:proofErr w:type="gramEnd"/>
        <w:r w:rsidR="00395F1F" w:rsidRPr="00395F1F">
          <w:rPr>
            <w:rStyle w:val="Hyperlink"/>
            <w:rFonts w:asciiTheme="minorHAnsi" w:hAnsiTheme="minorHAnsi"/>
          </w:rPr>
          <w:t xml:space="preserve"> Preventing Violence Against Women</w:t>
        </w:r>
      </w:hyperlink>
      <w:r w:rsidR="00395F1F">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5BAC5" w14:textId="5177B249" w:rsidR="00507FBD" w:rsidRDefault="00431C58" w:rsidP="009A06F2">
    <w:pPr>
      <w:pStyle w:val="HeaderWithLine"/>
    </w:pPr>
    <w:r>
      <w:t xml:space="preserve">Tip sheet: Addressing and reducing resistance to preventing sexual harassment and violence against </w:t>
    </w:r>
    <w:proofErr w:type="gramStart"/>
    <w:r>
      <w:t>women</w:t>
    </w:r>
    <w:proofErr w:type="gram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9ABA77A8"/>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9"/>
    <w:multiLevelType w:val="singleLevel"/>
    <w:tmpl w:val="EECC965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AC2735F"/>
    <w:multiLevelType w:val="multilevel"/>
    <w:tmpl w:val="50041352"/>
    <w:styleLink w:val="ListHeadings"/>
    <w:lvl w:ilvl="0">
      <w:start w:val="1"/>
      <w:numFmt w:val="decimal"/>
      <w:lvlText w:val="%1."/>
      <w:lvlJc w:val="left"/>
      <w:pPr>
        <w:tabs>
          <w:tab w:val="num" w:pos="360"/>
        </w:tabs>
        <w:ind w:left="340" w:hanging="34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1021" w:hanging="102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6F37EA"/>
    <w:multiLevelType w:val="multilevel"/>
    <w:tmpl w:val="1BF4A770"/>
    <w:styleLink w:val="Numbering"/>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680"/>
        </w:tabs>
        <w:ind w:left="680" w:hanging="34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4" w15:restartNumberingAfterBreak="0">
    <w:nsid w:val="326208B5"/>
    <w:multiLevelType w:val="multilevel"/>
    <w:tmpl w:val="070CAB22"/>
    <w:lvl w:ilvl="0">
      <w:start w:val="1"/>
      <w:numFmt w:val="bullet"/>
      <w:suff w:val="space"/>
      <w:lvlText w:val="—"/>
      <w:lvlJc w:val="left"/>
      <w:pPr>
        <w:ind w:left="0" w:firstLine="0"/>
      </w:pPr>
      <w:rPr>
        <w:rFonts w:ascii="Calibri" w:hAnsi="Calibri" w:hint="default"/>
        <w:color w:val="auto"/>
        <w:w w:val="85"/>
        <w:position w:val="2"/>
      </w:rPr>
    </w:lvl>
    <w:lvl w:ilvl="1">
      <w:start w:val="1"/>
      <w:numFmt w:val="bullet"/>
      <w:suff w:val="space"/>
      <w:lvlText w:val="—"/>
      <w:lvlJc w:val="left"/>
      <w:pPr>
        <w:ind w:left="0" w:firstLine="0"/>
      </w:pPr>
      <w:rPr>
        <w:rFonts w:ascii="Poppins Light" w:hAnsi="Poppins Light" w:hint="default"/>
        <w:color w:val="auto"/>
        <w:w w:val="90"/>
      </w:rPr>
    </w:lvl>
    <w:lvl w:ilvl="2">
      <w:start w:val="1"/>
      <w:numFmt w:val="bullet"/>
      <w:lvlText w:val="–"/>
      <w:lvlJc w:val="left"/>
      <w:pPr>
        <w:ind w:left="510" w:hanging="283"/>
      </w:pPr>
      <w:rPr>
        <w:rFonts w:ascii="Poppins Light" w:hAnsi="Poppins Light"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3BE32363"/>
    <w:multiLevelType w:val="multilevel"/>
    <w:tmpl w:val="53843EBE"/>
    <w:styleLink w:val="TableBullets"/>
    <w:lvl w:ilvl="0">
      <w:start w:val="1"/>
      <w:numFmt w:val="bullet"/>
      <w:pStyle w:val="TableBullet"/>
      <w:lvlText w:val=""/>
      <w:lvlJc w:val="left"/>
      <w:pPr>
        <w:ind w:left="227" w:hanging="227"/>
      </w:pPr>
      <w:rPr>
        <w:rFonts w:ascii="Wingdings" w:hAnsi="Wingdings" w:hint="default"/>
        <w:color w:val="auto"/>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 w15:restartNumberingAfterBreak="0">
    <w:nsid w:val="60E1502C"/>
    <w:multiLevelType w:val="multilevel"/>
    <w:tmpl w:val="D1740DEA"/>
    <w:styleLink w:val="Bullets"/>
    <w:lvl w:ilvl="0">
      <w:start w:val="1"/>
      <w:numFmt w:val="bullet"/>
      <w:pStyle w:val="ListBullet"/>
      <w:lvlText w:val=""/>
      <w:lvlJc w:val="left"/>
      <w:pPr>
        <w:ind w:left="340" w:hanging="340"/>
      </w:pPr>
      <w:rPr>
        <w:rFonts w:ascii="Wingdings" w:hAnsi="Wingdings" w:hint="default"/>
        <w:color w:val="002554" w:themeColor="text1"/>
        <w:position w:val="0"/>
        <w:sz w:val="24"/>
      </w:rPr>
    </w:lvl>
    <w:lvl w:ilvl="1">
      <w:start w:val="1"/>
      <w:numFmt w:val="bullet"/>
      <w:lvlRestart w:val="0"/>
      <w:pStyle w:val="ListBullet2"/>
      <w:lvlText w:val="–"/>
      <w:lvlJc w:val="left"/>
      <w:pPr>
        <w:ind w:left="680" w:hanging="340"/>
      </w:pPr>
      <w:rPr>
        <w:rFonts w:ascii="Roboto" w:hAnsi="Roboto" w:hint="default"/>
        <w:color w:val="002554" w:themeColor="text1"/>
      </w:rPr>
    </w:lvl>
    <w:lvl w:ilvl="2">
      <w:start w:val="1"/>
      <w:numFmt w:val="bullet"/>
      <w:lvlRestart w:val="0"/>
      <w:pStyle w:val="ListBullet3"/>
      <w:lvlText w:val="•"/>
      <w:lvlJc w:val="left"/>
      <w:pPr>
        <w:ind w:left="1021" w:hanging="341"/>
      </w:pPr>
      <w:rPr>
        <w:rFonts w:ascii="Calibri" w:hAnsi="Calibri" w:hint="default"/>
        <w:color w:val="002554" w:themeColor="text1"/>
      </w:rPr>
    </w:lvl>
    <w:lvl w:ilvl="3">
      <w:start w:val="1"/>
      <w:numFmt w:val="none"/>
      <w:lvlRestart w:val="0"/>
      <w:lvlText w:val=""/>
      <w:lvlJc w:val="left"/>
      <w:pPr>
        <w:ind w:left="680" w:firstLine="0"/>
      </w:pPr>
      <w:rPr>
        <w:rFonts w:hint="default"/>
        <w:color w:val="auto"/>
        <w:position w:val="-2"/>
        <w:sz w:val="13"/>
      </w:rPr>
    </w:lvl>
    <w:lvl w:ilvl="4">
      <w:start w:val="1"/>
      <w:numFmt w:val="none"/>
      <w:lvlRestart w:val="0"/>
      <w:lvlText w:val=""/>
      <w:lvlJc w:val="left"/>
      <w:pPr>
        <w:ind w:left="680" w:firstLine="0"/>
      </w:pPr>
      <w:rPr>
        <w:rFonts w:hint="default"/>
        <w:color w:val="auto"/>
      </w:rPr>
    </w:lvl>
    <w:lvl w:ilvl="5">
      <w:start w:val="1"/>
      <w:numFmt w:val="none"/>
      <w:lvlRestart w:val="0"/>
      <w:lvlText w:val=""/>
      <w:lvlJc w:val="left"/>
      <w:pPr>
        <w:ind w:left="680" w:firstLine="0"/>
      </w:pPr>
      <w:rPr>
        <w:rFonts w:hint="default"/>
      </w:rPr>
    </w:lvl>
    <w:lvl w:ilvl="6">
      <w:start w:val="1"/>
      <w:numFmt w:val="none"/>
      <w:lvlRestart w:val="0"/>
      <w:lvlText w:val=""/>
      <w:lvlJc w:val="left"/>
      <w:pPr>
        <w:ind w:left="680" w:firstLine="0"/>
      </w:pPr>
      <w:rPr>
        <w:rFonts w:hint="default"/>
      </w:rPr>
    </w:lvl>
    <w:lvl w:ilvl="7">
      <w:start w:val="1"/>
      <w:numFmt w:val="none"/>
      <w:lvlRestart w:val="0"/>
      <w:lvlText w:val=""/>
      <w:lvlJc w:val="left"/>
      <w:pPr>
        <w:ind w:left="680" w:firstLine="0"/>
      </w:pPr>
      <w:rPr>
        <w:rFonts w:hint="default"/>
      </w:rPr>
    </w:lvl>
    <w:lvl w:ilvl="8">
      <w:start w:val="1"/>
      <w:numFmt w:val="none"/>
      <w:lvlRestart w:val="0"/>
      <w:lvlText w:val=""/>
      <w:lvlJc w:val="left"/>
      <w:pPr>
        <w:ind w:left="680" w:firstLine="0"/>
      </w:pPr>
      <w:rPr>
        <w:rFonts w:hint="default"/>
      </w:rPr>
    </w:lvl>
  </w:abstractNum>
  <w:abstractNum w:abstractNumId="7" w15:restartNumberingAfterBreak="0">
    <w:nsid w:val="62EA0407"/>
    <w:multiLevelType w:val="multilevel"/>
    <w:tmpl w:val="070CAB22"/>
    <w:lvl w:ilvl="0">
      <w:start w:val="1"/>
      <w:numFmt w:val="bullet"/>
      <w:suff w:val="space"/>
      <w:lvlText w:val="—"/>
      <w:lvlJc w:val="left"/>
      <w:pPr>
        <w:ind w:left="0" w:firstLine="0"/>
      </w:pPr>
      <w:rPr>
        <w:rFonts w:ascii="Calibri" w:hAnsi="Calibri" w:hint="default"/>
        <w:color w:val="auto"/>
        <w:w w:val="85"/>
        <w:position w:val="2"/>
      </w:rPr>
    </w:lvl>
    <w:lvl w:ilvl="1">
      <w:start w:val="1"/>
      <w:numFmt w:val="bullet"/>
      <w:suff w:val="space"/>
      <w:lvlText w:val="—"/>
      <w:lvlJc w:val="left"/>
      <w:pPr>
        <w:ind w:left="0" w:firstLine="0"/>
      </w:pPr>
      <w:rPr>
        <w:rFonts w:ascii="Poppins Light" w:hAnsi="Poppins Light" w:hint="default"/>
        <w:color w:val="auto"/>
        <w:w w:val="90"/>
      </w:rPr>
    </w:lvl>
    <w:lvl w:ilvl="2">
      <w:start w:val="1"/>
      <w:numFmt w:val="bullet"/>
      <w:lvlText w:val="–"/>
      <w:lvlJc w:val="left"/>
      <w:pPr>
        <w:ind w:left="510" w:hanging="283"/>
      </w:pPr>
      <w:rPr>
        <w:rFonts w:ascii="Poppins Light" w:hAnsi="Poppins Light"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65356BCE"/>
    <w:multiLevelType w:val="multilevel"/>
    <w:tmpl w:val="50D80332"/>
    <w:lvl w:ilvl="0">
      <w:start w:val="1"/>
      <w:numFmt w:val="lowerLetter"/>
      <w:pStyle w:val="List"/>
      <w:lvlText w:val="%1."/>
      <w:lvlJc w:val="left"/>
      <w:pPr>
        <w:ind w:left="284" w:hanging="284"/>
      </w:pPr>
      <w:rPr>
        <w:rFonts w:hint="default"/>
      </w:rPr>
    </w:lvl>
    <w:lvl w:ilvl="1">
      <w:start w:val="1"/>
      <w:numFmt w:val="lowerRoman"/>
      <w:pStyle w:val="List2"/>
      <w:lvlText w:val="%2."/>
      <w:lvlJc w:val="left"/>
      <w:pPr>
        <w:ind w:left="284" w:hanging="28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792A0718"/>
    <w:multiLevelType w:val="multilevel"/>
    <w:tmpl w:val="D1740DEA"/>
    <w:numStyleLink w:val="Bullets"/>
  </w:abstractNum>
  <w:abstractNum w:abstractNumId="10" w15:restartNumberingAfterBreak="0">
    <w:nsid w:val="7CB456E0"/>
    <w:multiLevelType w:val="multilevel"/>
    <w:tmpl w:val="1BF4A770"/>
    <w:numStyleLink w:val="Numbering"/>
  </w:abstractNum>
  <w:num w:numId="1" w16cid:durableId="212887353">
    <w:abstractNumId w:val="6"/>
  </w:num>
  <w:num w:numId="2" w16cid:durableId="252445112">
    <w:abstractNumId w:val="3"/>
  </w:num>
  <w:num w:numId="3" w16cid:durableId="448009589">
    <w:abstractNumId w:val="2"/>
  </w:num>
  <w:num w:numId="4" w16cid:durableId="121655067">
    <w:abstractNumId w:val="8"/>
  </w:num>
  <w:num w:numId="5" w16cid:durableId="723263129">
    <w:abstractNumId w:val="10"/>
  </w:num>
  <w:num w:numId="6" w16cid:durableId="1112750581">
    <w:abstractNumId w:val="4"/>
  </w:num>
  <w:num w:numId="7" w16cid:durableId="1150943867">
    <w:abstractNumId w:val="7"/>
  </w:num>
  <w:num w:numId="8" w16cid:durableId="255946728">
    <w:abstractNumId w:val="9"/>
  </w:num>
  <w:num w:numId="9" w16cid:durableId="44855220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6012519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70676090">
    <w:abstractNumId w:val="0"/>
  </w:num>
  <w:num w:numId="12" w16cid:durableId="509831988">
    <w:abstractNumId w:val="1"/>
  </w:num>
  <w:num w:numId="13" w16cid:durableId="1987090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6417176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2447559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2390439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30883416">
    <w:abstractNumId w:val="5"/>
  </w:num>
  <w:num w:numId="18" w16cid:durableId="584724611">
    <w:abstractNumId w:val="6"/>
  </w:num>
  <w:num w:numId="19" w16cid:durableId="1593005002">
    <w:abstractNumId w:val="6"/>
  </w:num>
  <w:num w:numId="20" w16cid:durableId="815754794">
    <w:abstractNumId w:val="6"/>
  </w:num>
  <w:num w:numId="21" w16cid:durableId="142894675">
    <w:abstractNumId w:val="6"/>
  </w:num>
  <w:num w:numId="22" w16cid:durableId="1435859508">
    <w:abstractNumId w:val="5"/>
  </w:num>
  <w:num w:numId="23" w16cid:durableId="1997569939">
    <w:abstractNumId w:val="5"/>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obert Di Renzo">
    <w15:presenceInfo w15:providerId="Windows Live" w15:userId="fd2e3325b94ee0b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stylePaneSortMethod w:val="0000"/>
  <w:defaultTabStop w:val="720"/>
  <w:defaultTableStyle w:val="TableGrid"/>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B42"/>
    <w:rsid w:val="0000027A"/>
    <w:rsid w:val="000008A7"/>
    <w:rsid w:val="000073DD"/>
    <w:rsid w:val="000105FD"/>
    <w:rsid w:val="000136DF"/>
    <w:rsid w:val="000267F4"/>
    <w:rsid w:val="000300AF"/>
    <w:rsid w:val="0004264E"/>
    <w:rsid w:val="000511B9"/>
    <w:rsid w:val="00054ABD"/>
    <w:rsid w:val="00055A3A"/>
    <w:rsid w:val="000724AE"/>
    <w:rsid w:val="00075328"/>
    <w:rsid w:val="0008037D"/>
    <w:rsid w:val="00094F3A"/>
    <w:rsid w:val="000954B3"/>
    <w:rsid w:val="000973BC"/>
    <w:rsid w:val="000A2116"/>
    <w:rsid w:val="000A3A9D"/>
    <w:rsid w:val="000A6BFB"/>
    <w:rsid w:val="000B497F"/>
    <w:rsid w:val="000C1E3F"/>
    <w:rsid w:val="000C1F74"/>
    <w:rsid w:val="000C2307"/>
    <w:rsid w:val="000C278E"/>
    <w:rsid w:val="000C5AFE"/>
    <w:rsid w:val="000C7D75"/>
    <w:rsid w:val="000D1727"/>
    <w:rsid w:val="000D22BD"/>
    <w:rsid w:val="000D2E05"/>
    <w:rsid w:val="000D3A47"/>
    <w:rsid w:val="000E119B"/>
    <w:rsid w:val="000E1D20"/>
    <w:rsid w:val="000F6681"/>
    <w:rsid w:val="00102429"/>
    <w:rsid w:val="001070C3"/>
    <w:rsid w:val="001072F9"/>
    <w:rsid w:val="00112E8F"/>
    <w:rsid w:val="00114C1A"/>
    <w:rsid w:val="001268BC"/>
    <w:rsid w:val="00137E20"/>
    <w:rsid w:val="00144A2B"/>
    <w:rsid w:val="00150182"/>
    <w:rsid w:val="001636EF"/>
    <w:rsid w:val="00164AC5"/>
    <w:rsid w:val="00165983"/>
    <w:rsid w:val="00165D5C"/>
    <w:rsid w:val="001705FB"/>
    <w:rsid w:val="00180798"/>
    <w:rsid w:val="00180932"/>
    <w:rsid w:val="00183992"/>
    <w:rsid w:val="0019690A"/>
    <w:rsid w:val="001A0D77"/>
    <w:rsid w:val="001B7F51"/>
    <w:rsid w:val="001C3456"/>
    <w:rsid w:val="001C4352"/>
    <w:rsid w:val="001C7835"/>
    <w:rsid w:val="001D6DA3"/>
    <w:rsid w:val="001F13C1"/>
    <w:rsid w:val="001F446D"/>
    <w:rsid w:val="00202F87"/>
    <w:rsid w:val="00213304"/>
    <w:rsid w:val="00214529"/>
    <w:rsid w:val="00221AB7"/>
    <w:rsid w:val="002233DA"/>
    <w:rsid w:val="00230CBA"/>
    <w:rsid w:val="00234382"/>
    <w:rsid w:val="002357B3"/>
    <w:rsid w:val="002405EC"/>
    <w:rsid w:val="00241D5A"/>
    <w:rsid w:val="00246435"/>
    <w:rsid w:val="00246BCF"/>
    <w:rsid w:val="00251576"/>
    <w:rsid w:val="002550F9"/>
    <w:rsid w:val="00270834"/>
    <w:rsid w:val="00280758"/>
    <w:rsid w:val="002814E6"/>
    <w:rsid w:val="0028308F"/>
    <w:rsid w:val="00290C55"/>
    <w:rsid w:val="002933C3"/>
    <w:rsid w:val="002C52BC"/>
    <w:rsid w:val="002D576D"/>
    <w:rsid w:val="002D710A"/>
    <w:rsid w:val="002E27D5"/>
    <w:rsid w:val="002E654C"/>
    <w:rsid w:val="002E6572"/>
    <w:rsid w:val="0030399E"/>
    <w:rsid w:val="00305171"/>
    <w:rsid w:val="00307D9C"/>
    <w:rsid w:val="00313324"/>
    <w:rsid w:val="00331774"/>
    <w:rsid w:val="00334AD4"/>
    <w:rsid w:val="00343657"/>
    <w:rsid w:val="00343E87"/>
    <w:rsid w:val="00346004"/>
    <w:rsid w:val="0034680A"/>
    <w:rsid w:val="00363A81"/>
    <w:rsid w:val="00363FF8"/>
    <w:rsid w:val="00365896"/>
    <w:rsid w:val="00370CB9"/>
    <w:rsid w:val="0037721D"/>
    <w:rsid w:val="0038102A"/>
    <w:rsid w:val="0039078E"/>
    <w:rsid w:val="00393275"/>
    <w:rsid w:val="00395F1F"/>
    <w:rsid w:val="003A353D"/>
    <w:rsid w:val="003B6BA0"/>
    <w:rsid w:val="003C21C6"/>
    <w:rsid w:val="003C2E12"/>
    <w:rsid w:val="003D1ECE"/>
    <w:rsid w:val="003D23A3"/>
    <w:rsid w:val="003D5856"/>
    <w:rsid w:val="003E159B"/>
    <w:rsid w:val="00403EA8"/>
    <w:rsid w:val="00404E4F"/>
    <w:rsid w:val="0040590F"/>
    <w:rsid w:val="00405A17"/>
    <w:rsid w:val="00414BA8"/>
    <w:rsid w:val="00415F99"/>
    <w:rsid w:val="0042339A"/>
    <w:rsid w:val="0042508F"/>
    <w:rsid w:val="00431C58"/>
    <w:rsid w:val="00461FFF"/>
    <w:rsid w:val="004635FD"/>
    <w:rsid w:val="00470BBF"/>
    <w:rsid w:val="00473A3F"/>
    <w:rsid w:val="00481CC3"/>
    <w:rsid w:val="00491EA7"/>
    <w:rsid w:val="0049224E"/>
    <w:rsid w:val="004B5074"/>
    <w:rsid w:val="004B609E"/>
    <w:rsid w:val="004B675F"/>
    <w:rsid w:val="004B7329"/>
    <w:rsid w:val="004B73A3"/>
    <w:rsid w:val="004B7489"/>
    <w:rsid w:val="004D0774"/>
    <w:rsid w:val="004D1815"/>
    <w:rsid w:val="004D59AE"/>
    <w:rsid w:val="004E0833"/>
    <w:rsid w:val="004E1CB4"/>
    <w:rsid w:val="004E28C6"/>
    <w:rsid w:val="004F138F"/>
    <w:rsid w:val="004F1DC6"/>
    <w:rsid w:val="0050670B"/>
    <w:rsid w:val="00507FBD"/>
    <w:rsid w:val="005105FF"/>
    <w:rsid w:val="005141E8"/>
    <w:rsid w:val="0052059A"/>
    <w:rsid w:val="005356AC"/>
    <w:rsid w:val="00537559"/>
    <w:rsid w:val="00546B13"/>
    <w:rsid w:val="00550C99"/>
    <w:rsid w:val="00553179"/>
    <w:rsid w:val="00553413"/>
    <w:rsid w:val="00556A66"/>
    <w:rsid w:val="0058369E"/>
    <w:rsid w:val="005840AA"/>
    <w:rsid w:val="00586217"/>
    <w:rsid w:val="005870BD"/>
    <w:rsid w:val="00593314"/>
    <w:rsid w:val="00594496"/>
    <w:rsid w:val="005C6618"/>
    <w:rsid w:val="005E1C6E"/>
    <w:rsid w:val="005F7BEB"/>
    <w:rsid w:val="00603FD5"/>
    <w:rsid w:val="0061040B"/>
    <w:rsid w:val="00616CA4"/>
    <w:rsid w:val="00616DC8"/>
    <w:rsid w:val="00621579"/>
    <w:rsid w:val="00623C0F"/>
    <w:rsid w:val="00647480"/>
    <w:rsid w:val="0065250A"/>
    <w:rsid w:val="006664F7"/>
    <w:rsid w:val="00666DE1"/>
    <w:rsid w:val="00670356"/>
    <w:rsid w:val="006756B2"/>
    <w:rsid w:val="00684423"/>
    <w:rsid w:val="0068724F"/>
    <w:rsid w:val="00695B11"/>
    <w:rsid w:val="006974A2"/>
    <w:rsid w:val="006A1DEF"/>
    <w:rsid w:val="006A23B9"/>
    <w:rsid w:val="006A34C5"/>
    <w:rsid w:val="006B2360"/>
    <w:rsid w:val="006C31AA"/>
    <w:rsid w:val="006C4AF4"/>
    <w:rsid w:val="006D3F2F"/>
    <w:rsid w:val="006E3536"/>
    <w:rsid w:val="006F54DA"/>
    <w:rsid w:val="00713B8B"/>
    <w:rsid w:val="00714488"/>
    <w:rsid w:val="00734963"/>
    <w:rsid w:val="00737077"/>
    <w:rsid w:val="0074201B"/>
    <w:rsid w:val="00772D25"/>
    <w:rsid w:val="007900DE"/>
    <w:rsid w:val="00792CFA"/>
    <w:rsid w:val="007974E4"/>
    <w:rsid w:val="007A0363"/>
    <w:rsid w:val="007A7D3A"/>
    <w:rsid w:val="007B4602"/>
    <w:rsid w:val="007B48FB"/>
    <w:rsid w:val="007C0ADF"/>
    <w:rsid w:val="007C4FFE"/>
    <w:rsid w:val="007D7B42"/>
    <w:rsid w:val="007E586C"/>
    <w:rsid w:val="00800CDD"/>
    <w:rsid w:val="008104DA"/>
    <w:rsid w:val="0081533C"/>
    <w:rsid w:val="00822DF0"/>
    <w:rsid w:val="0085439B"/>
    <w:rsid w:val="0086572B"/>
    <w:rsid w:val="00883AAB"/>
    <w:rsid w:val="00896C45"/>
    <w:rsid w:val="008A7096"/>
    <w:rsid w:val="008B05C3"/>
    <w:rsid w:val="008B4965"/>
    <w:rsid w:val="008C0EB6"/>
    <w:rsid w:val="008C6E53"/>
    <w:rsid w:val="008C707A"/>
    <w:rsid w:val="008D1ABD"/>
    <w:rsid w:val="008F38FC"/>
    <w:rsid w:val="0090137A"/>
    <w:rsid w:val="00907240"/>
    <w:rsid w:val="0091143E"/>
    <w:rsid w:val="00936068"/>
    <w:rsid w:val="009366B4"/>
    <w:rsid w:val="0094398B"/>
    <w:rsid w:val="009452C4"/>
    <w:rsid w:val="009517CC"/>
    <w:rsid w:val="00957785"/>
    <w:rsid w:val="009615D4"/>
    <w:rsid w:val="00971FF9"/>
    <w:rsid w:val="00974677"/>
    <w:rsid w:val="009802D1"/>
    <w:rsid w:val="00983723"/>
    <w:rsid w:val="00990FD7"/>
    <w:rsid w:val="00991168"/>
    <w:rsid w:val="009A06F2"/>
    <w:rsid w:val="009A2F17"/>
    <w:rsid w:val="009A4587"/>
    <w:rsid w:val="009A6FDC"/>
    <w:rsid w:val="009A7C61"/>
    <w:rsid w:val="009B3B98"/>
    <w:rsid w:val="009B7E0E"/>
    <w:rsid w:val="009C09D0"/>
    <w:rsid w:val="009D24F5"/>
    <w:rsid w:val="009D6035"/>
    <w:rsid w:val="009F0DF2"/>
    <w:rsid w:val="009F2A37"/>
    <w:rsid w:val="009F6BBF"/>
    <w:rsid w:val="00A0032E"/>
    <w:rsid w:val="00A12289"/>
    <w:rsid w:val="00A12DEA"/>
    <w:rsid w:val="00A13664"/>
    <w:rsid w:val="00A16F8B"/>
    <w:rsid w:val="00A24EF4"/>
    <w:rsid w:val="00A33840"/>
    <w:rsid w:val="00A46170"/>
    <w:rsid w:val="00A60B01"/>
    <w:rsid w:val="00A65C34"/>
    <w:rsid w:val="00A90151"/>
    <w:rsid w:val="00A9359B"/>
    <w:rsid w:val="00A97B80"/>
    <w:rsid w:val="00AA163B"/>
    <w:rsid w:val="00AB0CEB"/>
    <w:rsid w:val="00AB1774"/>
    <w:rsid w:val="00AC0558"/>
    <w:rsid w:val="00AC6E87"/>
    <w:rsid w:val="00AD1A44"/>
    <w:rsid w:val="00AF7073"/>
    <w:rsid w:val="00B029F1"/>
    <w:rsid w:val="00B06B95"/>
    <w:rsid w:val="00B23603"/>
    <w:rsid w:val="00B32D6C"/>
    <w:rsid w:val="00B34508"/>
    <w:rsid w:val="00B37050"/>
    <w:rsid w:val="00B3749D"/>
    <w:rsid w:val="00B51D4B"/>
    <w:rsid w:val="00B65DAA"/>
    <w:rsid w:val="00B66B2F"/>
    <w:rsid w:val="00B74F7F"/>
    <w:rsid w:val="00B75B08"/>
    <w:rsid w:val="00B76C02"/>
    <w:rsid w:val="00B85E95"/>
    <w:rsid w:val="00B87859"/>
    <w:rsid w:val="00B91D47"/>
    <w:rsid w:val="00BA3CB8"/>
    <w:rsid w:val="00BA7623"/>
    <w:rsid w:val="00BC1EFB"/>
    <w:rsid w:val="00BC4753"/>
    <w:rsid w:val="00BC4C77"/>
    <w:rsid w:val="00BF2C66"/>
    <w:rsid w:val="00BF65E6"/>
    <w:rsid w:val="00BF68C8"/>
    <w:rsid w:val="00C01E68"/>
    <w:rsid w:val="00C03734"/>
    <w:rsid w:val="00C11924"/>
    <w:rsid w:val="00C14E7A"/>
    <w:rsid w:val="00C276EB"/>
    <w:rsid w:val="00C326F9"/>
    <w:rsid w:val="00C37A29"/>
    <w:rsid w:val="00C41A14"/>
    <w:rsid w:val="00C41C64"/>
    <w:rsid w:val="00C471C1"/>
    <w:rsid w:val="00C70EFC"/>
    <w:rsid w:val="00C800CB"/>
    <w:rsid w:val="00C80806"/>
    <w:rsid w:val="00C82DE7"/>
    <w:rsid w:val="00C83127"/>
    <w:rsid w:val="00C932F3"/>
    <w:rsid w:val="00CA396E"/>
    <w:rsid w:val="00CA5753"/>
    <w:rsid w:val="00CA60FE"/>
    <w:rsid w:val="00CC0EC4"/>
    <w:rsid w:val="00CC125D"/>
    <w:rsid w:val="00CC3421"/>
    <w:rsid w:val="00CC3B59"/>
    <w:rsid w:val="00CD61EB"/>
    <w:rsid w:val="00CE066A"/>
    <w:rsid w:val="00CF02F0"/>
    <w:rsid w:val="00CF59E1"/>
    <w:rsid w:val="00D16F74"/>
    <w:rsid w:val="00D27CF0"/>
    <w:rsid w:val="00D34DC7"/>
    <w:rsid w:val="00D402E8"/>
    <w:rsid w:val="00D42915"/>
    <w:rsid w:val="00D433EC"/>
    <w:rsid w:val="00D47510"/>
    <w:rsid w:val="00D60649"/>
    <w:rsid w:val="00D61E88"/>
    <w:rsid w:val="00D62D47"/>
    <w:rsid w:val="00D662F6"/>
    <w:rsid w:val="00D80395"/>
    <w:rsid w:val="00D83923"/>
    <w:rsid w:val="00D85FBA"/>
    <w:rsid w:val="00D918CA"/>
    <w:rsid w:val="00D9303F"/>
    <w:rsid w:val="00D9419D"/>
    <w:rsid w:val="00DA0559"/>
    <w:rsid w:val="00DC5BA4"/>
    <w:rsid w:val="00DC5E0C"/>
    <w:rsid w:val="00DF4E3E"/>
    <w:rsid w:val="00E043F9"/>
    <w:rsid w:val="00E0453D"/>
    <w:rsid w:val="00E05FA6"/>
    <w:rsid w:val="00E25474"/>
    <w:rsid w:val="00E32F93"/>
    <w:rsid w:val="00E415DB"/>
    <w:rsid w:val="00E54B2B"/>
    <w:rsid w:val="00E70791"/>
    <w:rsid w:val="00E72AD3"/>
    <w:rsid w:val="00E74E10"/>
    <w:rsid w:val="00E763DC"/>
    <w:rsid w:val="00E86339"/>
    <w:rsid w:val="00E945AC"/>
    <w:rsid w:val="00E9686E"/>
    <w:rsid w:val="00E97909"/>
    <w:rsid w:val="00EA1943"/>
    <w:rsid w:val="00EA300A"/>
    <w:rsid w:val="00EC3F9C"/>
    <w:rsid w:val="00ED43DE"/>
    <w:rsid w:val="00EE6132"/>
    <w:rsid w:val="00EE6F14"/>
    <w:rsid w:val="00EF039B"/>
    <w:rsid w:val="00EF3F23"/>
    <w:rsid w:val="00EF73EA"/>
    <w:rsid w:val="00F120D7"/>
    <w:rsid w:val="00F12C35"/>
    <w:rsid w:val="00F162D4"/>
    <w:rsid w:val="00F4010B"/>
    <w:rsid w:val="00F416F3"/>
    <w:rsid w:val="00F43E5B"/>
    <w:rsid w:val="00F45363"/>
    <w:rsid w:val="00F46C64"/>
    <w:rsid w:val="00F4702C"/>
    <w:rsid w:val="00F47437"/>
    <w:rsid w:val="00F505B8"/>
    <w:rsid w:val="00F516E6"/>
    <w:rsid w:val="00F57F42"/>
    <w:rsid w:val="00F613F3"/>
    <w:rsid w:val="00F634F6"/>
    <w:rsid w:val="00F735D0"/>
    <w:rsid w:val="00F77431"/>
    <w:rsid w:val="00F87B07"/>
    <w:rsid w:val="00F94880"/>
    <w:rsid w:val="00FA1D28"/>
    <w:rsid w:val="00FB0D65"/>
    <w:rsid w:val="00FB127D"/>
    <w:rsid w:val="00FB29DB"/>
    <w:rsid w:val="00FB74A1"/>
    <w:rsid w:val="00FC2D8B"/>
    <w:rsid w:val="00FC3383"/>
    <w:rsid w:val="00FD3306"/>
    <w:rsid w:val="00FD3469"/>
    <w:rsid w:val="00FE57D8"/>
    <w:rsid w:val="00FF0570"/>
    <w:rsid w:val="00FF699E"/>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5592C2"/>
  <w15:chartTrackingRefBased/>
  <w15:docId w15:val="{3AA74C16-AD27-1748-8E15-8E4300D67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qFormat="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D1815"/>
    <w:pPr>
      <w:spacing w:after="180" w:line="264" w:lineRule="auto"/>
    </w:pPr>
    <w:rPr>
      <w:color w:val="002554" w:themeColor="text1"/>
      <w:spacing w:val="-5"/>
      <w:sz w:val="24"/>
    </w:rPr>
  </w:style>
  <w:style w:type="paragraph" w:styleId="Heading1">
    <w:name w:val="heading 1"/>
    <w:next w:val="BodyText"/>
    <w:link w:val="Heading1Char"/>
    <w:uiPriority w:val="5"/>
    <w:qFormat/>
    <w:rsid w:val="004D1815"/>
    <w:pPr>
      <w:keepNext/>
      <w:keepLines/>
      <w:spacing w:before="400" w:after="240" w:line="216" w:lineRule="auto"/>
      <w:outlineLvl w:val="0"/>
    </w:pPr>
    <w:rPr>
      <w:rFonts w:asciiTheme="majorHAnsi" w:hAnsiTheme="majorHAnsi" w:cstheme="majorHAnsi"/>
      <w:b/>
      <w:bCs/>
      <w:color w:val="002554" w:themeColor="text1"/>
      <w:spacing w:val="-3"/>
      <w:sz w:val="34"/>
      <w:szCs w:val="21"/>
    </w:rPr>
  </w:style>
  <w:style w:type="paragraph" w:styleId="Heading2">
    <w:name w:val="heading 2"/>
    <w:next w:val="BodyText"/>
    <w:link w:val="Heading2Char"/>
    <w:uiPriority w:val="5"/>
    <w:qFormat/>
    <w:rsid w:val="004D1815"/>
    <w:pPr>
      <w:keepNext/>
      <w:keepLines/>
      <w:spacing w:before="280" w:after="120" w:line="240" w:lineRule="auto"/>
      <w:outlineLvl w:val="1"/>
    </w:pPr>
    <w:rPr>
      <w:rFonts w:asciiTheme="majorHAnsi" w:hAnsiTheme="majorHAnsi" w:cstheme="majorHAnsi"/>
      <w:b/>
      <w:bCs/>
      <w:color w:val="002554" w:themeColor="text1"/>
      <w:spacing w:val="-3"/>
      <w:sz w:val="28"/>
      <w:szCs w:val="18"/>
    </w:rPr>
  </w:style>
  <w:style w:type="paragraph" w:styleId="Heading3">
    <w:name w:val="heading 3"/>
    <w:next w:val="BodyText"/>
    <w:link w:val="Heading3Char"/>
    <w:uiPriority w:val="5"/>
    <w:qFormat/>
    <w:rsid w:val="004D1815"/>
    <w:pPr>
      <w:keepNext/>
      <w:keepLines/>
      <w:spacing w:before="280" w:after="120" w:line="240" w:lineRule="auto"/>
      <w:outlineLvl w:val="2"/>
    </w:pPr>
    <w:rPr>
      <w:rFonts w:asciiTheme="majorHAnsi" w:eastAsiaTheme="majorEastAsia" w:hAnsiTheme="majorHAnsi" w:cstheme="majorBidi"/>
      <w:b/>
      <w:color w:val="002554" w:themeColor="text1"/>
      <w:spacing w:val="-5"/>
      <w:sz w:val="24"/>
      <w:szCs w:val="28"/>
    </w:rPr>
  </w:style>
  <w:style w:type="paragraph" w:styleId="Heading4">
    <w:name w:val="heading 4"/>
    <w:basedOn w:val="Normal"/>
    <w:next w:val="BodyText"/>
    <w:link w:val="Heading4Char"/>
    <w:uiPriority w:val="9"/>
    <w:semiHidden/>
    <w:rsid w:val="004D1815"/>
    <w:pPr>
      <w:keepNext/>
      <w:keepLines/>
      <w:suppressAutoHyphens/>
      <w:spacing w:after="0" w:line="240" w:lineRule="auto"/>
      <w:outlineLvl w:val="3"/>
    </w:pPr>
    <w:rPr>
      <w:rFonts w:asciiTheme="majorHAnsi" w:eastAsiaTheme="majorEastAsia" w:hAnsiTheme="majorHAnsi" w:cstheme="majorBidi"/>
      <w:b/>
      <w:sz w:val="18"/>
    </w:rPr>
  </w:style>
  <w:style w:type="paragraph" w:styleId="Heading5">
    <w:name w:val="heading 5"/>
    <w:basedOn w:val="Normal"/>
    <w:next w:val="Normal"/>
    <w:link w:val="Heading5Char"/>
    <w:uiPriority w:val="9"/>
    <w:semiHidden/>
    <w:rsid w:val="004D1815"/>
    <w:pPr>
      <w:keepNext/>
      <w:keepLines/>
      <w:spacing w:after="0" w:line="240" w:lineRule="auto"/>
      <w:outlineLvl w:val="4"/>
    </w:pPr>
    <w:rPr>
      <w:rFonts w:eastAsiaTheme="majorEastAsia" w:cstheme="majorBidi"/>
      <w:b/>
      <w:sz w:val="18"/>
    </w:rPr>
  </w:style>
  <w:style w:type="paragraph" w:styleId="Heading6">
    <w:name w:val="heading 6"/>
    <w:basedOn w:val="Normal"/>
    <w:next w:val="Normal"/>
    <w:link w:val="Heading6Char"/>
    <w:uiPriority w:val="9"/>
    <w:semiHidden/>
    <w:rsid w:val="004D1815"/>
    <w:pPr>
      <w:keepNext/>
      <w:keepLines/>
      <w:spacing w:after="0" w:line="240" w:lineRule="auto"/>
      <w:outlineLvl w:val="5"/>
    </w:pPr>
    <w:rPr>
      <w:rFonts w:eastAsiaTheme="majorEastAsia" w:cstheme="majorBid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semiHidden/>
    <w:qFormat/>
    <w:rsid w:val="00D34DC7"/>
    <w:pPr>
      <w:spacing w:after="0"/>
    </w:pPr>
  </w:style>
  <w:style w:type="paragraph" w:styleId="ListBullet">
    <w:name w:val="List Bullet"/>
    <w:basedOn w:val="BodyText"/>
    <w:uiPriority w:val="2"/>
    <w:qFormat/>
    <w:rsid w:val="002E27D5"/>
    <w:pPr>
      <w:numPr>
        <w:numId w:val="21"/>
      </w:numPr>
      <w:spacing w:after="80"/>
    </w:pPr>
  </w:style>
  <w:style w:type="paragraph" w:styleId="ListBullet2">
    <w:name w:val="List Bullet 2"/>
    <w:basedOn w:val="BodyText"/>
    <w:uiPriority w:val="3"/>
    <w:qFormat/>
    <w:rsid w:val="002E27D5"/>
    <w:pPr>
      <w:numPr>
        <w:ilvl w:val="1"/>
        <w:numId w:val="21"/>
      </w:numPr>
      <w:spacing w:after="80"/>
    </w:pPr>
  </w:style>
  <w:style w:type="paragraph" w:styleId="ListNumber">
    <w:name w:val="List Number"/>
    <w:basedOn w:val="BodyText"/>
    <w:uiPriority w:val="4"/>
    <w:qFormat/>
    <w:rsid w:val="00CF59E1"/>
    <w:pPr>
      <w:numPr>
        <w:numId w:val="2"/>
      </w:numPr>
      <w:spacing w:after="120"/>
    </w:pPr>
  </w:style>
  <w:style w:type="numbering" w:customStyle="1" w:styleId="Bullets">
    <w:name w:val="Bullets"/>
    <w:uiPriority w:val="99"/>
    <w:rsid w:val="002E27D5"/>
    <w:pPr>
      <w:numPr>
        <w:numId w:val="1"/>
      </w:numPr>
    </w:pPr>
  </w:style>
  <w:style w:type="character" w:customStyle="1" w:styleId="Heading1Char">
    <w:name w:val="Heading 1 Char"/>
    <w:basedOn w:val="DefaultParagraphFont"/>
    <w:link w:val="Heading1"/>
    <w:uiPriority w:val="5"/>
    <w:rsid w:val="004D1815"/>
    <w:rPr>
      <w:rFonts w:asciiTheme="majorHAnsi" w:hAnsiTheme="majorHAnsi" w:cstheme="majorHAnsi"/>
      <w:b/>
      <w:bCs/>
      <w:color w:val="002554" w:themeColor="text1"/>
      <w:spacing w:val="-3"/>
      <w:sz w:val="34"/>
      <w:szCs w:val="21"/>
    </w:rPr>
  </w:style>
  <w:style w:type="paragraph" w:styleId="ListNumber2">
    <w:name w:val="List Number 2"/>
    <w:basedOn w:val="BodyText"/>
    <w:uiPriority w:val="99"/>
    <w:rsid w:val="00CF59E1"/>
    <w:pPr>
      <w:numPr>
        <w:ilvl w:val="1"/>
        <w:numId w:val="2"/>
      </w:numPr>
      <w:spacing w:after="100"/>
      <w:contextualSpacing/>
    </w:pPr>
  </w:style>
  <w:style w:type="character" w:customStyle="1" w:styleId="Heading2Char">
    <w:name w:val="Heading 2 Char"/>
    <w:basedOn w:val="DefaultParagraphFont"/>
    <w:link w:val="Heading2"/>
    <w:uiPriority w:val="5"/>
    <w:rsid w:val="004D1815"/>
    <w:rPr>
      <w:rFonts w:asciiTheme="majorHAnsi" w:hAnsiTheme="majorHAnsi" w:cstheme="majorHAnsi"/>
      <w:b/>
      <w:bCs/>
      <w:color w:val="002554" w:themeColor="text1"/>
      <w:spacing w:val="-3"/>
      <w:sz w:val="28"/>
      <w:szCs w:val="18"/>
    </w:rPr>
  </w:style>
  <w:style w:type="paragraph" w:styleId="ListParagraph">
    <w:name w:val="List Paragraph"/>
    <w:basedOn w:val="Normal"/>
    <w:uiPriority w:val="34"/>
    <w:semiHidden/>
    <w:rsid w:val="00594496"/>
    <w:pPr>
      <w:ind w:left="284"/>
      <w:contextualSpacing/>
    </w:pPr>
  </w:style>
  <w:style w:type="paragraph" w:styleId="Header">
    <w:name w:val="header"/>
    <w:link w:val="HeaderChar"/>
    <w:uiPriority w:val="99"/>
    <w:unhideWhenUsed/>
    <w:rsid w:val="002E27D5"/>
    <w:pPr>
      <w:tabs>
        <w:tab w:val="right" w:pos="8789"/>
      </w:tabs>
      <w:spacing w:after="0" w:line="240" w:lineRule="auto"/>
      <w:ind w:right="-3119"/>
      <w:contextualSpacing/>
    </w:pPr>
    <w:rPr>
      <w:color w:val="002554" w:themeColor="text1"/>
      <w:sz w:val="20"/>
    </w:rPr>
  </w:style>
  <w:style w:type="character" w:customStyle="1" w:styleId="HeaderChar">
    <w:name w:val="Header Char"/>
    <w:basedOn w:val="DefaultParagraphFont"/>
    <w:link w:val="Header"/>
    <w:uiPriority w:val="99"/>
    <w:rsid w:val="002E27D5"/>
    <w:rPr>
      <w:color w:val="002554" w:themeColor="text1"/>
      <w:sz w:val="20"/>
    </w:rPr>
  </w:style>
  <w:style w:type="paragraph" w:styleId="Footer">
    <w:name w:val="footer"/>
    <w:link w:val="FooterChar"/>
    <w:uiPriority w:val="99"/>
    <w:rsid w:val="00C800CB"/>
    <w:pPr>
      <w:spacing w:after="0" w:line="240" w:lineRule="auto"/>
    </w:pPr>
    <w:rPr>
      <w:color w:val="002554" w:themeColor="text1"/>
      <w:sz w:val="20"/>
    </w:rPr>
  </w:style>
  <w:style w:type="character" w:customStyle="1" w:styleId="FooterChar">
    <w:name w:val="Footer Char"/>
    <w:basedOn w:val="DefaultParagraphFont"/>
    <w:link w:val="Footer"/>
    <w:uiPriority w:val="99"/>
    <w:rsid w:val="000C278E"/>
    <w:rPr>
      <w:color w:val="002554" w:themeColor="text1"/>
      <w:sz w:val="20"/>
    </w:rPr>
  </w:style>
  <w:style w:type="numbering" w:customStyle="1" w:styleId="Numbering">
    <w:name w:val="Numbering"/>
    <w:uiPriority w:val="99"/>
    <w:rsid w:val="00CF59E1"/>
    <w:pPr>
      <w:numPr>
        <w:numId w:val="2"/>
      </w:numPr>
    </w:pPr>
  </w:style>
  <w:style w:type="paragraph" w:styleId="ListBullet3">
    <w:name w:val="List Bullet 3"/>
    <w:basedOn w:val="BodyText"/>
    <w:uiPriority w:val="99"/>
    <w:rsid w:val="002E27D5"/>
    <w:pPr>
      <w:numPr>
        <w:ilvl w:val="2"/>
        <w:numId w:val="21"/>
      </w:numPr>
      <w:spacing w:after="80"/>
    </w:pPr>
  </w:style>
  <w:style w:type="paragraph" w:styleId="ListContinue2">
    <w:name w:val="List Continue 2"/>
    <w:basedOn w:val="Normal"/>
    <w:uiPriority w:val="99"/>
    <w:semiHidden/>
    <w:qFormat/>
    <w:rsid w:val="005870BD"/>
    <w:pPr>
      <w:ind w:left="737"/>
    </w:pPr>
  </w:style>
  <w:style w:type="paragraph" w:styleId="ListNumber3">
    <w:name w:val="List Number 3"/>
    <w:basedOn w:val="Normal"/>
    <w:uiPriority w:val="99"/>
    <w:semiHidden/>
    <w:rsid w:val="00CF59E1"/>
    <w:pPr>
      <w:contextualSpacing/>
    </w:pPr>
  </w:style>
  <w:style w:type="paragraph" w:styleId="ListNumber4">
    <w:name w:val="List Number 4"/>
    <w:basedOn w:val="Normal"/>
    <w:uiPriority w:val="99"/>
    <w:semiHidden/>
    <w:rsid w:val="00CF59E1"/>
    <w:pPr>
      <w:contextualSpacing/>
    </w:pPr>
  </w:style>
  <w:style w:type="paragraph" w:styleId="ListNumber5">
    <w:name w:val="List Number 5"/>
    <w:basedOn w:val="Normal"/>
    <w:uiPriority w:val="99"/>
    <w:semiHidden/>
    <w:rsid w:val="00CF59E1"/>
    <w:pPr>
      <w:contextualSpacing/>
    </w:pPr>
  </w:style>
  <w:style w:type="paragraph" w:styleId="ListContinue">
    <w:name w:val="List Continue"/>
    <w:basedOn w:val="Normal"/>
    <w:uiPriority w:val="99"/>
    <w:semiHidden/>
    <w:qFormat/>
    <w:rsid w:val="005870BD"/>
    <w:pPr>
      <w:ind w:left="340"/>
    </w:pPr>
  </w:style>
  <w:style w:type="paragraph" w:styleId="ListContinue3">
    <w:name w:val="List Continue 3"/>
    <w:basedOn w:val="Normal"/>
    <w:uiPriority w:val="99"/>
    <w:semiHidden/>
    <w:rsid w:val="005870BD"/>
    <w:pPr>
      <w:ind w:left="1134"/>
    </w:pPr>
  </w:style>
  <w:style w:type="paragraph" w:styleId="ListContinue4">
    <w:name w:val="List Continue 4"/>
    <w:basedOn w:val="Normal"/>
    <w:uiPriority w:val="99"/>
    <w:semiHidden/>
    <w:rsid w:val="00974677"/>
    <w:pPr>
      <w:ind w:left="1132"/>
      <w:contextualSpacing/>
    </w:pPr>
  </w:style>
  <w:style w:type="character" w:customStyle="1" w:styleId="Heading3Char">
    <w:name w:val="Heading 3 Char"/>
    <w:basedOn w:val="DefaultParagraphFont"/>
    <w:link w:val="Heading3"/>
    <w:uiPriority w:val="5"/>
    <w:rsid w:val="004D1815"/>
    <w:rPr>
      <w:rFonts w:asciiTheme="majorHAnsi" w:eastAsiaTheme="majorEastAsia" w:hAnsiTheme="majorHAnsi" w:cstheme="majorBidi"/>
      <w:b/>
      <w:color w:val="002554" w:themeColor="text1"/>
      <w:spacing w:val="-5"/>
      <w:sz w:val="24"/>
      <w:szCs w:val="28"/>
    </w:rPr>
  </w:style>
  <w:style w:type="character" w:customStyle="1" w:styleId="Heading4Char">
    <w:name w:val="Heading 4 Char"/>
    <w:basedOn w:val="DefaultParagraphFont"/>
    <w:link w:val="Heading4"/>
    <w:uiPriority w:val="9"/>
    <w:semiHidden/>
    <w:rsid w:val="004D1815"/>
    <w:rPr>
      <w:rFonts w:asciiTheme="majorHAnsi" w:eastAsiaTheme="majorEastAsia" w:hAnsiTheme="majorHAnsi" w:cstheme="majorBidi"/>
      <w:b/>
      <w:color w:val="002554" w:themeColor="text1"/>
      <w:spacing w:val="-5"/>
      <w:sz w:val="18"/>
    </w:rPr>
  </w:style>
  <w:style w:type="character" w:customStyle="1" w:styleId="Heading5Char">
    <w:name w:val="Heading 5 Char"/>
    <w:basedOn w:val="DefaultParagraphFont"/>
    <w:link w:val="Heading5"/>
    <w:uiPriority w:val="9"/>
    <w:semiHidden/>
    <w:rsid w:val="004D1815"/>
    <w:rPr>
      <w:rFonts w:eastAsiaTheme="majorEastAsia" w:cstheme="majorBidi"/>
      <w:b/>
      <w:color w:val="002554" w:themeColor="text1"/>
      <w:spacing w:val="-5"/>
      <w:sz w:val="18"/>
    </w:rPr>
  </w:style>
  <w:style w:type="numbering" w:customStyle="1" w:styleId="ListHeadings">
    <w:name w:val="List Headings"/>
    <w:uiPriority w:val="99"/>
    <w:rsid w:val="00D16F74"/>
    <w:pPr>
      <w:numPr>
        <w:numId w:val="3"/>
      </w:numPr>
    </w:pPr>
  </w:style>
  <w:style w:type="paragraph" w:styleId="Title">
    <w:name w:val="Title"/>
    <w:next w:val="Normal"/>
    <w:link w:val="TitleChar"/>
    <w:uiPriority w:val="10"/>
    <w:rsid w:val="008F38FC"/>
    <w:pPr>
      <w:keepLines/>
      <w:suppressAutoHyphens/>
      <w:spacing w:after="320" w:line="216" w:lineRule="auto"/>
    </w:pPr>
    <w:rPr>
      <w:rFonts w:asciiTheme="majorHAnsi" w:hAnsiTheme="majorHAnsi"/>
      <w:b/>
      <w:bCs/>
      <w:color w:val="002554" w:themeColor="text1"/>
      <w:spacing w:val="-5"/>
      <w:sz w:val="52"/>
      <w:szCs w:val="52"/>
    </w:rPr>
  </w:style>
  <w:style w:type="character" w:customStyle="1" w:styleId="TitleChar">
    <w:name w:val="Title Char"/>
    <w:basedOn w:val="DefaultParagraphFont"/>
    <w:link w:val="Title"/>
    <w:uiPriority w:val="10"/>
    <w:rsid w:val="008F38FC"/>
    <w:rPr>
      <w:rFonts w:asciiTheme="majorHAnsi" w:hAnsiTheme="majorHAnsi"/>
      <w:b/>
      <w:bCs/>
      <w:color w:val="002554" w:themeColor="text1"/>
      <w:spacing w:val="-5"/>
      <w:sz w:val="52"/>
      <w:szCs w:val="52"/>
    </w:rPr>
  </w:style>
  <w:style w:type="paragraph" w:styleId="ListBullet4">
    <w:name w:val="List Bullet 4"/>
    <w:basedOn w:val="Normal"/>
    <w:uiPriority w:val="99"/>
    <w:semiHidden/>
    <w:rsid w:val="000C1F74"/>
    <w:pPr>
      <w:spacing w:after="130" w:line="192" w:lineRule="auto"/>
    </w:pPr>
  </w:style>
  <w:style w:type="paragraph" w:customStyle="1" w:styleId="Introduction">
    <w:name w:val="Introduction"/>
    <w:basedOn w:val="Normal"/>
    <w:next w:val="BodyText"/>
    <w:link w:val="IntroductionChar"/>
    <w:uiPriority w:val="6"/>
    <w:qFormat/>
    <w:rsid w:val="00F57F42"/>
    <w:pPr>
      <w:spacing w:before="180"/>
    </w:pPr>
    <w:rPr>
      <w:rFonts w:cstheme="majorHAnsi"/>
      <w:b/>
      <w:bCs/>
    </w:rPr>
  </w:style>
  <w:style w:type="character" w:styleId="FollowedHyperlink">
    <w:name w:val="FollowedHyperlink"/>
    <w:basedOn w:val="DefaultParagraphFont"/>
    <w:uiPriority w:val="99"/>
    <w:rsid w:val="002933C3"/>
    <w:rPr>
      <w:color w:val="002554" w:themeColor="text1"/>
      <w:u w:val="single"/>
    </w:rPr>
  </w:style>
  <w:style w:type="character" w:customStyle="1" w:styleId="IntroductionChar">
    <w:name w:val="Introduction Char"/>
    <w:basedOn w:val="DefaultParagraphFont"/>
    <w:link w:val="Introduction"/>
    <w:uiPriority w:val="6"/>
    <w:rsid w:val="000A3A9D"/>
    <w:rPr>
      <w:rFonts w:cstheme="majorHAnsi"/>
      <w:b/>
      <w:bCs/>
      <w:color w:val="002554" w:themeColor="text1"/>
      <w:spacing w:val="-5"/>
      <w:sz w:val="24"/>
    </w:rPr>
  </w:style>
  <w:style w:type="paragraph" w:styleId="ListContinue5">
    <w:name w:val="List Continue 5"/>
    <w:basedOn w:val="Normal"/>
    <w:uiPriority w:val="99"/>
    <w:semiHidden/>
    <w:rsid w:val="00593314"/>
    <w:pPr>
      <w:ind w:left="1415"/>
      <w:contextualSpacing/>
    </w:pPr>
  </w:style>
  <w:style w:type="table" w:styleId="TableGrid">
    <w:name w:val="Table Grid"/>
    <w:basedOn w:val="TableNormal"/>
    <w:uiPriority w:val="39"/>
    <w:rsid w:val="002E27D5"/>
    <w:pPr>
      <w:spacing w:after="0" w:line="240" w:lineRule="auto"/>
    </w:pPr>
    <w:tblPr>
      <w:tblBorders>
        <w:top w:val="single" w:sz="4" w:space="0" w:color="002554" w:themeColor="accent1"/>
        <w:bottom w:val="single" w:sz="4" w:space="0" w:color="002554" w:themeColor="accent1"/>
        <w:insideH w:val="single" w:sz="4" w:space="0" w:color="002554" w:themeColor="accent1"/>
      </w:tblBorders>
      <w:tblCellMar>
        <w:left w:w="0" w:type="dxa"/>
        <w:right w:w="170" w:type="dxa"/>
      </w:tblCellMar>
    </w:tblPr>
    <w:tblStylePr w:type="firstRow">
      <w:tblPr/>
      <w:tcPr>
        <w:vAlign w:val="bottom"/>
      </w:tcPr>
    </w:tblStylePr>
  </w:style>
  <w:style w:type="paragraph" w:styleId="Caption">
    <w:name w:val="caption"/>
    <w:basedOn w:val="Normal"/>
    <w:next w:val="BodyText"/>
    <w:uiPriority w:val="8"/>
    <w:qFormat/>
    <w:rsid w:val="00202F87"/>
    <w:pPr>
      <w:keepNext/>
      <w:keepLines/>
      <w:spacing w:before="280" w:after="160" w:line="240" w:lineRule="auto"/>
    </w:pPr>
    <w:rPr>
      <w:b/>
      <w:iCs/>
      <w:spacing w:val="0"/>
      <w:szCs w:val="18"/>
    </w:rPr>
  </w:style>
  <w:style w:type="paragraph" w:styleId="List">
    <w:name w:val="List"/>
    <w:basedOn w:val="Normal"/>
    <w:uiPriority w:val="99"/>
    <w:semiHidden/>
    <w:rsid w:val="00E25474"/>
    <w:pPr>
      <w:numPr>
        <w:numId w:val="4"/>
      </w:numPr>
      <w:contextualSpacing/>
    </w:pPr>
  </w:style>
  <w:style w:type="paragraph" w:styleId="List2">
    <w:name w:val="List 2"/>
    <w:basedOn w:val="Normal"/>
    <w:uiPriority w:val="99"/>
    <w:semiHidden/>
    <w:rsid w:val="00E25474"/>
    <w:pPr>
      <w:numPr>
        <w:ilvl w:val="1"/>
        <w:numId w:val="4"/>
      </w:numPr>
      <w:contextualSpacing/>
    </w:pPr>
  </w:style>
  <w:style w:type="paragraph" w:styleId="Subtitle">
    <w:name w:val="Subtitle"/>
    <w:link w:val="SubtitleChar"/>
    <w:uiPriority w:val="11"/>
    <w:rsid w:val="009A06F2"/>
    <w:pPr>
      <w:keepLines/>
      <w:spacing w:after="480" w:line="216" w:lineRule="auto"/>
      <w:ind w:right="1418"/>
    </w:pPr>
    <w:rPr>
      <w:color w:val="002554" w:themeColor="text1"/>
      <w:spacing w:val="-8"/>
      <w:sz w:val="36"/>
      <w:szCs w:val="36"/>
    </w:rPr>
  </w:style>
  <w:style w:type="character" w:customStyle="1" w:styleId="SubtitleChar">
    <w:name w:val="Subtitle Char"/>
    <w:basedOn w:val="DefaultParagraphFont"/>
    <w:link w:val="Subtitle"/>
    <w:uiPriority w:val="11"/>
    <w:rsid w:val="009A06F2"/>
    <w:rPr>
      <w:color w:val="002554" w:themeColor="text1"/>
      <w:spacing w:val="-8"/>
      <w:sz w:val="36"/>
      <w:szCs w:val="36"/>
    </w:rPr>
  </w:style>
  <w:style w:type="paragraph" w:styleId="TOCHeading">
    <w:name w:val="TOC Heading"/>
    <w:basedOn w:val="Heading1"/>
    <w:next w:val="BodyText"/>
    <w:uiPriority w:val="39"/>
    <w:rsid w:val="00E415DB"/>
    <w:pPr>
      <w:spacing w:before="600"/>
      <w:outlineLvl w:val="9"/>
    </w:pPr>
  </w:style>
  <w:style w:type="paragraph" w:styleId="TOC1">
    <w:name w:val="toc 1"/>
    <w:uiPriority w:val="39"/>
    <w:rsid w:val="00CA396E"/>
    <w:pPr>
      <w:pBdr>
        <w:bottom w:val="single" w:sz="2" w:space="3" w:color="002554" w:themeColor="accent1"/>
        <w:between w:val="single" w:sz="2" w:space="1" w:color="002554" w:themeColor="accent1"/>
      </w:pBdr>
      <w:tabs>
        <w:tab w:val="right" w:pos="8222"/>
      </w:tabs>
      <w:spacing w:before="120" w:after="40" w:line="240" w:lineRule="auto"/>
    </w:pPr>
    <w:rPr>
      <w:rFonts w:eastAsiaTheme="minorEastAsia"/>
      <w:b/>
      <w:noProof/>
      <w:color w:val="002554" w:themeColor="text1"/>
      <w:sz w:val="24"/>
      <w:szCs w:val="20"/>
      <w:u w:color="D50032"/>
    </w:rPr>
  </w:style>
  <w:style w:type="paragraph" w:styleId="TOC2">
    <w:name w:val="toc 2"/>
    <w:basedOn w:val="TOC1"/>
    <w:uiPriority w:val="39"/>
    <w:rsid w:val="00D85FBA"/>
    <w:rPr>
      <w:b w:val="0"/>
      <w:szCs w:val="24"/>
    </w:rPr>
  </w:style>
  <w:style w:type="paragraph" w:styleId="TOC3">
    <w:name w:val="toc 3"/>
    <w:basedOn w:val="TOC2"/>
    <w:uiPriority w:val="39"/>
    <w:rsid w:val="00D85FBA"/>
    <w:pPr>
      <w:ind w:left="284"/>
    </w:pPr>
  </w:style>
  <w:style w:type="character" w:styleId="Hyperlink">
    <w:name w:val="Hyperlink"/>
    <w:basedOn w:val="DefaultParagraphFont"/>
    <w:uiPriority w:val="99"/>
    <w:unhideWhenUsed/>
    <w:rsid w:val="00D402E8"/>
    <w:rPr>
      <w:rFonts w:ascii="Roboto" w:hAnsi="Roboto"/>
      <w:color w:val="002554" w:themeColor="hyperlink"/>
      <w:u w:val="single"/>
    </w:rPr>
  </w:style>
  <w:style w:type="paragraph" w:styleId="EndnoteText">
    <w:name w:val="endnote text"/>
    <w:basedOn w:val="Normal"/>
    <w:link w:val="EndnoteTextChar"/>
    <w:uiPriority w:val="99"/>
    <w:rsid w:val="004B5074"/>
    <w:pPr>
      <w:spacing w:after="80" w:line="240" w:lineRule="auto"/>
    </w:pPr>
    <w:rPr>
      <w:spacing w:val="-3"/>
      <w:sz w:val="20"/>
      <w:szCs w:val="20"/>
    </w:rPr>
  </w:style>
  <w:style w:type="paragraph" w:customStyle="1" w:styleId="QuoteBold">
    <w:name w:val="Quote Bold"/>
    <w:basedOn w:val="Normal"/>
    <w:next w:val="QuoteAttribution"/>
    <w:link w:val="QuoteBoldChar"/>
    <w:uiPriority w:val="4"/>
    <w:rsid w:val="000C1E3F"/>
    <w:pPr>
      <w:keepLines/>
      <w:spacing w:line="288" w:lineRule="auto"/>
      <w:ind w:left="340"/>
    </w:pPr>
    <w:rPr>
      <w:b/>
      <w:sz w:val="26"/>
    </w:rPr>
  </w:style>
  <w:style w:type="paragraph" w:customStyle="1" w:styleId="QuoteAttribution">
    <w:name w:val="Quote Attribution"/>
    <w:next w:val="BodyText"/>
    <w:link w:val="QuoteAttributionChar"/>
    <w:uiPriority w:val="11"/>
    <w:rsid w:val="002E27D5"/>
    <w:pPr>
      <w:keepLines/>
      <w:spacing w:after="320" w:line="240" w:lineRule="auto"/>
      <w:ind w:left="340"/>
    </w:pPr>
    <w:rPr>
      <w:color w:val="002554" w:themeColor="text1"/>
      <w:spacing w:val="-5"/>
      <w:sz w:val="24"/>
    </w:rPr>
  </w:style>
  <w:style w:type="character" w:customStyle="1" w:styleId="QuoteBoldChar">
    <w:name w:val="Quote Bold Char"/>
    <w:basedOn w:val="DefaultParagraphFont"/>
    <w:link w:val="QuoteBold"/>
    <w:uiPriority w:val="4"/>
    <w:rsid w:val="000C1E3F"/>
    <w:rPr>
      <w:b/>
      <w:color w:val="002554" w:themeColor="text1"/>
      <w:spacing w:val="-5"/>
      <w:sz w:val="26"/>
    </w:rPr>
  </w:style>
  <w:style w:type="paragraph" w:styleId="FootnoteText">
    <w:name w:val="footnote text"/>
    <w:basedOn w:val="Normal"/>
    <w:link w:val="FootnoteTextChar"/>
    <w:uiPriority w:val="99"/>
    <w:rsid w:val="00A12289"/>
    <w:pPr>
      <w:spacing w:after="80" w:line="240" w:lineRule="auto"/>
      <w:ind w:left="284" w:hanging="284"/>
    </w:pPr>
    <w:rPr>
      <w:bCs/>
      <w:spacing w:val="-3"/>
      <w:sz w:val="20"/>
      <w:szCs w:val="20"/>
    </w:rPr>
  </w:style>
  <w:style w:type="character" w:customStyle="1" w:styleId="QuoteAttributionChar">
    <w:name w:val="Quote Attribution Char"/>
    <w:basedOn w:val="QuoteBoldChar"/>
    <w:link w:val="QuoteAttribution"/>
    <w:uiPriority w:val="11"/>
    <w:rsid w:val="002E27D5"/>
    <w:rPr>
      <w:b w:val="0"/>
      <w:color w:val="002554" w:themeColor="text1"/>
      <w:spacing w:val="-5"/>
      <w:sz w:val="24"/>
    </w:rPr>
  </w:style>
  <w:style w:type="character" w:customStyle="1" w:styleId="FootnoteTextChar">
    <w:name w:val="Footnote Text Char"/>
    <w:basedOn w:val="DefaultParagraphFont"/>
    <w:link w:val="FootnoteText"/>
    <w:uiPriority w:val="99"/>
    <w:rsid w:val="00A12289"/>
    <w:rPr>
      <w:bCs/>
      <w:color w:val="002554" w:themeColor="text1"/>
      <w:spacing w:val="-3"/>
      <w:sz w:val="20"/>
      <w:szCs w:val="20"/>
    </w:rPr>
  </w:style>
  <w:style w:type="character" w:styleId="FootnoteReference">
    <w:name w:val="footnote reference"/>
    <w:basedOn w:val="DefaultParagraphFont"/>
    <w:uiPriority w:val="99"/>
    <w:rsid w:val="00214529"/>
    <w:rPr>
      <w:vertAlign w:val="superscript"/>
    </w:rPr>
  </w:style>
  <w:style w:type="character" w:customStyle="1" w:styleId="NoSpacingChar">
    <w:name w:val="No Spacing Char"/>
    <w:basedOn w:val="DefaultParagraphFont"/>
    <w:link w:val="NoSpacing"/>
    <w:uiPriority w:val="1"/>
    <w:semiHidden/>
    <w:rsid w:val="000C278E"/>
    <w:rPr>
      <w:color w:val="002554" w:themeColor="text1"/>
      <w:spacing w:val="-5"/>
      <w:sz w:val="24"/>
    </w:rPr>
  </w:style>
  <w:style w:type="paragraph" w:customStyle="1" w:styleId="QuoteLarge">
    <w:name w:val="Quote Large"/>
    <w:basedOn w:val="Normal"/>
    <w:next w:val="QuoteLargeAttribution"/>
    <w:link w:val="QuoteLargeChar"/>
    <w:uiPriority w:val="4"/>
    <w:rsid w:val="002233DA"/>
    <w:pPr>
      <w:keepLines/>
      <w:spacing w:before="360" w:after="360" w:line="216" w:lineRule="auto"/>
      <w:ind w:left="340"/>
    </w:pPr>
    <w:rPr>
      <w:b/>
      <w:bCs/>
      <w:spacing w:val="-8"/>
      <w:sz w:val="36"/>
      <w:szCs w:val="36"/>
    </w:rPr>
  </w:style>
  <w:style w:type="paragraph" w:customStyle="1" w:styleId="QuoteLargeAttribution">
    <w:name w:val="Quote Large Attribution"/>
    <w:link w:val="QuoteLargeAttributionChar"/>
    <w:uiPriority w:val="4"/>
    <w:rsid w:val="002233DA"/>
    <w:pPr>
      <w:keepLines/>
      <w:spacing w:after="320" w:line="240" w:lineRule="auto"/>
      <w:ind w:left="340"/>
    </w:pPr>
    <w:rPr>
      <w:color w:val="002554" w:themeColor="text1"/>
      <w:spacing w:val="-6"/>
      <w:sz w:val="28"/>
      <w:szCs w:val="28"/>
    </w:rPr>
  </w:style>
  <w:style w:type="character" w:customStyle="1" w:styleId="QuoteLargeChar">
    <w:name w:val="Quote Large Char"/>
    <w:basedOn w:val="DefaultParagraphFont"/>
    <w:link w:val="QuoteLarge"/>
    <w:uiPriority w:val="4"/>
    <w:rsid w:val="002233DA"/>
    <w:rPr>
      <w:b/>
      <w:bCs/>
      <w:color w:val="002554" w:themeColor="text1"/>
      <w:spacing w:val="-8"/>
      <w:sz w:val="36"/>
      <w:szCs w:val="36"/>
    </w:rPr>
  </w:style>
  <w:style w:type="character" w:styleId="Strong">
    <w:name w:val="Strong"/>
    <w:basedOn w:val="DefaultParagraphFont"/>
    <w:uiPriority w:val="22"/>
    <w:rsid w:val="00D402E8"/>
    <w:rPr>
      <w:rFonts w:ascii="Roboto" w:hAnsi="Roboto"/>
      <w:b/>
      <w:bCs/>
    </w:rPr>
  </w:style>
  <w:style w:type="character" w:customStyle="1" w:styleId="QuoteLargeAttributionChar">
    <w:name w:val="Quote Large Attribution Char"/>
    <w:basedOn w:val="QuoteLargeChar"/>
    <w:link w:val="QuoteLargeAttribution"/>
    <w:uiPriority w:val="4"/>
    <w:rsid w:val="002233DA"/>
    <w:rPr>
      <w:b w:val="0"/>
      <w:bCs w:val="0"/>
      <w:color w:val="002554" w:themeColor="text1"/>
      <w:spacing w:val="-6"/>
      <w:sz w:val="28"/>
      <w:szCs w:val="28"/>
    </w:rPr>
  </w:style>
  <w:style w:type="character" w:customStyle="1" w:styleId="Heading6Char">
    <w:name w:val="Heading 6 Char"/>
    <w:basedOn w:val="DefaultParagraphFont"/>
    <w:link w:val="Heading6"/>
    <w:uiPriority w:val="9"/>
    <w:semiHidden/>
    <w:rsid w:val="004D1815"/>
    <w:rPr>
      <w:rFonts w:eastAsiaTheme="majorEastAsia" w:cstheme="majorBidi"/>
      <w:color w:val="002554" w:themeColor="text1"/>
      <w:spacing w:val="-5"/>
      <w:sz w:val="18"/>
    </w:rPr>
  </w:style>
  <w:style w:type="character" w:styleId="CommentReference">
    <w:name w:val="annotation reference"/>
    <w:basedOn w:val="DefaultParagraphFont"/>
    <w:uiPriority w:val="99"/>
    <w:semiHidden/>
    <w:unhideWhenUsed/>
    <w:rsid w:val="005105FF"/>
    <w:rPr>
      <w:sz w:val="16"/>
      <w:szCs w:val="16"/>
    </w:rPr>
  </w:style>
  <w:style w:type="paragraph" w:styleId="CommentText">
    <w:name w:val="annotation text"/>
    <w:basedOn w:val="Normal"/>
    <w:link w:val="CommentTextChar"/>
    <w:uiPriority w:val="99"/>
    <w:semiHidden/>
    <w:rsid w:val="005105FF"/>
    <w:pPr>
      <w:spacing w:line="240" w:lineRule="auto"/>
    </w:pPr>
    <w:rPr>
      <w:sz w:val="20"/>
      <w:szCs w:val="20"/>
    </w:rPr>
  </w:style>
  <w:style w:type="character" w:customStyle="1" w:styleId="CommentTextChar">
    <w:name w:val="Comment Text Char"/>
    <w:basedOn w:val="DefaultParagraphFont"/>
    <w:link w:val="CommentText"/>
    <w:uiPriority w:val="99"/>
    <w:semiHidden/>
    <w:rsid w:val="003C21C6"/>
    <w:rPr>
      <w:color w:val="002554" w:themeColor="text1"/>
      <w:spacing w:val="-5"/>
      <w:sz w:val="20"/>
      <w:szCs w:val="20"/>
    </w:rPr>
  </w:style>
  <w:style w:type="paragraph" w:styleId="CommentSubject">
    <w:name w:val="annotation subject"/>
    <w:basedOn w:val="CommentText"/>
    <w:next w:val="CommentText"/>
    <w:link w:val="CommentSubjectChar"/>
    <w:uiPriority w:val="99"/>
    <w:semiHidden/>
    <w:unhideWhenUsed/>
    <w:rsid w:val="005105FF"/>
    <w:rPr>
      <w:b/>
      <w:bCs/>
    </w:rPr>
  </w:style>
  <w:style w:type="character" w:customStyle="1" w:styleId="CommentSubjectChar">
    <w:name w:val="Comment Subject Char"/>
    <w:basedOn w:val="CommentTextChar"/>
    <w:link w:val="CommentSubject"/>
    <w:uiPriority w:val="99"/>
    <w:semiHidden/>
    <w:rsid w:val="005105FF"/>
    <w:rPr>
      <w:rFonts w:ascii="Roboto" w:hAnsi="Roboto"/>
      <w:b/>
      <w:bCs/>
      <w:color w:val="002554"/>
      <w:spacing w:val="-5"/>
      <w:sz w:val="20"/>
      <w:szCs w:val="20"/>
    </w:rPr>
  </w:style>
  <w:style w:type="paragraph" w:styleId="BodyText">
    <w:name w:val="Body Text"/>
    <w:basedOn w:val="Normal"/>
    <w:link w:val="BodyTextChar"/>
    <w:qFormat/>
    <w:rsid w:val="00A12DEA"/>
  </w:style>
  <w:style w:type="character" w:customStyle="1" w:styleId="BodyTextChar">
    <w:name w:val="Body Text Char"/>
    <w:basedOn w:val="DefaultParagraphFont"/>
    <w:link w:val="BodyText"/>
    <w:rsid w:val="000A3A9D"/>
    <w:rPr>
      <w:color w:val="002554" w:themeColor="text1"/>
      <w:spacing w:val="-5"/>
      <w:sz w:val="24"/>
    </w:rPr>
  </w:style>
  <w:style w:type="paragraph" w:customStyle="1" w:styleId="BodyTextAfterBullets">
    <w:name w:val="Body Text After Bullets"/>
    <w:basedOn w:val="BodyText"/>
    <w:uiPriority w:val="1"/>
    <w:qFormat/>
    <w:rsid w:val="00F57F42"/>
    <w:pPr>
      <w:spacing w:before="180"/>
    </w:pPr>
  </w:style>
  <w:style w:type="paragraph" w:customStyle="1" w:styleId="TableBody">
    <w:name w:val="Table Body"/>
    <w:uiPriority w:val="9"/>
    <w:qFormat/>
    <w:rsid w:val="00ED43DE"/>
    <w:pPr>
      <w:spacing w:before="80" w:after="80" w:line="240" w:lineRule="auto"/>
    </w:pPr>
    <w:rPr>
      <w:color w:val="002554" w:themeColor="text1"/>
      <w:spacing w:val="-5"/>
      <w:sz w:val="24"/>
    </w:rPr>
  </w:style>
  <w:style w:type="paragraph" w:customStyle="1" w:styleId="TableHeaderRow">
    <w:name w:val="Table Header Row"/>
    <w:basedOn w:val="TableBody"/>
    <w:uiPriority w:val="9"/>
    <w:qFormat/>
    <w:rsid w:val="00ED43DE"/>
    <w:rPr>
      <w:b/>
      <w:bCs/>
    </w:rPr>
  </w:style>
  <w:style w:type="paragraph" w:customStyle="1" w:styleId="TableFirstColumn">
    <w:name w:val="Table First Column"/>
    <w:basedOn w:val="TableBody"/>
    <w:uiPriority w:val="9"/>
    <w:qFormat/>
    <w:rsid w:val="00054ABD"/>
    <w:rPr>
      <w:b/>
    </w:rPr>
  </w:style>
  <w:style w:type="paragraph" w:styleId="Quote">
    <w:name w:val="Quote"/>
    <w:basedOn w:val="BodyText"/>
    <w:next w:val="Normal"/>
    <w:link w:val="QuoteChar"/>
    <w:uiPriority w:val="11"/>
    <w:rsid w:val="000C1E3F"/>
    <w:pPr>
      <w:keepLines/>
      <w:spacing w:line="288" w:lineRule="auto"/>
      <w:ind w:left="340"/>
    </w:pPr>
    <w:rPr>
      <w:iCs/>
    </w:rPr>
  </w:style>
  <w:style w:type="character" w:customStyle="1" w:styleId="QuoteChar">
    <w:name w:val="Quote Char"/>
    <w:basedOn w:val="DefaultParagraphFont"/>
    <w:link w:val="Quote"/>
    <w:uiPriority w:val="11"/>
    <w:rsid w:val="000C1E3F"/>
    <w:rPr>
      <w:iCs/>
      <w:color w:val="002554" w:themeColor="text1"/>
      <w:spacing w:val="-5"/>
      <w:sz w:val="24"/>
    </w:rPr>
  </w:style>
  <w:style w:type="paragraph" w:customStyle="1" w:styleId="TableBullet">
    <w:name w:val="Table Bullet"/>
    <w:basedOn w:val="TableBody"/>
    <w:uiPriority w:val="9"/>
    <w:qFormat/>
    <w:rsid w:val="002E27D5"/>
    <w:pPr>
      <w:numPr>
        <w:numId w:val="23"/>
      </w:numPr>
    </w:pPr>
  </w:style>
  <w:style w:type="character" w:customStyle="1" w:styleId="EndnoteTextChar">
    <w:name w:val="Endnote Text Char"/>
    <w:basedOn w:val="DefaultParagraphFont"/>
    <w:link w:val="EndnoteText"/>
    <w:uiPriority w:val="99"/>
    <w:rsid w:val="004B5074"/>
    <w:rPr>
      <w:color w:val="002554" w:themeColor="text1"/>
      <w:spacing w:val="-3"/>
      <w:sz w:val="20"/>
      <w:szCs w:val="20"/>
    </w:rPr>
  </w:style>
  <w:style w:type="numbering" w:customStyle="1" w:styleId="TableBullets">
    <w:name w:val="Table Bullets"/>
    <w:basedOn w:val="NoList"/>
    <w:uiPriority w:val="99"/>
    <w:rsid w:val="002E27D5"/>
    <w:pPr>
      <w:numPr>
        <w:numId w:val="17"/>
      </w:numPr>
    </w:pPr>
  </w:style>
  <w:style w:type="paragraph" w:customStyle="1" w:styleId="HeaderWithLine">
    <w:name w:val="Header With Line"/>
    <w:rsid w:val="002E27D5"/>
    <w:pPr>
      <w:pBdr>
        <w:bottom w:val="single" w:sz="2" w:space="4" w:color="002554" w:themeColor="accent1"/>
      </w:pBdr>
      <w:tabs>
        <w:tab w:val="right" w:pos="9923"/>
      </w:tabs>
      <w:spacing w:after="0" w:line="240" w:lineRule="auto"/>
      <w:ind w:right="-8505"/>
    </w:pPr>
    <w:rPr>
      <w:color w:val="002554" w:themeColor="text1"/>
      <w:sz w:val="20"/>
    </w:rPr>
  </w:style>
  <w:style w:type="paragraph" w:styleId="BodyTextIndent">
    <w:name w:val="Body Text Indent"/>
    <w:basedOn w:val="BodyText"/>
    <w:link w:val="BodyTextIndentChar"/>
    <w:uiPriority w:val="99"/>
    <w:rsid w:val="00F416F3"/>
    <w:pPr>
      <w:ind w:left="340"/>
    </w:pPr>
  </w:style>
  <w:style w:type="character" w:customStyle="1" w:styleId="BodyTextIndentChar">
    <w:name w:val="Body Text Indent Char"/>
    <w:basedOn w:val="DefaultParagraphFont"/>
    <w:link w:val="BodyTextIndent"/>
    <w:uiPriority w:val="99"/>
    <w:rsid w:val="00F416F3"/>
    <w:rPr>
      <w:color w:val="002554" w:themeColor="text1"/>
      <w:spacing w:val="-5"/>
      <w:sz w:val="24"/>
    </w:rPr>
  </w:style>
  <w:style w:type="character" w:styleId="UnresolvedMention">
    <w:name w:val="Unresolved Mention"/>
    <w:basedOn w:val="DefaultParagraphFont"/>
    <w:uiPriority w:val="99"/>
    <w:semiHidden/>
    <w:unhideWhenUsed/>
    <w:rsid w:val="00F416F3"/>
    <w:rPr>
      <w:color w:val="605E5C"/>
      <w:shd w:val="clear" w:color="auto" w:fill="E1DFDD"/>
    </w:rPr>
  </w:style>
  <w:style w:type="character" w:styleId="Emphasis">
    <w:name w:val="Emphasis"/>
    <w:basedOn w:val="DefaultParagraphFont"/>
    <w:uiPriority w:val="20"/>
    <w:rsid w:val="00E70791"/>
    <w:rPr>
      <w:i/>
      <w:iCs/>
    </w:rPr>
  </w:style>
  <w:style w:type="paragraph" w:styleId="Revision">
    <w:name w:val="Revision"/>
    <w:hidden/>
    <w:uiPriority w:val="99"/>
    <w:semiHidden/>
    <w:rsid w:val="006F54DA"/>
    <w:pPr>
      <w:spacing w:after="0" w:line="240" w:lineRule="auto"/>
    </w:pPr>
    <w:rPr>
      <w:color w:val="002554" w:themeColor="text1"/>
      <w:spacing w:val="-5"/>
      <w:sz w:val="24"/>
    </w:rPr>
  </w:style>
  <w:style w:type="paragraph" w:customStyle="1" w:styleId="QuoteItalic">
    <w:name w:val="Quote Italic"/>
    <w:basedOn w:val="QuoteBold"/>
    <w:rsid w:val="00A33840"/>
    <w:rPr>
      <w:b w:val="0"/>
      <w:bCs/>
      <w:i/>
      <w:iCs/>
    </w:rPr>
  </w:style>
  <w:style w:type="character" w:customStyle="1" w:styleId="normaltextrun">
    <w:name w:val="normaltextrun"/>
    <w:basedOn w:val="DefaultParagraphFont"/>
    <w:rsid w:val="008C6E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174362">
      <w:bodyDiv w:val="1"/>
      <w:marLeft w:val="0"/>
      <w:marRight w:val="0"/>
      <w:marTop w:val="0"/>
      <w:marBottom w:val="0"/>
      <w:divBdr>
        <w:top w:val="none" w:sz="0" w:space="0" w:color="auto"/>
        <w:left w:val="none" w:sz="0" w:space="0" w:color="auto"/>
        <w:bottom w:val="none" w:sz="0" w:space="0" w:color="auto"/>
        <w:right w:val="none" w:sz="0" w:space="0" w:color="auto"/>
      </w:divBdr>
    </w:div>
    <w:div w:id="1750417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8/08/relationships/commentsExtensible" Target="commentsExtensible.xm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hyperlink" Target="https://workplace.ourwatch.org.au/resource/practice-guidance-reducing-risk-in-workplace-initiatives-to-prevent-violence-against-women" TargetMode="External"/><Relationship Id="rId23" Type="http://schemas.openxmlformats.org/officeDocument/2006/relationships/customXml" Target="../customXml/item4.xml"/><Relationship Id="rId10" Type="http://schemas.openxmlformats.org/officeDocument/2006/relationships/comments" Target="comments.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s://www.respectvictoria.vic.gov.au/sites/default/files/documents/202208/Tool%20for%20Identifying%20and%20Addressing%20Resistance%20and%20Backlash%20%281%29_0.PDF" TargetMode="External"/><Relationship Id="rId14" Type="http://schemas.openxmlformats.org/officeDocument/2006/relationships/hyperlink" Target="https://workplace.ourwatch.org.au" TargetMode="External"/><Relationship Id="rId22"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www.whin.org.au/wp-content/uploads/sites/2/2021/03/WHIN_Communications-Guidelines_WEB_Final9_6_20.pdf" TargetMode="External"/></Relationships>
</file>

<file path=word/theme/theme1.xml><?xml version="1.0" encoding="utf-8"?>
<a:theme xmlns:a="http://schemas.openxmlformats.org/drawingml/2006/main" name="Office Theme">
  <a:themeElements>
    <a:clrScheme name="Our Watch 170523">
      <a:dk1>
        <a:srgbClr val="002554"/>
      </a:dk1>
      <a:lt1>
        <a:sysClr val="window" lastClr="FFFFFF"/>
      </a:lt1>
      <a:dk2>
        <a:srgbClr val="FFFFFF"/>
      </a:dk2>
      <a:lt2>
        <a:srgbClr val="F9F1E9"/>
      </a:lt2>
      <a:accent1>
        <a:srgbClr val="002554"/>
      </a:accent1>
      <a:accent2>
        <a:srgbClr val="E0E5EA"/>
      </a:accent2>
      <a:accent3>
        <a:srgbClr val="8FCAB9"/>
      </a:accent3>
      <a:accent4>
        <a:srgbClr val="D8ECE6"/>
      </a:accent4>
      <a:accent5>
        <a:srgbClr val="C4CDD8"/>
      </a:accent5>
      <a:accent6>
        <a:srgbClr val="B1DACE"/>
      </a:accent6>
      <a:hlink>
        <a:srgbClr val="002554"/>
      </a:hlink>
      <a:folHlink>
        <a:srgbClr val="002554"/>
      </a:folHlink>
    </a:clrScheme>
    <a:fontScheme name="Our Watch Roboto">
      <a:majorFont>
        <a:latin typeface="Roboto"/>
        <a:ea typeface=""/>
        <a:cs typeface=""/>
      </a:majorFont>
      <a:minorFont>
        <a:latin typeface="Robot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B03D856CF1237418DF14C5037866882" ma:contentTypeVersion="18" ma:contentTypeDescription="Create a new document." ma:contentTypeScope="" ma:versionID="88a5a91db48de49da890a2337078991a">
  <xsd:schema xmlns:xsd="http://www.w3.org/2001/XMLSchema" xmlns:xs="http://www.w3.org/2001/XMLSchema" xmlns:p="http://schemas.microsoft.com/office/2006/metadata/properties" xmlns:ns2="24655829-77b5-4572-9306-0706e327d7ed" xmlns:ns3="ef89dfe1-2fd6-4ffd-966a-b6a657178080" targetNamespace="http://schemas.microsoft.com/office/2006/metadata/properties" ma:root="true" ma:fieldsID="e83577aeee1e8a0e764d951106682179" ns2:_="" ns3:_="">
    <xsd:import namespace="24655829-77b5-4572-9306-0706e327d7ed"/>
    <xsd:import namespace="ef89dfe1-2fd6-4ffd-966a-b6a65717808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655829-77b5-4572-9306-0706e327d7ed"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48c6f5f-df8e-4631-88e7-6cf327a6d2c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f89dfe1-2fd6-4ffd-966a-b6a65717808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c7d98ecb-df8c-4513-86e4-a793d8ddbd9c}" ma:internalName="TaxCatchAll" ma:showField="CatchAllData" ma:web="ef89dfe1-2fd6-4ffd-966a-b6a6571780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ef89dfe1-2fd6-4ffd-966a-b6a657178080" xsi:nil="true"/>
    <lcf76f155ced4ddcb4097134ff3c332f xmlns="24655829-77b5-4572-9306-0706e327d7e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5051BFF-30E5-410D-B231-23FC8F8D9D13}">
  <ds:schemaRefs>
    <ds:schemaRef ds:uri="http://schemas.openxmlformats.org/officeDocument/2006/bibliography"/>
  </ds:schemaRefs>
</ds:datastoreItem>
</file>

<file path=customXml/itemProps2.xml><?xml version="1.0" encoding="utf-8"?>
<ds:datastoreItem xmlns:ds="http://schemas.openxmlformats.org/officeDocument/2006/customXml" ds:itemID="{7E4E60BD-CCA3-491D-BCE4-ED7B9D2A9506}"/>
</file>

<file path=customXml/itemProps3.xml><?xml version="1.0" encoding="utf-8"?>
<ds:datastoreItem xmlns:ds="http://schemas.openxmlformats.org/officeDocument/2006/customXml" ds:itemID="{AEE12544-97EA-4B27-99BD-C3BFB13CADAD}"/>
</file>

<file path=customXml/itemProps4.xml><?xml version="1.0" encoding="utf-8"?>
<ds:datastoreItem xmlns:ds="http://schemas.openxmlformats.org/officeDocument/2006/customXml" ds:itemID="{65B47AC9-CEB2-4958-8DBD-4550BBDA1907}"/>
</file>

<file path=docProps/app.xml><?xml version="1.0" encoding="utf-8"?>
<Properties xmlns="http://schemas.openxmlformats.org/officeDocument/2006/extended-properties" xmlns:vt="http://schemas.openxmlformats.org/officeDocument/2006/docPropsVTypes">
  <Template>Normal</Template>
  <TotalTime>7</TotalTime>
  <Pages>4</Pages>
  <Words>1207</Words>
  <Characters>6884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Tip sheet: Addressing and reducing resistance to preventing sexual harassment and violence against women</vt:lpstr>
    </vt:vector>
  </TitlesOfParts>
  <Manager/>
  <Company>Our Watch</Company>
  <LinksUpToDate>false</LinksUpToDate>
  <CharactersWithSpaces>8075</CharactersWithSpaces>
  <SharedDoc>false</SharedDoc>
  <HyperlinkBase/>
  <HLinks>
    <vt:vector size="102" baseType="variant">
      <vt:variant>
        <vt:i4>1572916</vt:i4>
      </vt:variant>
      <vt:variant>
        <vt:i4>98</vt:i4>
      </vt:variant>
      <vt:variant>
        <vt:i4>0</vt:i4>
      </vt:variant>
      <vt:variant>
        <vt:i4>5</vt:i4>
      </vt:variant>
      <vt:variant>
        <vt:lpwstr/>
      </vt:variant>
      <vt:variant>
        <vt:lpwstr>_Toc131603499</vt:lpwstr>
      </vt:variant>
      <vt:variant>
        <vt:i4>1572916</vt:i4>
      </vt:variant>
      <vt:variant>
        <vt:i4>92</vt:i4>
      </vt:variant>
      <vt:variant>
        <vt:i4>0</vt:i4>
      </vt:variant>
      <vt:variant>
        <vt:i4>5</vt:i4>
      </vt:variant>
      <vt:variant>
        <vt:lpwstr/>
      </vt:variant>
      <vt:variant>
        <vt:lpwstr>_Toc131603498</vt:lpwstr>
      </vt:variant>
      <vt:variant>
        <vt:i4>1572916</vt:i4>
      </vt:variant>
      <vt:variant>
        <vt:i4>86</vt:i4>
      </vt:variant>
      <vt:variant>
        <vt:i4>0</vt:i4>
      </vt:variant>
      <vt:variant>
        <vt:i4>5</vt:i4>
      </vt:variant>
      <vt:variant>
        <vt:lpwstr/>
      </vt:variant>
      <vt:variant>
        <vt:lpwstr>_Toc131603497</vt:lpwstr>
      </vt:variant>
      <vt:variant>
        <vt:i4>1572916</vt:i4>
      </vt:variant>
      <vt:variant>
        <vt:i4>80</vt:i4>
      </vt:variant>
      <vt:variant>
        <vt:i4>0</vt:i4>
      </vt:variant>
      <vt:variant>
        <vt:i4>5</vt:i4>
      </vt:variant>
      <vt:variant>
        <vt:lpwstr/>
      </vt:variant>
      <vt:variant>
        <vt:lpwstr>_Toc131603496</vt:lpwstr>
      </vt:variant>
      <vt:variant>
        <vt:i4>1572916</vt:i4>
      </vt:variant>
      <vt:variant>
        <vt:i4>74</vt:i4>
      </vt:variant>
      <vt:variant>
        <vt:i4>0</vt:i4>
      </vt:variant>
      <vt:variant>
        <vt:i4>5</vt:i4>
      </vt:variant>
      <vt:variant>
        <vt:lpwstr/>
      </vt:variant>
      <vt:variant>
        <vt:lpwstr>_Toc131603495</vt:lpwstr>
      </vt:variant>
      <vt:variant>
        <vt:i4>1572916</vt:i4>
      </vt:variant>
      <vt:variant>
        <vt:i4>68</vt:i4>
      </vt:variant>
      <vt:variant>
        <vt:i4>0</vt:i4>
      </vt:variant>
      <vt:variant>
        <vt:i4>5</vt:i4>
      </vt:variant>
      <vt:variant>
        <vt:lpwstr/>
      </vt:variant>
      <vt:variant>
        <vt:lpwstr>_Toc131603494</vt:lpwstr>
      </vt:variant>
      <vt:variant>
        <vt:i4>1572916</vt:i4>
      </vt:variant>
      <vt:variant>
        <vt:i4>62</vt:i4>
      </vt:variant>
      <vt:variant>
        <vt:i4>0</vt:i4>
      </vt:variant>
      <vt:variant>
        <vt:i4>5</vt:i4>
      </vt:variant>
      <vt:variant>
        <vt:lpwstr/>
      </vt:variant>
      <vt:variant>
        <vt:lpwstr>_Toc131603493</vt:lpwstr>
      </vt:variant>
      <vt:variant>
        <vt:i4>1572916</vt:i4>
      </vt:variant>
      <vt:variant>
        <vt:i4>56</vt:i4>
      </vt:variant>
      <vt:variant>
        <vt:i4>0</vt:i4>
      </vt:variant>
      <vt:variant>
        <vt:i4>5</vt:i4>
      </vt:variant>
      <vt:variant>
        <vt:lpwstr/>
      </vt:variant>
      <vt:variant>
        <vt:lpwstr>_Toc131603492</vt:lpwstr>
      </vt:variant>
      <vt:variant>
        <vt:i4>1572916</vt:i4>
      </vt:variant>
      <vt:variant>
        <vt:i4>50</vt:i4>
      </vt:variant>
      <vt:variant>
        <vt:i4>0</vt:i4>
      </vt:variant>
      <vt:variant>
        <vt:i4>5</vt:i4>
      </vt:variant>
      <vt:variant>
        <vt:lpwstr/>
      </vt:variant>
      <vt:variant>
        <vt:lpwstr>_Toc131603491</vt:lpwstr>
      </vt:variant>
      <vt:variant>
        <vt:i4>1572916</vt:i4>
      </vt:variant>
      <vt:variant>
        <vt:i4>44</vt:i4>
      </vt:variant>
      <vt:variant>
        <vt:i4>0</vt:i4>
      </vt:variant>
      <vt:variant>
        <vt:i4>5</vt:i4>
      </vt:variant>
      <vt:variant>
        <vt:lpwstr/>
      </vt:variant>
      <vt:variant>
        <vt:lpwstr>_Toc131603490</vt:lpwstr>
      </vt:variant>
      <vt:variant>
        <vt:i4>1638452</vt:i4>
      </vt:variant>
      <vt:variant>
        <vt:i4>38</vt:i4>
      </vt:variant>
      <vt:variant>
        <vt:i4>0</vt:i4>
      </vt:variant>
      <vt:variant>
        <vt:i4>5</vt:i4>
      </vt:variant>
      <vt:variant>
        <vt:lpwstr/>
      </vt:variant>
      <vt:variant>
        <vt:lpwstr>_Toc131603489</vt:lpwstr>
      </vt:variant>
      <vt:variant>
        <vt:i4>1638452</vt:i4>
      </vt:variant>
      <vt:variant>
        <vt:i4>32</vt:i4>
      </vt:variant>
      <vt:variant>
        <vt:i4>0</vt:i4>
      </vt:variant>
      <vt:variant>
        <vt:i4>5</vt:i4>
      </vt:variant>
      <vt:variant>
        <vt:lpwstr/>
      </vt:variant>
      <vt:variant>
        <vt:lpwstr>_Toc131603488</vt:lpwstr>
      </vt:variant>
      <vt:variant>
        <vt:i4>1638452</vt:i4>
      </vt:variant>
      <vt:variant>
        <vt:i4>26</vt:i4>
      </vt:variant>
      <vt:variant>
        <vt:i4>0</vt:i4>
      </vt:variant>
      <vt:variant>
        <vt:i4>5</vt:i4>
      </vt:variant>
      <vt:variant>
        <vt:lpwstr/>
      </vt:variant>
      <vt:variant>
        <vt:lpwstr>_Toc131603487</vt:lpwstr>
      </vt:variant>
      <vt:variant>
        <vt:i4>1638452</vt:i4>
      </vt:variant>
      <vt:variant>
        <vt:i4>20</vt:i4>
      </vt:variant>
      <vt:variant>
        <vt:i4>0</vt:i4>
      </vt:variant>
      <vt:variant>
        <vt:i4>5</vt:i4>
      </vt:variant>
      <vt:variant>
        <vt:lpwstr/>
      </vt:variant>
      <vt:variant>
        <vt:lpwstr>_Toc131603486</vt:lpwstr>
      </vt:variant>
      <vt:variant>
        <vt:i4>1638452</vt:i4>
      </vt:variant>
      <vt:variant>
        <vt:i4>14</vt:i4>
      </vt:variant>
      <vt:variant>
        <vt:i4>0</vt:i4>
      </vt:variant>
      <vt:variant>
        <vt:i4>5</vt:i4>
      </vt:variant>
      <vt:variant>
        <vt:lpwstr/>
      </vt:variant>
      <vt:variant>
        <vt:lpwstr>_Toc131603485</vt:lpwstr>
      </vt:variant>
      <vt:variant>
        <vt:i4>1638452</vt:i4>
      </vt:variant>
      <vt:variant>
        <vt:i4>8</vt:i4>
      </vt:variant>
      <vt:variant>
        <vt:i4>0</vt:i4>
      </vt:variant>
      <vt:variant>
        <vt:i4>5</vt:i4>
      </vt:variant>
      <vt:variant>
        <vt:lpwstr/>
      </vt:variant>
      <vt:variant>
        <vt:lpwstr>_Toc131603484</vt:lpwstr>
      </vt:variant>
      <vt:variant>
        <vt:i4>1638452</vt:i4>
      </vt:variant>
      <vt:variant>
        <vt:i4>2</vt:i4>
      </vt:variant>
      <vt:variant>
        <vt:i4>0</vt:i4>
      </vt:variant>
      <vt:variant>
        <vt:i4>5</vt:i4>
      </vt:variant>
      <vt:variant>
        <vt:lpwstr/>
      </vt:variant>
      <vt:variant>
        <vt:lpwstr>_Toc131603483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Tip sheet: Addressing and reducing resistance to preventing sexual harassment and violence against women</dc:title>
  <dc:subject>Sexual harassment and violence against women</dc:subject>
  <dc:creator>Our Watch</dc:creator>
  <cp:keywords/>
  <dc:description/>
  <cp:lastModifiedBy>Anuradha Mundkur</cp:lastModifiedBy>
  <cp:revision>2</cp:revision>
  <cp:lastPrinted>2023-05-02T23:03:00Z</cp:lastPrinted>
  <dcterms:created xsi:type="dcterms:W3CDTF">2024-03-08T00:53:00Z</dcterms:created>
  <dcterms:modified xsi:type="dcterms:W3CDTF">2024-03-08T00:53:00Z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0x0101006B03D856CF1237418DF14C5037866882</vt:lpwstr>
  </property>
</Properties>
</file>