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C0777" w14:textId="2A837A9D" w:rsidR="00507FBD" w:rsidRPr="009A06F2" w:rsidRDefault="00BC4C77" w:rsidP="009A06F2">
      <w:pPr>
        <w:pStyle w:val="BodyText"/>
        <w:spacing w:after="0"/>
        <w:rPr>
          <w:sz w:val="12"/>
          <w:szCs w:val="12"/>
        </w:rPr>
      </w:pPr>
      <w:r>
        <w:rPr>
          <w:noProof/>
          <w:sz w:val="12"/>
          <w:szCs w:val="12"/>
        </w:rPr>
        <w:drawing>
          <wp:anchor distT="0" distB="0" distL="114300" distR="114300" simplePos="0" relativeHeight="251658240" behindDoc="1" locked="1" layoutInCell="1" allowOverlap="1" wp14:anchorId="7B697F00" wp14:editId="3B154F95">
            <wp:simplePos x="0" y="0"/>
            <wp:positionH relativeFrom="page">
              <wp:posOffset>0</wp:posOffset>
            </wp:positionH>
            <wp:positionV relativeFrom="page">
              <wp:posOffset>0</wp:posOffset>
            </wp:positionV>
            <wp:extent cx="7558560" cy="1861920"/>
            <wp:effectExtent l="0" t="0" r="4445" b="5080"/>
            <wp:wrapNone/>
            <wp:docPr id="709722265" name="Picture 1" descr="Our Watch - Preventing violence agains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22265" name="Picture 1" descr="Our Watch - Preventing violence against women"/>
                    <pic:cNvPicPr/>
                  </pic:nvPicPr>
                  <pic:blipFill>
                    <a:blip r:embed="rId8" cstate="print">
                      <a:extLst>
                        <a:ext uri="{28A0092B-C50C-407E-A947-70E740481C1C}">
                          <a14:useLocalDpi xmlns:a14="http://schemas.microsoft.com/office/drawing/2010/main" val="0"/>
                        </a:ext>
                      </a:extLst>
                    </a:blip>
                    <a:srcRect t="3007" b="3007"/>
                    <a:stretch>
                      <a:fillRect/>
                    </a:stretch>
                  </pic:blipFill>
                  <pic:spPr bwMode="auto">
                    <a:xfrm>
                      <a:off x="0" y="0"/>
                      <a:ext cx="7558560" cy="186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01054D" w14:textId="713704B2" w:rsidR="00737077" w:rsidRDefault="00737077" w:rsidP="00ED43DE">
      <w:pPr>
        <w:pStyle w:val="BodyText"/>
        <w:sectPr w:rsidR="00737077" w:rsidSect="000D3A47">
          <w:pgSz w:w="11906" w:h="16838" w:code="9"/>
          <w:pgMar w:top="2948" w:right="2552" w:bottom="992" w:left="1134" w:header="284" w:footer="533" w:gutter="0"/>
          <w:cols w:space="708"/>
          <w:docGrid w:linePitch="360"/>
        </w:sectPr>
      </w:pPr>
    </w:p>
    <w:p w14:paraId="3E0FEDB9" w14:textId="610C4200" w:rsidR="0052060D" w:rsidRDefault="0052060D" w:rsidP="0052060D">
      <w:pPr>
        <w:pStyle w:val="Title"/>
      </w:pPr>
      <w:r>
        <w:t xml:space="preserve">Tip sheet: Engaging </w:t>
      </w:r>
      <w:r w:rsidR="00A2260D">
        <w:t>l</w:t>
      </w:r>
      <w:r>
        <w:t>eaders</w:t>
      </w:r>
    </w:p>
    <w:p w14:paraId="041FA635" w14:textId="77777777" w:rsidR="0052060D" w:rsidRDefault="0052060D" w:rsidP="0052060D">
      <w:pPr>
        <w:pStyle w:val="BodyText"/>
      </w:pPr>
      <w:r>
        <w:t>This tip sheet is for anyone tasked with promoting gender equality and respect in their workplace. Please note that this tipsheet is for general information only and does not constitute legal advice or material that is tailored specifically for your organisation or circumstances.</w:t>
      </w:r>
    </w:p>
    <w:p w14:paraId="4D37E41E" w14:textId="77777777" w:rsidR="0052060D" w:rsidRDefault="0052060D" w:rsidP="0052060D">
      <w:pPr>
        <w:pStyle w:val="BodyText"/>
      </w:pPr>
      <w:r>
        <w:t>The commitments and actions that senior executives and board members make are critical to changing the attitudes, behaviours and structures that drive violence against women. Engaging leaders is, therefore, vital for ensuring that efforts to achieve equality and respect are successful and sustained.</w:t>
      </w:r>
    </w:p>
    <w:p w14:paraId="74373AD2" w14:textId="77777777" w:rsidR="0052060D" w:rsidRDefault="0052060D" w:rsidP="0052060D">
      <w:pPr>
        <w:pStyle w:val="BodyText"/>
      </w:pPr>
      <w:r>
        <w:t>Engaging leaders, including boards, CEOs and other senior executives, helps to:</w:t>
      </w:r>
    </w:p>
    <w:p w14:paraId="05D88806" w14:textId="555694A9" w:rsidR="0052060D" w:rsidRDefault="0052060D" w:rsidP="00E70491">
      <w:pPr>
        <w:pStyle w:val="ListBullet"/>
      </w:pPr>
      <w:r>
        <w:t>bring others on board with organisational change, as the leaders can leverage their positional power to mandate change as well as actively model equality and respect</w:t>
      </w:r>
    </w:p>
    <w:p w14:paraId="5EE6F9DC" w14:textId="7CF4248A" w:rsidR="0052060D" w:rsidRDefault="0052060D" w:rsidP="00E70491">
      <w:pPr>
        <w:pStyle w:val="ListBullet"/>
      </w:pPr>
      <w:r>
        <w:t>reinforce the workplace’s commitment to achieving equality and respect by highlighting what needs to be changed and resourcing efforts to drive organisational change.</w:t>
      </w:r>
    </w:p>
    <w:p w14:paraId="5E0C6927" w14:textId="2D1AA73B" w:rsidR="0052060D" w:rsidRDefault="0052060D" w:rsidP="00E70491">
      <w:pPr>
        <w:pStyle w:val="ListBullet"/>
      </w:pPr>
      <w:r>
        <w:t>empower staff across the workplace to speak up or act when they see sexist or discriminatory behaviours occurring, knowing they have the support of leaders and policies making it clear such behaviours are unacceptable.</w:t>
      </w:r>
    </w:p>
    <w:p w14:paraId="1D2ADD27" w14:textId="0CA6D09D" w:rsidR="0052060D" w:rsidRDefault="0052060D" w:rsidP="0052060D">
      <w:pPr>
        <w:pStyle w:val="Heading1"/>
      </w:pPr>
      <w:r>
        <w:t xml:space="preserve">Tip 1: Use your understanding of the impacts </w:t>
      </w:r>
      <w:r>
        <w:br/>
        <w:t xml:space="preserve">of violence against women in the workplace </w:t>
      </w:r>
      <w:r>
        <w:br/>
        <w:t>(including sexual harassment) to bring senior executives on board</w:t>
      </w:r>
    </w:p>
    <w:p w14:paraId="1072EECC" w14:textId="77777777" w:rsidR="0052060D" w:rsidRDefault="0052060D" w:rsidP="0052060D">
      <w:pPr>
        <w:pStyle w:val="BodyText"/>
      </w:pPr>
      <w:r>
        <w:t>Familiarise yourself with key facts on what drives violence against women, including sexual harassment, and how this can be prevented by using the Workplace Equality and Respect Standards and supporting tools. Consider focusing on training senior executives or engaging them in conversation about this issue before you train other staff so you can be sure there is a strong shared understanding of the need for change before questions or critiques arise.</w:t>
      </w:r>
    </w:p>
    <w:p w14:paraId="243FC27B" w14:textId="2C71B3C6" w:rsidR="0052060D" w:rsidRDefault="0052060D" w:rsidP="0052060D">
      <w:pPr>
        <w:pStyle w:val="Heading1"/>
      </w:pPr>
      <w:r>
        <w:lastRenderedPageBreak/>
        <w:t>Tip 2: Identify individual champions in your workplace</w:t>
      </w:r>
    </w:p>
    <w:p w14:paraId="3D14AF44" w14:textId="77777777" w:rsidR="0052060D" w:rsidRDefault="0052060D" w:rsidP="0052060D">
      <w:pPr>
        <w:pStyle w:val="BodyText"/>
      </w:pPr>
      <w:r>
        <w:t>Individual champions can play a big part in challenging the attitudes, behaviours and structures that drive violence against women. However, driving change alone can be challenging, and people can feel overwhelmed when encountering the barriers that may arise. Consider establishing a small team that has the responsibility to work towards achieving the Workplace Equality and Respect Standards. Choose people who show leadership and have the authority to change strategies, policies and procedures.</w:t>
      </w:r>
    </w:p>
    <w:p w14:paraId="5D94A196" w14:textId="210A7984" w:rsidR="0052060D" w:rsidRDefault="0052060D" w:rsidP="0052060D">
      <w:pPr>
        <w:pStyle w:val="Heading1"/>
      </w:pPr>
      <w:r>
        <w:t>Tip 3: Build a business case</w:t>
      </w:r>
    </w:p>
    <w:p w14:paraId="2A07E830" w14:textId="77777777" w:rsidR="0052060D" w:rsidRDefault="0052060D" w:rsidP="0052060D">
      <w:pPr>
        <w:pStyle w:val="BodyText"/>
      </w:pPr>
      <w:r>
        <w:t>Your business case should make an ethical case for preventing violence against women, including sexual harassment, alongside highlighting the following:</w:t>
      </w:r>
    </w:p>
    <w:p w14:paraId="0C63341C" w14:textId="1A1B4DA7" w:rsidR="0052060D" w:rsidRDefault="0052060D" w:rsidP="00E70491">
      <w:pPr>
        <w:pStyle w:val="ListBullet"/>
      </w:pPr>
      <w:r>
        <w:t>the ways that gender inequality impacts your workplace and your core business</w:t>
      </w:r>
    </w:p>
    <w:p w14:paraId="54D2D243" w14:textId="2ED8DF84" w:rsidR="0052060D" w:rsidRDefault="0052060D" w:rsidP="00E70491">
      <w:pPr>
        <w:pStyle w:val="ListBullet"/>
      </w:pPr>
      <w:r>
        <w:t>opportunities for change</w:t>
      </w:r>
    </w:p>
    <w:p w14:paraId="36D9481B" w14:textId="11774CB5" w:rsidR="0052060D" w:rsidRDefault="0052060D" w:rsidP="00E70491">
      <w:pPr>
        <w:pStyle w:val="ListBullet"/>
      </w:pPr>
      <w:r>
        <w:t>the benefits of taking active steps to address the drivers of violence against women</w:t>
      </w:r>
    </w:p>
    <w:p w14:paraId="48AFFFA3" w14:textId="6368F0C8" w:rsidR="0052060D" w:rsidRDefault="0052060D" w:rsidP="00E70491">
      <w:pPr>
        <w:pStyle w:val="ListBullet"/>
      </w:pPr>
      <w:r>
        <w:t>the risk and cost of inaction.</w:t>
      </w:r>
    </w:p>
    <w:p w14:paraId="22EEE32A" w14:textId="77777777" w:rsidR="0052060D" w:rsidRDefault="0052060D" w:rsidP="0052060D">
      <w:pPr>
        <w:pStyle w:val="Heading2"/>
      </w:pPr>
      <w:r>
        <w:t>Pointers for building a business case</w:t>
      </w:r>
    </w:p>
    <w:p w14:paraId="418D78A8" w14:textId="77777777" w:rsidR="0052060D" w:rsidRDefault="0052060D" w:rsidP="0052060D">
      <w:pPr>
        <w:pStyle w:val="BodyText"/>
      </w:pPr>
      <w:r w:rsidRPr="00E70491">
        <w:rPr>
          <w:rStyle w:val="Strong"/>
        </w:rPr>
        <w:t>Highlight</w:t>
      </w:r>
      <w:r>
        <w:t xml:space="preserve"> how promoting gender equality and preventing violence against women, including sexual harassment, aligns with existing organisational values, goals and priorities.</w:t>
      </w:r>
    </w:p>
    <w:p w14:paraId="6B5A99EC" w14:textId="77777777" w:rsidR="0052060D" w:rsidRDefault="0052060D" w:rsidP="0052060D">
      <w:pPr>
        <w:pStyle w:val="BodyText"/>
      </w:pPr>
      <w:r>
        <w:t xml:space="preserve">Draw attention to legal obligations. The new </w:t>
      </w:r>
      <w:r w:rsidRPr="00E70491">
        <w:rPr>
          <w:rStyle w:val="Emphasis"/>
        </w:rPr>
        <w:t>Anti-Discrimination and Human Rights Legislation Amendment (Respect at Work) Bill 2022 (Cth)</w:t>
      </w:r>
      <w:r>
        <w:t>:</w:t>
      </w:r>
    </w:p>
    <w:p w14:paraId="0DCFEB39" w14:textId="4AA4A248" w:rsidR="0052060D" w:rsidRDefault="0052060D" w:rsidP="00E70491">
      <w:pPr>
        <w:pStyle w:val="ListBullet"/>
      </w:pPr>
      <w:r>
        <w:t>prohibits conduct that subjects another person to a workplace environment that is hostile on the grounds of sex.</w:t>
      </w:r>
    </w:p>
    <w:p w14:paraId="7C7FA02D" w14:textId="7BEF1940" w:rsidR="0052060D" w:rsidRDefault="0052060D" w:rsidP="00E70491">
      <w:pPr>
        <w:pStyle w:val="ListBullet"/>
      </w:pPr>
      <w:r>
        <w:t>introduces a positive duty on employers to take reasonable and proportionate measures to eliminate unlawful sex discrimination, including sexual harassment, as far as possible.</w:t>
      </w:r>
    </w:p>
    <w:p w14:paraId="60D934F4" w14:textId="07D14F28" w:rsidR="00E70491" w:rsidRDefault="0052060D" w:rsidP="00E70491">
      <w:pPr>
        <w:pStyle w:val="BodyTextAfterBullets"/>
      </w:pPr>
      <w:r w:rsidRPr="00E70491">
        <w:rPr>
          <w:rStyle w:val="Strong"/>
        </w:rPr>
        <w:t>Show senior leaders that gender inequality exists</w:t>
      </w:r>
      <w:r>
        <w:t>. What’s happening in your workplace is what will interest them the most. They must be convinced of a problem before supporting a change initiative. Use facts and figures to make your case.</w:t>
      </w:r>
    </w:p>
    <w:p w14:paraId="4730E093" w14:textId="474F270E" w:rsidR="0052060D" w:rsidRDefault="0052060D" w:rsidP="00E70491">
      <w:pPr>
        <w:pStyle w:val="BodyTextAfterBullets"/>
        <w:keepLines/>
      </w:pPr>
      <w:r w:rsidRPr="00E70491">
        <w:rPr>
          <w:rStyle w:val="Strong"/>
        </w:rPr>
        <w:lastRenderedPageBreak/>
        <w:t>Consider consulting</w:t>
      </w:r>
      <w:r>
        <w:t xml:space="preserve"> with your employees (via employee surveys, focus groups, and informal consultations) to understand their experience of equality and respect in your workplace and identify how gender influences and shapes their working lives. Examine any data you regularly collect and report to the Workplace Gender Equality Agency (see the </w:t>
      </w:r>
      <w:hyperlink r:id="rId9" w:history="1">
        <w:r w:rsidRPr="00C26ABF">
          <w:rPr>
            <w:rStyle w:val="Hyperlink"/>
            <w:rFonts w:asciiTheme="minorHAnsi" w:hAnsiTheme="minorHAnsi"/>
          </w:rPr>
          <w:t>Workplace Gender Equality Agency (WGEA) website</w:t>
        </w:r>
      </w:hyperlink>
      <w:r>
        <w:t xml:space="preserve"> and resources for more information).</w:t>
      </w:r>
    </w:p>
    <w:p w14:paraId="3924358E" w14:textId="555AB377" w:rsidR="0052060D" w:rsidRDefault="0052060D" w:rsidP="0052060D">
      <w:pPr>
        <w:pStyle w:val="BodyText"/>
      </w:pPr>
      <w:r w:rsidRPr="00E70491">
        <w:rPr>
          <w:rStyle w:val="Strong"/>
        </w:rPr>
        <w:t>Call attention to</w:t>
      </w:r>
      <w:r>
        <w:t xml:space="preserve"> the financial and non-financial costs of inaction. Violence against women affects workplaces in many costly ways, including increased absenteeism and staff turnover, lost productivity, and decreased job satisfaction and staff morale. There is also evidence that promoting gender equality and respect can have significant financial benefits for workplaces. According to Deloitte Access Economics, in 2018, workplace sexual harassment cost $2.6</w:t>
      </w:r>
      <w:r w:rsidR="00E70491">
        <w:t> </w:t>
      </w:r>
      <w:r>
        <w:t>billion in lost productivity and $0.9 billion in other financial costs. Each case of harassment represents around four working days of lost output. Employers bore 70% of the financial costs, the government 23% and individuals 7%. On average, lost well-being for victims was an additional $250 million, or nearly $5,000 per victim.</w:t>
      </w:r>
    </w:p>
    <w:p w14:paraId="3D274D5F" w14:textId="77777777" w:rsidR="0052060D" w:rsidRDefault="0052060D" w:rsidP="0052060D">
      <w:pPr>
        <w:pStyle w:val="BodyText"/>
      </w:pPr>
      <w:r w:rsidRPr="00E70491">
        <w:rPr>
          <w:rStyle w:val="Strong"/>
        </w:rPr>
        <w:t>Underscore</w:t>
      </w:r>
      <w:r>
        <w:t xml:space="preserve"> the fact that employees and stakeholders </w:t>
      </w:r>
      <w:r w:rsidRPr="00E70491">
        <w:rPr>
          <w:rStyle w:val="Emphasis"/>
        </w:rPr>
        <w:t>expect</w:t>
      </w:r>
      <w:r>
        <w:t xml:space="preserve"> action to prevent violence against women, including sexual harassment. A VicHealth study showed that: </w:t>
      </w:r>
    </w:p>
    <w:p w14:paraId="27D0059D" w14:textId="2078167D" w:rsidR="0052060D" w:rsidRDefault="0052060D" w:rsidP="00E70491">
      <w:pPr>
        <w:pStyle w:val="ListBullet"/>
      </w:pPr>
      <w:r>
        <w:t>98% of respondents expect employers to ensure women have the same opportunities as men.</w:t>
      </w:r>
    </w:p>
    <w:p w14:paraId="7274122D" w14:textId="3565D93C" w:rsidR="0052060D" w:rsidRDefault="0052060D" w:rsidP="00E70491">
      <w:pPr>
        <w:pStyle w:val="ListBullet"/>
      </w:pPr>
      <w:r>
        <w:t>94% of respondents agreed that employers should take a leadership role in educating their workforce about respectful relationships between men and women.</w:t>
      </w:r>
    </w:p>
    <w:p w14:paraId="69EA46C0" w14:textId="696D8DE5" w:rsidR="0052060D" w:rsidRDefault="0052060D" w:rsidP="0052060D">
      <w:pPr>
        <w:pStyle w:val="BodyText"/>
      </w:pPr>
      <w:r w:rsidRPr="00E70491">
        <w:rPr>
          <w:rStyle w:val="Strong"/>
        </w:rPr>
        <w:t>Showcase examples</w:t>
      </w:r>
      <w:r>
        <w:t xml:space="preserve"> of what other workplaces and individuals are doing. There is considerable commitment and momentum within Australian society for equality and respect and the prevention of violence against women, including sexual harassment – including at all levels of government, the media, workplaces, sports organisations, communities and individuals. In building your business case, it may be strategic to highlight examples, case studies and learnings of workplaces and individuals to help drive leaders’ commitment and engagement in this work. WGEA collates data and benchmarks for gender equality indicators, like flexible work, the representation of men and women in senior leadership, and how many workplaces have family violence leave policies. The data is presented nationally and by industry (see the </w:t>
      </w:r>
      <w:hyperlink r:id="rId10" w:history="1">
        <w:r w:rsidRPr="00C26ABF">
          <w:rPr>
            <w:rStyle w:val="Hyperlink"/>
            <w:rFonts w:asciiTheme="minorHAnsi" w:hAnsiTheme="minorHAnsi"/>
          </w:rPr>
          <w:t>WGEA Data Explorer</w:t>
        </w:r>
      </w:hyperlink>
      <w:r>
        <w:t>).</w:t>
      </w:r>
    </w:p>
    <w:p w14:paraId="33928D41" w14:textId="77777777" w:rsidR="00E70491" w:rsidRPr="00E70491" w:rsidRDefault="00E70491" w:rsidP="00E70491">
      <w:pPr>
        <w:pStyle w:val="BodyText"/>
      </w:pPr>
      <w:r w:rsidRPr="00E70491">
        <w:br w:type="page"/>
      </w:r>
    </w:p>
    <w:p w14:paraId="09507071" w14:textId="5CBFDF51" w:rsidR="00E70491" w:rsidRDefault="00E70491" w:rsidP="00E70491">
      <w:pPr>
        <w:pStyle w:val="Heading1"/>
      </w:pPr>
      <w:r>
        <w:t>Further information and support</w:t>
      </w:r>
    </w:p>
    <w:p w14:paraId="5BA91E12" w14:textId="71F5829E" w:rsidR="0052060D" w:rsidRDefault="0052060D" w:rsidP="0052060D">
      <w:pPr>
        <w:pStyle w:val="BodyText"/>
      </w:pPr>
      <w:r w:rsidRPr="00E70491">
        <w:rPr>
          <w:rStyle w:val="Strong"/>
        </w:rPr>
        <w:t>For more information, tools and resources</w:t>
      </w:r>
      <w:r>
        <w:t xml:space="preserve"> on how to prevent sexual harassment in your workplace, visit </w:t>
      </w:r>
      <w:hyperlink r:id="rId11" w:history="1">
        <w:r w:rsidR="00B05EAF" w:rsidRPr="001705FB">
          <w:rPr>
            <w:rStyle w:val="Hyperlink"/>
            <w:rFonts w:asciiTheme="minorHAnsi" w:hAnsiTheme="minorHAnsi"/>
          </w:rPr>
          <w:t>Our Watch – Workplace Equality and Respect</w:t>
        </w:r>
      </w:hyperlink>
      <w:r w:rsidR="00B05EAF">
        <w:t xml:space="preserve"> &lt;workplace.ourwatch.org.au&gt;</w:t>
      </w:r>
    </w:p>
    <w:p w14:paraId="01F38F14" w14:textId="1CFFD153" w:rsidR="0052060D" w:rsidRDefault="0052060D" w:rsidP="0052060D">
      <w:pPr>
        <w:pStyle w:val="BodyText"/>
      </w:pPr>
      <w:r w:rsidRPr="00E70491">
        <w:rPr>
          <w:rStyle w:val="Strong"/>
        </w:rPr>
        <w:t>For more information and frameworks for addressing sexual harassment as a workplace risk</w:t>
      </w:r>
      <w:r>
        <w:t xml:space="preserve">, visit </w:t>
      </w:r>
      <w:hyperlink r:id="rId12" w:history="1">
        <w:r w:rsidR="0053413C" w:rsidRPr="001705FB">
          <w:rPr>
            <w:rStyle w:val="Hyperlink"/>
            <w:rFonts w:asciiTheme="minorHAnsi" w:hAnsiTheme="minorHAnsi"/>
          </w:rPr>
          <w:t>Our Watch – Practice guidance: Reducing risk in</w:t>
        </w:r>
        <w:r w:rsidR="0053413C">
          <w:rPr>
            <w:rStyle w:val="Hyperlink"/>
            <w:rFonts w:asciiTheme="minorHAnsi" w:hAnsiTheme="minorHAnsi"/>
          </w:rPr>
          <w:t xml:space="preserve"> </w:t>
        </w:r>
        <w:r w:rsidR="0053413C" w:rsidRPr="001705FB">
          <w:rPr>
            <w:rStyle w:val="Hyperlink"/>
            <w:rFonts w:asciiTheme="minorHAnsi" w:hAnsiTheme="minorHAnsi"/>
          </w:rPr>
          <w:t>workplace initiatives to prevent violence against women</w:t>
        </w:r>
      </w:hyperlink>
      <w:r w:rsidR="0053413C">
        <w:t xml:space="preserve"> &lt;workplace.ourwatch.org.au/</w:t>
      </w:r>
      <w:r w:rsidR="0053413C">
        <w:br/>
        <w:t>resource/practice-guidance-reducing-risk-in-workplace-initiatives-to-prevent-violence-against-women&gt;</w:t>
      </w:r>
    </w:p>
    <w:p w14:paraId="6D4C619C" w14:textId="4FA0C63B" w:rsidR="00B06B95" w:rsidRDefault="0052060D" w:rsidP="0052060D">
      <w:pPr>
        <w:pStyle w:val="BodyText"/>
        <w:rPr>
          <w:rStyle w:val="Hyperlink"/>
          <w:rFonts w:asciiTheme="minorHAnsi" w:hAnsiTheme="minorHAnsi"/>
        </w:rPr>
      </w:pPr>
      <w:r w:rsidRPr="00E70491">
        <w:rPr>
          <w:rStyle w:val="Strong"/>
        </w:rPr>
        <w:t>For support, contact</w:t>
      </w:r>
      <w:r>
        <w:t xml:space="preserve"> Our Watch’s Workplace Team at </w:t>
      </w:r>
      <w:hyperlink r:id="rId13" w:history="1">
        <w:r w:rsidRPr="00E70491">
          <w:rPr>
            <w:rStyle w:val="Hyperlink"/>
            <w:rFonts w:asciiTheme="minorHAnsi" w:hAnsiTheme="minorHAnsi"/>
          </w:rPr>
          <w:t>equalityandrespect@ourwatch.org.au</w:t>
        </w:r>
      </w:hyperlink>
    </w:p>
    <w:p w14:paraId="2FF89CF5" w14:textId="0FB5589E" w:rsidR="00BF772B" w:rsidRDefault="00BF772B" w:rsidP="00BF772B">
      <w:pPr>
        <w:pStyle w:val="Heading1"/>
      </w:pPr>
      <w:r>
        <w:t>Acknowledgements</w:t>
      </w:r>
    </w:p>
    <w:p w14:paraId="6FAA289C" w14:textId="77777777" w:rsidR="00BF772B" w:rsidRDefault="00BF772B" w:rsidP="00BF772B">
      <w:r>
        <w:t>Our Watch acknowledges the Traditional Owners of the land across Australia on which we work and live. We pay our respects to Aboriginal and Torres Strait Islander peoples past and present, and we value Aboriginal and Torres Strait Islander histories, cultures, and knowledge.</w:t>
      </w:r>
    </w:p>
    <w:p w14:paraId="6DE4DF0E" w14:textId="77777777" w:rsidR="00BF772B" w:rsidRDefault="00BF772B" w:rsidP="00BF772B">
      <w:r>
        <w:t>Our Watch acknowledges the support of the Victorian Government and the Australian Government.</w:t>
      </w:r>
    </w:p>
    <w:p w14:paraId="004E1BFE" w14:textId="77777777" w:rsidR="00BF772B" w:rsidRDefault="00BF772B" w:rsidP="00BF772B">
      <w:pPr>
        <w:pStyle w:val="BodyText"/>
        <w:tabs>
          <w:tab w:val="left" w:pos="2835"/>
        </w:tabs>
        <w:spacing w:before="300"/>
      </w:pPr>
      <w:r>
        <w:rPr>
          <w:noProof/>
        </w:rPr>
        <w:drawing>
          <wp:inline distT="0" distB="0" distL="0" distR="0" wp14:anchorId="122A9D4A" wp14:editId="07E0D084">
            <wp:extent cx="1264920" cy="722630"/>
            <wp:effectExtent l="0" t="0" r="0" b="1270"/>
            <wp:docPr id="805053686" name="Picture 2"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ia State Govern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4920" cy="722630"/>
                    </a:xfrm>
                    <a:prstGeom prst="rect">
                      <a:avLst/>
                    </a:prstGeom>
                    <a:noFill/>
                    <a:ln>
                      <a:noFill/>
                    </a:ln>
                  </pic:spPr>
                </pic:pic>
              </a:graphicData>
            </a:graphic>
          </wp:inline>
        </w:drawing>
      </w:r>
      <w:r>
        <w:tab/>
      </w:r>
      <w:r>
        <w:rPr>
          <w:noProof/>
        </w:rPr>
        <w:drawing>
          <wp:inline distT="0" distB="0" distL="0" distR="0" wp14:anchorId="56AC0702" wp14:editId="2095B444">
            <wp:extent cx="1416050" cy="733425"/>
            <wp:effectExtent l="0" t="0" r="0" b="9525"/>
            <wp:docPr id="575016990" name="Picture 1"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Govern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6050" cy="733425"/>
                    </a:xfrm>
                    <a:prstGeom prst="rect">
                      <a:avLst/>
                    </a:prstGeom>
                    <a:noFill/>
                    <a:ln>
                      <a:noFill/>
                    </a:ln>
                  </pic:spPr>
                </pic:pic>
              </a:graphicData>
            </a:graphic>
          </wp:inline>
        </w:drawing>
      </w:r>
    </w:p>
    <w:p w14:paraId="65F459E5" w14:textId="2752A9A7" w:rsidR="00BF772B" w:rsidRDefault="00BF772B" w:rsidP="00BF772B">
      <w:pPr>
        <w:spacing w:before="480"/>
      </w:pPr>
      <w:r>
        <w:t>© Our Watch 2024</w:t>
      </w:r>
    </w:p>
    <w:sectPr w:rsidR="00BF772B" w:rsidSect="000D3A47">
      <w:headerReference w:type="default" r:id="rId16"/>
      <w:footerReference w:type="default" r:id="rId17"/>
      <w:type w:val="continuous"/>
      <w:pgSz w:w="11906" w:h="16838" w:code="9"/>
      <w:pgMar w:top="2041" w:right="2552" w:bottom="1134" w:left="1134" w:header="675"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4F484" w14:textId="77777777" w:rsidR="000D3A47" w:rsidRDefault="000D3A47" w:rsidP="0086572B">
      <w:r>
        <w:separator/>
      </w:r>
    </w:p>
  </w:endnote>
  <w:endnote w:type="continuationSeparator" w:id="0">
    <w:p w14:paraId="607EFF8F" w14:textId="77777777" w:rsidR="000D3A47" w:rsidRDefault="000D3A47" w:rsidP="0086572B">
      <w:r>
        <w:continuationSeparator/>
      </w:r>
    </w:p>
  </w:endnote>
  <w:endnote w:type="continuationNotice" w:id="1">
    <w:p w14:paraId="58C82383" w14:textId="77777777" w:rsidR="000D3A47" w:rsidRDefault="000D3A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Light">
    <w:charset w:val="00"/>
    <w:family w:val="auto"/>
    <w:pitch w:val="variable"/>
    <w:sig w:usb0="00008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6891C" w14:textId="77777777" w:rsidR="00507FBD" w:rsidRPr="0074201B" w:rsidRDefault="00507FBD" w:rsidP="0074201B">
    <w:pPr>
      <w:pStyle w:val="Footer"/>
    </w:pPr>
    <w:r w:rsidRPr="00990FD7">
      <w:rPr>
        <w:noProof/>
      </w:rPr>
      <w:drawing>
        <wp:anchor distT="0" distB="0" distL="114300" distR="114300" simplePos="0" relativeHeight="251660289" behindDoc="1" locked="1" layoutInCell="1" allowOverlap="1" wp14:anchorId="3F56BE81" wp14:editId="7DD731B4">
          <wp:simplePos x="717550" y="9613900"/>
          <wp:positionH relativeFrom="page">
            <wp:align>right</wp:align>
          </wp:positionH>
          <wp:positionV relativeFrom="page">
            <wp:align>bottom</wp:align>
          </wp:positionV>
          <wp:extent cx="1594800" cy="712800"/>
          <wp:effectExtent l="0" t="0" r="0" b="0"/>
          <wp:wrapNone/>
          <wp:docPr id="1" name="Picture 1">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5E2CD" w14:textId="77777777" w:rsidR="000D3A47" w:rsidRPr="00D918CA" w:rsidRDefault="000D3A47" w:rsidP="00E763DC">
      <w:pPr>
        <w:pStyle w:val="Footer"/>
        <w:spacing w:before="80" w:after="120"/>
        <w:rPr>
          <w:sz w:val="12"/>
          <w:szCs w:val="12"/>
        </w:rPr>
      </w:pPr>
      <w:r w:rsidRPr="00D918CA">
        <w:rPr>
          <w:sz w:val="12"/>
          <w:szCs w:val="12"/>
        </w:rPr>
        <w:separator/>
      </w:r>
    </w:p>
  </w:footnote>
  <w:footnote w:type="continuationSeparator" w:id="0">
    <w:p w14:paraId="28C38D1F" w14:textId="77777777" w:rsidR="000D3A47" w:rsidRDefault="000D3A47" w:rsidP="00C03734"/>
  </w:footnote>
  <w:footnote w:type="continuationNotice" w:id="1">
    <w:p w14:paraId="1964D799" w14:textId="77777777" w:rsidR="000D3A47" w:rsidRDefault="000D3A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5BAC5" w14:textId="01D487B0" w:rsidR="00507FBD" w:rsidRDefault="0052060D" w:rsidP="009A06F2">
    <w:pPr>
      <w:pStyle w:val="HeaderWithLine"/>
    </w:pPr>
    <w:r>
      <w:t xml:space="preserve">Tip sheet: Engaging </w:t>
    </w:r>
    <w:r w:rsidR="00A2260D">
      <w:t>l</w:t>
    </w:r>
    <w:r>
      <w:t>eaders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ABA77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EECC965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6F37EA"/>
    <w:multiLevelType w:val="multilevel"/>
    <w:tmpl w:val="1BF4A770"/>
    <w:styleLink w:val="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26208B5"/>
    <w:multiLevelType w:val="multilevel"/>
    <w:tmpl w:val="070CAB22"/>
    <w:lvl w:ilvl="0">
      <w:start w:val="1"/>
      <w:numFmt w:val="bullet"/>
      <w:suff w:val="space"/>
      <w:lvlText w:val="—"/>
      <w:lvlJc w:val="left"/>
      <w:pPr>
        <w:ind w:left="0" w:firstLine="0"/>
      </w:pPr>
      <w:rPr>
        <w:rFonts w:ascii="Calibri" w:hAnsi="Calibri" w:hint="default"/>
        <w:color w:val="auto"/>
        <w:w w:val="85"/>
        <w:position w:val="2"/>
      </w:rPr>
    </w:lvl>
    <w:lvl w:ilvl="1">
      <w:start w:val="1"/>
      <w:numFmt w:val="bullet"/>
      <w:suff w:val="space"/>
      <w:lvlText w:val="—"/>
      <w:lvlJc w:val="left"/>
      <w:pPr>
        <w:ind w:left="0" w:firstLine="0"/>
      </w:pPr>
      <w:rPr>
        <w:rFonts w:ascii="Poppins Light" w:hAnsi="Poppins Light" w:hint="default"/>
        <w:color w:val="auto"/>
        <w:w w:val="90"/>
      </w:rPr>
    </w:lvl>
    <w:lvl w:ilvl="2">
      <w:start w:val="1"/>
      <w:numFmt w:val="bullet"/>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BE32363"/>
    <w:multiLevelType w:val="multilevel"/>
    <w:tmpl w:val="53843EBE"/>
    <w:styleLink w:val="TableBullets"/>
    <w:lvl w:ilvl="0">
      <w:start w:val="1"/>
      <w:numFmt w:val="bullet"/>
      <w:pStyle w:val="TableBullet"/>
      <w:lvlText w:val=""/>
      <w:lvlJc w:val="left"/>
      <w:pPr>
        <w:ind w:left="227" w:hanging="227"/>
      </w:pPr>
      <w:rPr>
        <w:rFonts w:ascii="Wingdings" w:hAnsi="Wingdings"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60E1502C"/>
    <w:multiLevelType w:val="multilevel"/>
    <w:tmpl w:val="D1740DEA"/>
    <w:styleLink w:val="Bullets"/>
    <w:lvl w:ilvl="0">
      <w:start w:val="1"/>
      <w:numFmt w:val="bullet"/>
      <w:pStyle w:val="ListBullet"/>
      <w:lvlText w:val=""/>
      <w:lvlJc w:val="left"/>
      <w:pPr>
        <w:ind w:left="340" w:hanging="340"/>
      </w:pPr>
      <w:rPr>
        <w:rFonts w:ascii="Wingdings" w:hAnsi="Wingdings" w:hint="default"/>
        <w:color w:val="002554" w:themeColor="text1"/>
        <w:position w:val="0"/>
        <w:sz w:val="24"/>
      </w:rPr>
    </w:lvl>
    <w:lvl w:ilvl="1">
      <w:start w:val="1"/>
      <w:numFmt w:val="bullet"/>
      <w:lvlRestart w:val="0"/>
      <w:pStyle w:val="ListBullet2"/>
      <w:lvlText w:val="–"/>
      <w:lvlJc w:val="left"/>
      <w:pPr>
        <w:ind w:left="680" w:hanging="340"/>
      </w:pPr>
      <w:rPr>
        <w:rFonts w:ascii="Roboto" w:hAnsi="Roboto" w:hint="default"/>
        <w:color w:val="002554" w:themeColor="text1"/>
      </w:rPr>
    </w:lvl>
    <w:lvl w:ilvl="2">
      <w:start w:val="1"/>
      <w:numFmt w:val="bullet"/>
      <w:lvlRestart w:val="0"/>
      <w:pStyle w:val="ListBullet3"/>
      <w:lvlText w:val="•"/>
      <w:lvlJc w:val="left"/>
      <w:pPr>
        <w:ind w:left="1021" w:hanging="341"/>
      </w:pPr>
      <w:rPr>
        <w:rFonts w:ascii="Calibri" w:hAnsi="Calibri" w:hint="default"/>
        <w:color w:val="002554" w:themeColor="text1"/>
      </w:rPr>
    </w:lvl>
    <w:lvl w:ilvl="3">
      <w:start w:val="1"/>
      <w:numFmt w:val="none"/>
      <w:lvlRestart w:val="0"/>
      <w:lvlText w:val=""/>
      <w:lvlJc w:val="left"/>
      <w:pPr>
        <w:ind w:left="680" w:firstLine="0"/>
      </w:pPr>
      <w:rPr>
        <w:rFonts w:hint="default"/>
        <w:color w:val="auto"/>
        <w:position w:val="-2"/>
        <w:sz w:val="13"/>
      </w:rPr>
    </w:lvl>
    <w:lvl w:ilvl="4">
      <w:start w:val="1"/>
      <w:numFmt w:val="none"/>
      <w:lvlRestart w:val="0"/>
      <w:lvlText w:val=""/>
      <w:lvlJc w:val="left"/>
      <w:pPr>
        <w:ind w:left="680" w:firstLine="0"/>
      </w:pPr>
      <w:rPr>
        <w:rFonts w:hint="default"/>
        <w:color w:val="auto"/>
      </w:rPr>
    </w:lvl>
    <w:lvl w:ilvl="5">
      <w:start w:val="1"/>
      <w:numFmt w:val="none"/>
      <w:lvlRestart w:val="0"/>
      <w:lvlText w:val=""/>
      <w:lvlJc w:val="left"/>
      <w:pPr>
        <w:ind w:left="680" w:firstLine="0"/>
      </w:pPr>
      <w:rPr>
        <w:rFonts w:hint="default"/>
      </w:rPr>
    </w:lvl>
    <w:lvl w:ilvl="6">
      <w:start w:val="1"/>
      <w:numFmt w:val="none"/>
      <w:lvlRestart w:val="0"/>
      <w:lvlText w:val=""/>
      <w:lvlJc w:val="left"/>
      <w:pPr>
        <w:ind w:left="680" w:firstLine="0"/>
      </w:pPr>
      <w:rPr>
        <w:rFonts w:hint="default"/>
      </w:rPr>
    </w:lvl>
    <w:lvl w:ilvl="7">
      <w:start w:val="1"/>
      <w:numFmt w:val="none"/>
      <w:lvlRestart w:val="0"/>
      <w:lvlText w:val=""/>
      <w:lvlJc w:val="left"/>
      <w:pPr>
        <w:ind w:left="680" w:firstLine="0"/>
      </w:pPr>
      <w:rPr>
        <w:rFonts w:hint="default"/>
      </w:rPr>
    </w:lvl>
    <w:lvl w:ilvl="8">
      <w:start w:val="1"/>
      <w:numFmt w:val="none"/>
      <w:lvlRestart w:val="0"/>
      <w:lvlText w:val=""/>
      <w:lvlJc w:val="left"/>
      <w:pPr>
        <w:ind w:left="680" w:firstLine="0"/>
      </w:pPr>
      <w:rPr>
        <w:rFonts w:hint="default"/>
      </w:rPr>
    </w:lvl>
  </w:abstractNum>
  <w:abstractNum w:abstractNumId="7" w15:restartNumberingAfterBreak="0">
    <w:nsid w:val="62EA0407"/>
    <w:multiLevelType w:val="multilevel"/>
    <w:tmpl w:val="070CAB22"/>
    <w:lvl w:ilvl="0">
      <w:start w:val="1"/>
      <w:numFmt w:val="bullet"/>
      <w:suff w:val="space"/>
      <w:lvlText w:val="—"/>
      <w:lvlJc w:val="left"/>
      <w:pPr>
        <w:ind w:left="0" w:firstLine="0"/>
      </w:pPr>
      <w:rPr>
        <w:rFonts w:ascii="Calibri" w:hAnsi="Calibri" w:hint="default"/>
        <w:color w:val="auto"/>
        <w:w w:val="85"/>
        <w:position w:val="2"/>
      </w:rPr>
    </w:lvl>
    <w:lvl w:ilvl="1">
      <w:start w:val="1"/>
      <w:numFmt w:val="bullet"/>
      <w:suff w:val="space"/>
      <w:lvlText w:val="—"/>
      <w:lvlJc w:val="left"/>
      <w:pPr>
        <w:ind w:left="0" w:firstLine="0"/>
      </w:pPr>
      <w:rPr>
        <w:rFonts w:ascii="Poppins Light" w:hAnsi="Poppins Light" w:hint="default"/>
        <w:color w:val="auto"/>
        <w:w w:val="90"/>
      </w:rPr>
    </w:lvl>
    <w:lvl w:ilvl="2">
      <w:start w:val="1"/>
      <w:numFmt w:val="bullet"/>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5356BCE"/>
    <w:multiLevelType w:val="multilevel"/>
    <w:tmpl w:val="50D80332"/>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92A0718"/>
    <w:multiLevelType w:val="multilevel"/>
    <w:tmpl w:val="D1740DEA"/>
    <w:numStyleLink w:val="Bullets"/>
  </w:abstractNum>
  <w:abstractNum w:abstractNumId="10" w15:restartNumberingAfterBreak="0">
    <w:nsid w:val="7CB456E0"/>
    <w:multiLevelType w:val="multilevel"/>
    <w:tmpl w:val="1BF4A770"/>
    <w:numStyleLink w:val="Numbering"/>
  </w:abstractNum>
  <w:num w:numId="1" w16cid:durableId="212887353">
    <w:abstractNumId w:val="6"/>
  </w:num>
  <w:num w:numId="2" w16cid:durableId="252445112">
    <w:abstractNumId w:val="3"/>
  </w:num>
  <w:num w:numId="3" w16cid:durableId="448009589">
    <w:abstractNumId w:val="2"/>
  </w:num>
  <w:num w:numId="4" w16cid:durableId="121655067">
    <w:abstractNumId w:val="8"/>
  </w:num>
  <w:num w:numId="5" w16cid:durableId="723263129">
    <w:abstractNumId w:val="10"/>
  </w:num>
  <w:num w:numId="6" w16cid:durableId="1112750581">
    <w:abstractNumId w:val="4"/>
  </w:num>
  <w:num w:numId="7" w16cid:durableId="1150943867">
    <w:abstractNumId w:val="7"/>
  </w:num>
  <w:num w:numId="8" w16cid:durableId="255946728">
    <w:abstractNumId w:val="9"/>
  </w:num>
  <w:num w:numId="9" w16cid:durableId="4485522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01251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0676090">
    <w:abstractNumId w:val="0"/>
  </w:num>
  <w:num w:numId="12" w16cid:durableId="509831988">
    <w:abstractNumId w:val="1"/>
  </w:num>
  <w:num w:numId="13" w16cid:durableId="1987090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41717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244755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39043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30883416">
    <w:abstractNumId w:val="5"/>
  </w:num>
  <w:num w:numId="18" w16cid:durableId="584724611">
    <w:abstractNumId w:val="6"/>
  </w:num>
  <w:num w:numId="19" w16cid:durableId="1593005002">
    <w:abstractNumId w:val="6"/>
  </w:num>
  <w:num w:numId="20" w16cid:durableId="815754794">
    <w:abstractNumId w:val="6"/>
  </w:num>
  <w:num w:numId="21" w16cid:durableId="142894675">
    <w:abstractNumId w:val="6"/>
  </w:num>
  <w:num w:numId="22" w16cid:durableId="1435859508">
    <w:abstractNumId w:val="5"/>
  </w:num>
  <w:num w:numId="23" w16cid:durableId="199756993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03"/>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Grid"/>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B42"/>
    <w:rsid w:val="0000027A"/>
    <w:rsid w:val="000008A7"/>
    <w:rsid w:val="000073DD"/>
    <w:rsid w:val="000105FD"/>
    <w:rsid w:val="000136DF"/>
    <w:rsid w:val="000267F4"/>
    <w:rsid w:val="000300AF"/>
    <w:rsid w:val="0004264E"/>
    <w:rsid w:val="000511B9"/>
    <w:rsid w:val="00054ABD"/>
    <w:rsid w:val="00055A3A"/>
    <w:rsid w:val="000724AE"/>
    <w:rsid w:val="00075328"/>
    <w:rsid w:val="0008037D"/>
    <w:rsid w:val="00094F3A"/>
    <w:rsid w:val="000954B3"/>
    <w:rsid w:val="000973BC"/>
    <w:rsid w:val="000A2116"/>
    <w:rsid w:val="000A3A9D"/>
    <w:rsid w:val="000A6BFB"/>
    <w:rsid w:val="000B497F"/>
    <w:rsid w:val="000C1E3F"/>
    <w:rsid w:val="000C1F74"/>
    <w:rsid w:val="000C2307"/>
    <w:rsid w:val="000C278E"/>
    <w:rsid w:val="000C5AFE"/>
    <w:rsid w:val="000C7D75"/>
    <w:rsid w:val="000D1727"/>
    <w:rsid w:val="000D22BD"/>
    <w:rsid w:val="000D2E05"/>
    <w:rsid w:val="000D3A47"/>
    <w:rsid w:val="000E119B"/>
    <w:rsid w:val="000E1D20"/>
    <w:rsid w:val="000F6681"/>
    <w:rsid w:val="00102429"/>
    <w:rsid w:val="001070C3"/>
    <w:rsid w:val="001072F9"/>
    <w:rsid w:val="00112E8F"/>
    <w:rsid w:val="00114C1A"/>
    <w:rsid w:val="001268BC"/>
    <w:rsid w:val="00137E20"/>
    <w:rsid w:val="00144A2B"/>
    <w:rsid w:val="00150182"/>
    <w:rsid w:val="001636EF"/>
    <w:rsid w:val="00164AC5"/>
    <w:rsid w:val="00165983"/>
    <w:rsid w:val="00165D5C"/>
    <w:rsid w:val="001705FB"/>
    <w:rsid w:val="00180798"/>
    <w:rsid w:val="00180932"/>
    <w:rsid w:val="00183992"/>
    <w:rsid w:val="0019690A"/>
    <w:rsid w:val="001A0D77"/>
    <w:rsid w:val="001B7F51"/>
    <w:rsid w:val="001C3456"/>
    <w:rsid w:val="001C4352"/>
    <w:rsid w:val="001C7835"/>
    <w:rsid w:val="001D6DA3"/>
    <w:rsid w:val="001F13C1"/>
    <w:rsid w:val="001F446D"/>
    <w:rsid w:val="00202F87"/>
    <w:rsid w:val="00213304"/>
    <w:rsid w:val="00214529"/>
    <w:rsid w:val="00221AB7"/>
    <w:rsid w:val="002233DA"/>
    <w:rsid w:val="00230CBA"/>
    <w:rsid w:val="00234382"/>
    <w:rsid w:val="002357B3"/>
    <w:rsid w:val="002405EC"/>
    <w:rsid w:val="00241D5A"/>
    <w:rsid w:val="00246435"/>
    <w:rsid w:val="00246BCF"/>
    <w:rsid w:val="00251576"/>
    <w:rsid w:val="002550F9"/>
    <w:rsid w:val="00270834"/>
    <w:rsid w:val="00280758"/>
    <w:rsid w:val="002814E6"/>
    <w:rsid w:val="0028308F"/>
    <w:rsid w:val="00290C55"/>
    <w:rsid w:val="002933C3"/>
    <w:rsid w:val="002C52BC"/>
    <w:rsid w:val="002D576D"/>
    <w:rsid w:val="002D710A"/>
    <w:rsid w:val="002E27D5"/>
    <w:rsid w:val="002E654C"/>
    <w:rsid w:val="002E6572"/>
    <w:rsid w:val="0030399E"/>
    <w:rsid w:val="00305171"/>
    <w:rsid w:val="00307D9C"/>
    <w:rsid w:val="00313324"/>
    <w:rsid w:val="00331774"/>
    <w:rsid w:val="00334AD4"/>
    <w:rsid w:val="00343657"/>
    <w:rsid w:val="00343E87"/>
    <w:rsid w:val="00346004"/>
    <w:rsid w:val="0034680A"/>
    <w:rsid w:val="00363A81"/>
    <w:rsid w:val="00363FF8"/>
    <w:rsid w:val="00365896"/>
    <w:rsid w:val="00370CB9"/>
    <w:rsid w:val="0037721D"/>
    <w:rsid w:val="0038102A"/>
    <w:rsid w:val="0039078E"/>
    <w:rsid w:val="00393275"/>
    <w:rsid w:val="003A353D"/>
    <w:rsid w:val="003B6BA0"/>
    <w:rsid w:val="003C21C6"/>
    <w:rsid w:val="003C2E12"/>
    <w:rsid w:val="003D1ECE"/>
    <w:rsid w:val="003D23A3"/>
    <w:rsid w:val="003D5856"/>
    <w:rsid w:val="003E159B"/>
    <w:rsid w:val="00403EA8"/>
    <w:rsid w:val="00404E4F"/>
    <w:rsid w:val="0040590F"/>
    <w:rsid w:val="00405A17"/>
    <w:rsid w:val="00414BA8"/>
    <w:rsid w:val="00415F99"/>
    <w:rsid w:val="0042339A"/>
    <w:rsid w:val="0042508F"/>
    <w:rsid w:val="00431C58"/>
    <w:rsid w:val="00461FFF"/>
    <w:rsid w:val="004635FD"/>
    <w:rsid w:val="00470BBF"/>
    <w:rsid w:val="00473A3F"/>
    <w:rsid w:val="00481CC3"/>
    <w:rsid w:val="00491EA7"/>
    <w:rsid w:val="0049224E"/>
    <w:rsid w:val="004B5074"/>
    <w:rsid w:val="004B609E"/>
    <w:rsid w:val="004B675F"/>
    <w:rsid w:val="004B7329"/>
    <w:rsid w:val="004B73A3"/>
    <w:rsid w:val="004B7489"/>
    <w:rsid w:val="004D0774"/>
    <w:rsid w:val="004D1815"/>
    <w:rsid w:val="004D59AE"/>
    <w:rsid w:val="004E0833"/>
    <w:rsid w:val="004E1CB4"/>
    <w:rsid w:val="004E28C6"/>
    <w:rsid w:val="004F138F"/>
    <w:rsid w:val="004F1DC6"/>
    <w:rsid w:val="0050670B"/>
    <w:rsid w:val="00507FBD"/>
    <w:rsid w:val="005105FF"/>
    <w:rsid w:val="005141E8"/>
    <w:rsid w:val="0052059A"/>
    <w:rsid w:val="0052060D"/>
    <w:rsid w:val="0053413C"/>
    <w:rsid w:val="005356AC"/>
    <w:rsid w:val="00537559"/>
    <w:rsid w:val="00546B13"/>
    <w:rsid w:val="00550C99"/>
    <w:rsid w:val="00553179"/>
    <w:rsid w:val="00553413"/>
    <w:rsid w:val="00556A66"/>
    <w:rsid w:val="0058369E"/>
    <w:rsid w:val="005840AA"/>
    <w:rsid w:val="00586217"/>
    <w:rsid w:val="005870BD"/>
    <w:rsid w:val="00593314"/>
    <w:rsid w:val="00594496"/>
    <w:rsid w:val="005C6618"/>
    <w:rsid w:val="005E1C6E"/>
    <w:rsid w:val="005F7BEB"/>
    <w:rsid w:val="00603FD5"/>
    <w:rsid w:val="0061040B"/>
    <w:rsid w:val="00616CA4"/>
    <w:rsid w:val="00616DC8"/>
    <w:rsid w:val="00621579"/>
    <w:rsid w:val="00623C0F"/>
    <w:rsid w:val="00647480"/>
    <w:rsid w:val="0065250A"/>
    <w:rsid w:val="006664F7"/>
    <w:rsid w:val="00666DE1"/>
    <w:rsid w:val="00670356"/>
    <w:rsid w:val="006756B2"/>
    <w:rsid w:val="00684423"/>
    <w:rsid w:val="0068724F"/>
    <w:rsid w:val="00695B11"/>
    <w:rsid w:val="006974A2"/>
    <w:rsid w:val="006A1DEF"/>
    <w:rsid w:val="006A23B9"/>
    <w:rsid w:val="006A34C5"/>
    <w:rsid w:val="006B2360"/>
    <w:rsid w:val="006C31AA"/>
    <w:rsid w:val="006C4AF4"/>
    <w:rsid w:val="006D3F2F"/>
    <w:rsid w:val="006E3536"/>
    <w:rsid w:val="006F54DA"/>
    <w:rsid w:val="00713B8B"/>
    <w:rsid w:val="00714488"/>
    <w:rsid w:val="00734963"/>
    <w:rsid w:val="00737077"/>
    <w:rsid w:val="0074201B"/>
    <w:rsid w:val="00772D25"/>
    <w:rsid w:val="007900DE"/>
    <w:rsid w:val="00792CFA"/>
    <w:rsid w:val="007974E4"/>
    <w:rsid w:val="007A0363"/>
    <w:rsid w:val="007A7D3A"/>
    <w:rsid w:val="007B4602"/>
    <w:rsid w:val="007B48FB"/>
    <w:rsid w:val="007C0ADF"/>
    <w:rsid w:val="007C4FFE"/>
    <w:rsid w:val="007D7B42"/>
    <w:rsid w:val="007E586C"/>
    <w:rsid w:val="00800CDD"/>
    <w:rsid w:val="008104DA"/>
    <w:rsid w:val="0081533C"/>
    <w:rsid w:val="00822DF0"/>
    <w:rsid w:val="0085439B"/>
    <w:rsid w:val="0086572B"/>
    <w:rsid w:val="00883AAB"/>
    <w:rsid w:val="00896C45"/>
    <w:rsid w:val="008A7096"/>
    <w:rsid w:val="008B05C3"/>
    <w:rsid w:val="008B4965"/>
    <w:rsid w:val="008C0EB6"/>
    <w:rsid w:val="008C6E53"/>
    <w:rsid w:val="008C707A"/>
    <w:rsid w:val="008D1ABD"/>
    <w:rsid w:val="008F38FC"/>
    <w:rsid w:val="0090137A"/>
    <w:rsid w:val="00907240"/>
    <w:rsid w:val="0091143E"/>
    <w:rsid w:val="00936068"/>
    <w:rsid w:val="009366B4"/>
    <w:rsid w:val="0094398B"/>
    <w:rsid w:val="009452C4"/>
    <w:rsid w:val="009517CC"/>
    <w:rsid w:val="00957785"/>
    <w:rsid w:val="009615D4"/>
    <w:rsid w:val="00971FF9"/>
    <w:rsid w:val="00974677"/>
    <w:rsid w:val="009802D1"/>
    <w:rsid w:val="00983723"/>
    <w:rsid w:val="00990FD7"/>
    <w:rsid w:val="00991168"/>
    <w:rsid w:val="009A06F2"/>
    <w:rsid w:val="009A2F17"/>
    <w:rsid w:val="009A4587"/>
    <w:rsid w:val="009A6FDC"/>
    <w:rsid w:val="009A7C61"/>
    <w:rsid w:val="009B3B98"/>
    <w:rsid w:val="009B7E0E"/>
    <w:rsid w:val="009C09D0"/>
    <w:rsid w:val="009D24F5"/>
    <w:rsid w:val="009D6035"/>
    <w:rsid w:val="009F0DF2"/>
    <w:rsid w:val="009F2A37"/>
    <w:rsid w:val="009F6BBF"/>
    <w:rsid w:val="00A0032E"/>
    <w:rsid w:val="00A12289"/>
    <w:rsid w:val="00A12DEA"/>
    <w:rsid w:val="00A13664"/>
    <w:rsid w:val="00A16F8B"/>
    <w:rsid w:val="00A2260D"/>
    <w:rsid w:val="00A24EF4"/>
    <w:rsid w:val="00A33840"/>
    <w:rsid w:val="00A46170"/>
    <w:rsid w:val="00A60B01"/>
    <w:rsid w:val="00A65C34"/>
    <w:rsid w:val="00A90151"/>
    <w:rsid w:val="00A9359B"/>
    <w:rsid w:val="00A97B80"/>
    <w:rsid w:val="00AA163B"/>
    <w:rsid w:val="00AB0CEB"/>
    <w:rsid w:val="00AB1774"/>
    <w:rsid w:val="00AC0558"/>
    <w:rsid w:val="00AC6E87"/>
    <w:rsid w:val="00AD1A44"/>
    <w:rsid w:val="00AF7073"/>
    <w:rsid w:val="00B029F1"/>
    <w:rsid w:val="00B05EAF"/>
    <w:rsid w:val="00B06B95"/>
    <w:rsid w:val="00B23603"/>
    <w:rsid w:val="00B32D6C"/>
    <w:rsid w:val="00B34508"/>
    <w:rsid w:val="00B37050"/>
    <w:rsid w:val="00B3749D"/>
    <w:rsid w:val="00B51D4B"/>
    <w:rsid w:val="00B65DAA"/>
    <w:rsid w:val="00B66B2F"/>
    <w:rsid w:val="00B74F7F"/>
    <w:rsid w:val="00B75B08"/>
    <w:rsid w:val="00B76C02"/>
    <w:rsid w:val="00B85E95"/>
    <w:rsid w:val="00B87859"/>
    <w:rsid w:val="00B91D47"/>
    <w:rsid w:val="00BA3CB8"/>
    <w:rsid w:val="00BA7623"/>
    <w:rsid w:val="00BC1EFB"/>
    <w:rsid w:val="00BC4753"/>
    <w:rsid w:val="00BC4C77"/>
    <w:rsid w:val="00BF2C66"/>
    <w:rsid w:val="00BF65E6"/>
    <w:rsid w:val="00BF68C8"/>
    <w:rsid w:val="00BF772B"/>
    <w:rsid w:val="00C01E68"/>
    <w:rsid w:val="00C03734"/>
    <w:rsid w:val="00C11924"/>
    <w:rsid w:val="00C14E7A"/>
    <w:rsid w:val="00C26ABF"/>
    <w:rsid w:val="00C276EB"/>
    <w:rsid w:val="00C326F9"/>
    <w:rsid w:val="00C37A29"/>
    <w:rsid w:val="00C41A14"/>
    <w:rsid w:val="00C41C64"/>
    <w:rsid w:val="00C471C1"/>
    <w:rsid w:val="00C70EFC"/>
    <w:rsid w:val="00C800CB"/>
    <w:rsid w:val="00C80806"/>
    <w:rsid w:val="00C82DE7"/>
    <w:rsid w:val="00C83127"/>
    <w:rsid w:val="00C932F3"/>
    <w:rsid w:val="00CA396E"/>
    <w:rsid w:val="00CA5753"/>
    <w:rsid w:val="00CA60FE"/>
    <w:rsid w:val="00CC0EC4"/>
    <w:rsid w:val="00CC125D"/>
    <w:rsid w:val="00CC3421"/>
    <w:rsid w:val="00CC3B59"/>
    <w:rsid w:val="00CD61EB"/>
    <w:rsid w:val="00CE066A"/>
    <w:rsid w:val="00CF02F0"/>
    <w:rsid w:val="00CF59E1"/>
    <w:rsid w:val="00D16F74"/>
    <w:rsid w:val="00D27CF0"/>
    <w:rsid w:val="00D34DC7"/>
    <w:rsid w:val="00D402E8"/>
    <w:rsid w:val="00D42915"/>
    <w:rsid w:val="00D433EC"/>
    <w:rsid w:val="00D47510"/>
    <w:rsid w:val="00D60649"/>
    <w:rsid w:val="00D61E88"/>
    <w:rsid w:val="00D62D47"/>
    <w:rsid w:val="00D662F6"/>
    <w:rsid w:val="00D80395"/>
    <w:rsid w:val="00D83923"/>
    <w:rsid w:val="00D85FBA"/>
    <w:rsid w:val="00D918CA"/>
    <w:rsid w:val="00D9303F"/>
    <w:rsid w:val="00D9419D"/>
    <w:rsid w:val="00DA0559"/>
    <w:rsid w:val="00DC5BA4"/>
    <w:rsid w:val="00DC5E0C"/>
    <w:rsid w:val="00DF4E3E"/>
    <w:rsid w:val="00E043F9"/>
    <w:rsid w:val="00E0453D"/>
    <w:rsid w:val="00E05FA6"/>
    <w:rsid w:val="00E25474"/>
    <w:rsid w:val="00E32F93"/>
    <w:rsid w:val="00E37484"/>
    <w:rsid w:val="00E415DB"/>
    <w:rsid w:val="00E54B2B"/>
    <w:rsid w:val="00E70491"/>
    <w:rsid w:val="00E70791"/>
    <w:rsid w:val="00E72AD3"/>
    <w:rsid w:val="00E74E10"/>
    <w:rsid w:val="00E763DC"/>
    <w:rsid w:val="00E86339"/>
    <w:rsid w:val="00E945AC"/>
    <w:rsid w:val="00E9686E"/>
    <w:rsid w:val="00E97909"/>
    <w:rsid w:val="00EA1943"/>
    <w:rsid w:val="00EA300A"/>
    <w:rsid w:val="00EC3F9C"/>
    <w:rsid w:val="00ED43DE"/>
    <w:rsid w:val="00EE6F14"/>
    <w:rsid w:val="00EF039B"/>
    <w:rsid w:val="00EF3F23"/>
    <w:rsid w:val="00EF73EA"/>
    <w:rsid w:val="00F120D7"/>
    <w:rsid w:val="00F12C35"/>
    <w:rsid w:val="00F162D4"/>
    <w:rsid w:val="00F4010B"/>
    <w:rsid w:val="00F416F3"/>
    <w:rsid w:val="00F43E5B"/>
    <w:rsid w:val="00F45363"/>
    <w:rsid w:val="00F46C64"/>
    <w:rsid w:val="00F4702C"/>
    <w:rsid w:val="00F47437"/>
    <w:rsid w:val="00F505B8"/>
    <w:rsid w:val="00F516E6"/>
    <w:rsid w:val="00F57F42"/>
    <w:rsid w:val="00F613F3"/>
    <w:rsid w:val="00F634F6"/>
    <w:rsid w:val="00F735D0"/>
    <w:rsid w:val="00F77431"/>
    <w:rsid w:val="00F87B07"/>
    <w:rsid w:val="00F94880"/>
    <w:rsid w:val="00FA1D28"/>
    <w:rsid w:val="00FB0D65"/>
    <w:rsid w:val="00FB127D"/>
    <w:rsid w:val="00FB29DB"/>
    <w:rsid w:val="00FB74A1"/>
    <w:rsid w:val="00FC2D8B"/>
    <w:rsid w:val="00FC3383"/>
    <w:rsid w:val="00FD3306"/>
    <w:rsid w:val="00FD3469"/>
    <w:rsid w:val="00FE57D8"/>
    <w:rsid w:val="00FF0570"/>
    <w:rsid w:val="00FF699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592C2"/>
  <w15:chartTrackingRefBased/>
  <w15:docId w15:val="{3AA74C16-AD27-1748-8E15-8E4300D67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D1815"/>
    <w:pPr>
      <w:spacing w:after="180" w:line="264" w:lineRule="auto"/>
    </w:pPr>
    <w:rPr>
      <w:color w:val="002554" w:themeColor="text1"/>
      <w:spacing w:val="-5"/>
      <w:sz w:val="24"/>
    </w:rPr>
  </w:style>
  <w:style w:type="paragraph" w:styleId="Heading1">
    <w:name w:val="heading 1"/>
    <w:next w:val="BodyText"/>
    <w:link w:val="Heading1Char"/>
    <w:uiPriority w:val="5"/>
    <w:qFormat/>
    <w:rsid w:val="004D1815"/>
    <w:pPr>
      <w:keepNext/>
      <w:keepLines/>
      <w:spacing w:before="400" w:after="240" w:line="216" w:lineRule="auto"/>
      <w:outlineLvl w:val="0"/>
    </w:pPr>
    <w:rPr>
      <w:rFonts w:asciiTheme="majorHAnsi" w:hAnsiTheme="majorHAnsi" w:cstheme="majorHAnsi"/>
      <w:b/>
      <w:bCs/>
      <w:color w:val="002554" w:themeColor="text1"/>
      <w:spacing w:val="-3"/>
      <w:sz w:val="34"/>
      <w:szCs w:val="21"/>
    </w:rPr>
  </w:style>
  <w:style w:type="paragraph" w:styleId="Heading2">
    <w:name w:val="heading 2"/>
    <w:next w:val="BodyText"/>
    <w:link w:val="Heading2Char"/>
    <w:uiPriority w:val="5"/>
    <w:qFormat/>
    <w:rsid w:val="004D1815"/>
    <w:pPr>
      <w:keepNext/>
      <w:keepLines/>
      <w:spacing w:before="280" w:after="120" w:line="240" w:lineRule="auto"/>
      <w:outlineLvl w:val="1"/>
    </w:pPr>
    <w:rPr>
      <w:rFonts w:asciiTheme="majorHAnsi" w:hAnsiTheme="majorHAnsi" w:cstheme="majorHAnsi"/>
      <w:b/>
      <w:bCs/>
      <w:color w:val="002554" w:themeColor="text1"/>
      <w:spacing w:val="-3"/>
      <w:sz w:val="28"/>
      <w:szCs w:val="18"/>
    </w:rPr>
  </w:style>
  <w:style w:type="paragraph" w:styleId="Heading3">
    <w:name w:val="heading 3"/>
    <w:next w:val="BodyText"/>
    <w:link w:val="Heading3Char"/>
    <w:uiPriority w:val="5"/>
    <w:qFormat/>
    <w:rsid w:val="004D1815"/>
    <w:pPr>
      <w:keepNext/>
      <w:keepLines/>
      <w:spacing w:before="280" w:after="120" w:line="240" w:lineRule="auto"/>
      <w:outlineLvl w:val="2"/>
    </w:pPr>
    <w:rPr>
      <w:rFonts w:asciiTheme="majorHAnsi" w:eastAsiaTheme="majorEastAsia" w:hAnsiTheme="majorHAnsi" w:cstheme="majorBidi"/>
      <w:b/>
      <w:color w:val="002554" w:themeColor="text1"/>
      <w:spacing w:val="-5"/>
      <w:sz w:val="24"/>
      <w:szCs w:val="28"/>
    </w:rPr>
  </w:style>
  <w:style w:type="paragraph" w:styleId="Heading4">
    <w:name w:val="heading 4"/>
    <w:basedOn w:val="Normal"/>
    <w:next w:val="BodyText"/>
    <w:link w:val="Heading4Char"/>
    <w:uiPriority w:val="9"/>
    <w:semiHidden/>
    <w:rsid w:val="004D1815"/>
    <w:pPr>
      <w:keepNext/>
      <w:keepLines/>
      <w:suppressAutoHyphens/>
      <w:spacing w:after="0" w:line="240" w:lineRule="auto"/>
      <w:outlineLvl w:val="3"/>
    </w:pPr>
    <w:rPr>
      <w:rFonts w:asciiTheme="majorHAnsi" w:eastAsiaTheme="majorEastAsia" w:hAnsiTheme="majorHAnsi" w:cstheme="majorBidi"/>
      <w:b/>
      <w:sz w:val="18"/>
    </w:rPr>
  </w:style>
  <w:style w:type="paragraph" w:styleId="Heading5">
    <w:name w:val="heading 5"/>
    <w:basedOn w:val="Normal"/>
    <w:next w:val="Normal"/>
    <w:link w:val="Heading5Char"/>
    <w:uiPriority w:val="9"/>
    <w:semiHidden/>
    <w:rsid w:val="004D1815"/>
    <w:pPr>
      <w:keepNext/>
      <w:keepLines/>
      <w:spacing w:after="0" w:line="240" w:lineRule="auto"/>
      <w:outlineLvl w:val="4"/>
    </w:pPr>
    <w:rPr>
      <w:rFonts w:eastAsiaTheme="majorEastAsia" w:cstheme="majorBidi"/>
      <w:b/>
      <w:sz w:val="18"/>
    </w:rPr>
  </w:style>
  <w:style w:type="paragraph" w:styleId="Heading6">
    <w:name w:val="heading 6"/>
    <w:basedOn w:val="Normal"/>
    <w:next w:val="Normal"/>
    <w:link w:val="Heading6Char"/>
    <w:uiPriority w:val="9"/>
    <w:semiHidden/>
    <w:rsid w:val="004D1815"/>
    <w:pPr>
      <w:keepNext/>
      <w:keepLines/>
      <w:spacing w:after="0" w:line="240" w:lineRule="auto"/>
      <w:outlineLvl w:val="5"/>
    </w:pPr>
    <w:rPr>
      <w:rFonts w:eastAsiaTheme="majorEastAsia" w:cstheme="majorBid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semiHidden/>
    <w:qFormat/>
    <w:rsid w:val="00D34DC7"/>
    <w:pPr>
      <w:spacing w:after="0"/>
    </w:pPr>
  </w:style>
  <w:style w:type="paragraph" w:styleId="ListBullet">
    <w:name w:val="List Bullet"/>
    <w:basedOn w:val="BodyText"/>
    <w:uiPriority w:val="2"/>
    <w:qFormat/>
    <w:rsid w:val="002E27D5"/>
    <w:pPr>
      <w:numPr>
        <w:numId w:val="21"/>
      </w:numPr>
      <w:spacing w:after="80"/>
    </w:pPr>
  </w:style>
  <w:style w:type="paragraph" w:styleId="ListBullet2">
    <w:name w:val="List Bullet 2"/>
    <w:basedOn w:val="BodyText"/>
    <w:uiPriority w:val="3"/>
    <w:qFormat/>
    <w:rsid w:val="002E27D5"/>
    <w:pPr>
      <w:numPr>
        <w:ilvl w:val="1"/>
        <w:numId w:val="21"/>
      </w:numPr>
      <w:spacing w:after="80"/>
    </w:pPr>
  </w:style>
  <w:style w:type="paragraph" w:styleId="ListNumber">
    <w:name w:val="List Number"/>
    <w:basedOn w:val="BodyText"/>
    <w:uiPriority w:val="4"/>
    <w:qFormat/>
    <w:rsid w:val="00CF59E1"/>
    <w:pPr>
      <w:numPr>
        <w:numId w:val="2"/>
      </w:numPr>
      <w:spacing w:after="120"/>
    </w:pPr>
  </w:style>
  <w:style w:type="numbering" w:customStyle="1" w:styleId="Bullets">
    <w:name w:val="Bullets"/>
    <w:uiPriority w:val="99"/>
    <w:rsid w:val="002E27D5"/>
    <w:pPr>
      <w:numPr>
        <w:numId w:val="1"/>
      </w:numPr>
    </w:pPr>
  </w:style>
  <w:style w:type="character" w:customStyle="1" w:styleId="Heading1Char">
    <w:name w:val="Heading 1 Char"/>
    <w:basedOn w:val="DefaultParagraphFont"/>
    <w:link w:val="Heading1"/>
    <w:uiPriority w:val="5"/>
    <w:rsid w:val="004D1815"/>
    <w:rPr>
      <w:rFonts w:asciiTheme="majorHAnsi" w:hAnsiTheme="majorHAnsi" w:cstheme="majorHAnsi"/>
      <w:b/>
      <w:bCs/>
      <w:color w:val="002554" w:themeColor="text1"/>
      <w:spacing w:val="-3"/>
      <w:sz w:val="34"/>
      <w:szCs w:val="21"/>
    </w:rPr>
  </w:style>
  <w:style w:type="paragraph" w:styleId="ListNumber2">
    <w:name w:val="List Number 2"/>
    <w:basedOn w:val="BodyText"/>
    <w:uiPriority w:val="99"/>
    <w:rsid w:val="00CF59E1"/>
    <w:pPr>
      <w:numPr>
        <w:ilvl w:val="1"/>
        <w:numId w:val="2"/>
      </w:numPr>
      <w:spacing w:after="100"/>
      <w:contextualSpacing/>
    </w:pPr>
  </w:style>
  <w:style w:type="character" w:customStyle="1" w:styleId="Heading2Char">
    <w:name w:val="Heading 2 Char"/>
    <w:basedOn w:val="DefaultParagraphFont"/>
    <w:link w:val="Heading2"/>
    <w:uiPriority w:val="5"/>
    <w:rsid w:val="004D1815"/>
    <w:rPr>
      <w:rFonts w:asciiTheme="majorHAnsi" w:hAnsiTheme="majorHAnsi" w:cstheme="majorHAnsi"/>
      <w:b/>
      <w:bCs/>
      <w:color w:val="002554" w:themeColor="text1"/>
      <w:spacing w:val="-3"/>
      <w:sz w:val="28"/>
      <w:szCs w:val="18"/>
    </w:rPr>
  </w:style>
  <w:style w:type="paragraph" w:styleId="ListParagraph">
    <w:name w:val="List Paragraph"/>
    <w:basedOn w:val="Normal"/>
    <w:uiPriority w:val="34"/>
    <w:semiHidden/>
    <w:rsid w:val="00594496"/>
    <w:pPr>
      <w:ind w:left="284"/>
      <w:contextualSpacing/>
    </w:pPr>
  </w:style>
  <w:style w:type="paragraph" w:styleId="Header">
    <w:name w:val="header"/>
    <w:link w:val="HeaderChar"/>
    <w:uiPriority w:val="99"/>
    <w:unhideWhenUsed/>
    <w:rsid w:val="002E27D5"/>
    <w:pPr>
      <w:tabs>
        <w:tab w:val="right" w:pos="8789"/>
      </w:tabs>
      <w:spacing w:after="0" w:line="240" w:lineRule="auto"/>
      <w:ind w:right="-3119"/>
      <w:contextualSpacing/>
    </w:pPr>
    <w:rPr>
      <w:color w:val="002554" w:themeColor="text1"/>
      <w:sz w:val="20"/>
    </w:rPr>
  </w:style>
  <w:style w:type="character" w:customStyle="1" w:styleId="HeaderChar">
    <w:name w:val="Header Char"/>
    <w:basedOn w:val="DefaultParagraphFont"/>
    <w:link w:val="Header"/>
    <w:uiPriority w:val="99"/>
    <w:rsid w:val="002E27D5"/>
    <w:rPr>
      <w:color w:val="002554" w:themeColor="text1"/>
      <w:sz w:val="20"/>
    </w:rPr>
  </w:style>
  <w:style w:type="paragraph" w:styleId="Footer">
    <w:name w:val="footer"/>
    <w:link w:val="FooterChar"/>
    <w:uiPriority w:val="99"/>
    <w:rsid w:val="00C800CB"/>
    <w:pPr>
      <w:spacing w:after="0" w:line="240" w:lineRule="auto"/>
    </w:pPr>
    <w:rPr>
      <w:color w:val="002554" w:themeColor="text1"/>
      <w:sz w:val="20"/>
    </w:rPr>
  </w:style>
  <w:style w:type="character" w:customStyle="1" w:styleId="FooterChar">
    <w:name w:val="Footer Char"/>
    <w:basedOn w:val="DefaultParagraphFont"/>
    <w:link w:val="Footer"/>
    <w:uiPriority w:val="99"/>
    <w:rsid w:val="000C278E"/>
    <w:rPr>
      <w:color w:val="002554" w:themeColor="text1"/>
      <w:sz w:val="20"/>
    </w:rPr>
  </w:style>
  <w:style w:type="numbering" w:customStyle="1" w:styleId="Numbering">
    <w:name w:val="Numbering"/>
    <w:uiPriority w:val="99"/>
    <w:rsid w:val="00CF59E1"/>
    <w:pPr>
      <w:numPr>
        <w:numId w:val="2"/>
      </w:numPr>
    </w:pPr>
  </w:style>
  <w:style w:type="paragraph" w:styleId="ListBullet3">
    <w:name w:val="List Bullet 3"/>
    <w:basedOn w:val="BodyText"/>
    <w:uiPriority w:val="99"/>
    <w:rsid w:val="002E27D5"/>
    <w:pPr>
      <w:numPr>
        <w:ilvl w:val="2"/>
        <w:numId w:val="21"/>
      </w:numPr>
      <w:spacing w:after="80"/>
    </w:pPr>
  </w:style>
  <w:style w:type="paragraph" w:styleId="ListContinue2">
    <w:name w:val="List Continue 2"/>
    <w:basedOn w:val="Normal"/>
    <w:uiPriority w:val="99"/>
    <w:semiHidden/>
    <w:qFormat/>
    <w:rsid w:val="005870BD"/>
    <w:pPr>
      <w:ind w:left="737"/>
    </w:pPr>
  </w:style>
  <w:style w:type="paragraph" w:styleId="ListNumber3">
    <w:name w:val="List Number 3"/>
    <w:basedOn w:val="Normal"/>
    <w:uiPriority w:val="99"/>
    <w:semiHidden/>
    <w:rsid w:val="00CF59E1"/>
    <w:pPr>
      <w:contextualSpacing/>
    </w:pPr>
  </w:style>
  <w:style w:type="paragraph" w:styleId="ListNumber4">
    <w:name w:val="List Number 4"/>
    <w:basedOn w:val="Normal"/>
    <w:uiPriority w:val="99"/>
    <w:semiHidden/>
    <w:rsid w:val="00CF59E1"/>
    <w:pPr>
      <w:contextualSpacing/>
    </w:pPr>
  </w:style>
  <w:style w:type="paragraph" w:styleId="ListNumber5">
    <w:name w:val="List Number 5"/>
    <w:basedOn w:val="Normal"/>
    <w:uiPriority w:val="99"/>
    <w:semiHidden/>
    <w:rsid w:val="00CF59E1"/>
    <w:pPr>
      <w:contextualSpacing/>
    </w:pPr>
  </w:style>
  <w:style w:type="paragraph" w:styleId="ListContinue">
    <w:name w:val="List Continue"/>
    <w:basedOn w:val="Normal"/>
    <w:uiPriority w:val="99"/>
    <w:semiHidden/>
    <w:qFormat/>
    <w:rsid w:val="005870BD"/>
    <w:pPr>
      <w:ind w:left="340"/>
    </w:pPr>
  </w:style>
  <w:style w:type="paragraph" w:styleId="ListContinue3">
    <w:name w:val="List Continue 3"/>
    <w:basedOn w:val="Normal"/>
    <w:uiPriority w:val="99"/>
    <w:semiHidden/>
    <w:rsid w:val="005870BD"/>
    <w:pPr>
      <w:ind w:left="1134"/>
    </w:pPr>
  </w:style>
  <w:style w:type="paragraph" w:styleId="ListContinue4">
    <w:name w:val="List Continue 4"/>
    <w:basedOn w:val="Normal"/>
    <w:uiPriority w:val="99"/>
    <w:semiHidden/>
    <w:rsid w:val="00974677"/>
    <w:pPr>
      <w:ind w:left="1132"/>
      <w:contextualSpacing/>
    </w:pPr>
  </w:style>
  <w:style w:type="character" w:customStyle="1" w:styleId="Heading3Char">
    <w:name w:val="Heading 3 Char"/>
    <w:basedOn w:val="DefaultParagraphFont"/>
    <w:link w:val="Heading3"/>
    <w:uiPriority w:val="5"/>
    <w:rsid w:val="004D1815"/>
    <w:rPr>
      <w:rFonts w:asciiTheme="majorHAnsi" w:eastAsiaTheme="majorEastAsia" w:hAnsiTheme="majorHAnsi" w:cstheme="majorBidi"/>
      <w:b/>
      <w:color w:val="002554" w:themeColor="text1"/>
      <w:spacing w:val="-5"/>
      <w:sz w:val="24"/>
      <w:szCs w:val="28"/>
    </w:rPr>
  </w:style>
  <w:style w:type="character" w:customStyle="1" w:styleId="Heading4Char">
    <w:name w:val="Heading 4 Char"/>
    <w:basedOn w:val="DefaultParagraphFont"/>
    <w:link w:val="Heading4"/>
    <w:uiPriority w:val="9"/>
    <w:semiHidden/>
    <w:rsid w:val="004D1815"/>
    <w:rPr>
      <w:rFonts w:asciiTheme="majorHAnsi" w:eastAsiaTheme="majorEastAsia" w:hAnsiTheme="majorHAnsi" w:cstheme="majorBidi"/>
      <w:b/>
      <w:color w:val="002554" w:themeColor="text1"/>
      <w:spacing w:val="-5"/>
      <w:sz w:val="18"/>
    </w:rPr>
  </w:style>
  <w:style w:type="character" w:customStyle="1" w:styleId="Heading5Char">
    <w:name w:val="Heading 5 Char"/>
    <w:basedOn w:val="DefaultParagraphFont"/>
    <w:link w:val="Heading5"/>
    <w:uiPriority w:val="9"/>
    <w:semiHidden/>
    <w:rsid w:val="004D1815"/>
    <w:rPr>
      <w:rFonts w:eastAsiaTheme="majorEastAsia" w:cstheme="majorBidi"/>
      <w:b/>
      <w:color w:val="002554" w:themeColor="text1"/>
      <w:spacing w:val="-5"/>
      <w:sz w:val="18"/>
    </w:rPr>
  </w:style>
  <w:style w:type="numbering" w:customStyle="1" w:styleId="ListHeadings">
    <w:name w:val="List Headings"/>
    <w:uiPriority w:val="99"/>
    <w:rsid w:val="00D16F74"/>
    <w:pPr>
      <w:numPr>
        <w:numId w:val="3"/>
      </w:numPr>
    </w:pPr>
  </w:style>
  <w:style w:type="paragraph" w:styleId="Title">
    <w:name w:val="Title"/>
    <w:next w:val="Normal"/>
    <w:link w:val="TitleChar"/>
    <w:uiPriority w:val="10"/>
    <w:rsid w:val="008F38FC"/>
    <w:pPr>
      <w:keepLines/>
      <w:suppressAutoHyphens/>
      <w:spacing w:after="320" w:line="216" w:lineRule="auto"/>
    </w:pPr>
    <w:rPr>
      <w:rFonts w:asciiTheme="majorHAnsi" w:hAnsiTheme="majorHAnsi"/>
      <w:b/>
      <w:bCs/>
      <w:color w:val="002554" w:themeColor="text1"/>
      <w:spacing w:val="-5"/>
      <w:sz w:val="52"/>
      <w:szCs w:val="52"/>
    </w:rPr>
  </w:style>
  <w:style w:type="character" w:customStyle="1" w:styleId="TitleChar">
    <w:name w:val="Title Char"/>
    <w:basedOn w:val="DefaultParagraphFont"/>
    <w:link w:val="Title"/>
    <w:uiPriority w:val="10"/>
    <w:rsid w:val="008F38FC"/>
    <w:rPr>
      <w:rFonts w:asciiTheme="majorHAnsi" w:hAnsiTheme="majorHAnsi"/>
      <w:b/>
      <w:bCs/>
      <w:color w:val="002554" w:themeColor="text1"/>
      <w:spacing w:val="-5"/>
      <w:sz w:val="52"/>
      <w:szCs w:val="52"/>
    </w:rPr>
  </w:style>
  <w:style w:type="paragraph" w:styleId="ListBullet4">
    <w:name w:val="List Bullet 4"/>
    <w:basedOn w:val="Normal"/>
    <w:uiPriority w:val="99"/>
    <w:semiHidden/>
    <w:rsid w:val="000C1F74"/>
    <w:pPr>
      <w:spacing w:after="130" w:line="192" w:lineRule="auto"/>
    </w:pPr>
  </w:style>
  <w:style w:type="paragraph" w:customStyle="1" w:styleId="Introduction">
    <w:name w:val="Introduction"/>
    <w:basedOn w:val="Normal"/>
    <w:next w:val="BodyText"/>
    <w:link w:val="IntroductionChar"/>
    <w:uiPriority w:val="6"/>
    <w:qFormat/>
    <w:rsid w:val="00F57F42"/>
    <w:pPr>
      <w:spacing w:before="180"/>
    </w:pPr>
    <w:rPr>
      <w:rFonts w:cstheme="majorHAnsi"/>
      <w:b/>
      <w:bCs/>
    </w:rPr>
  </w:style>
  <w:style w:type="character" w:styleId="FollowedHyperlink">
    <w:name w:val="FollowedHyperlink"/>
    <w:basedOn w:val="DefaultParagraphFont"/>
    <w:uiPriority w:val="99"/>
    <w:rsid w:val="002933C3"/>
    <w:rPr>
      <w:color w:val="002554" w:themeColor="text1"/>
      <w:u w:val="single"/>
    </w:rPr>
  </w:style>
  <w:style w:type="character" w:customStyle="1" w:styleId="IntroductionChar">
    <w:name w:val="Introduction Char"/>
    <w:basedOn w:val="DefaultParagraphFont"/>
    <w:link w:val="Introduction"/>
    <w:uiPriority w:val="6"/>
    <w:rsid w:val="000A3A9D"/>
    <w:rPr>
      <w:rFonts w:cstheme="majorHAnsi"/>
      <w:b/>
      <w:bCs/>
      <w:color w:val="002554" w:themeColor="text1"/>
      <w:spacing w:val="-5"/>
      <w:sz w:val="24"/>
    </w:rPr>
  </w:style>
  <w:style w:type="paragraph" w:styleId="ListContinue5">
    <w:name w:val="List Continue 5"/>
    <w:basedOn w:val="Normal"/>
    <w:uiPriority w:val="99"/>
    <w:semiHidden/>
    <w:rsid w:val="00593314"/>
    <w:pPr>
      <w:ind w:left="1415"/>
      <w:contextualSpacing/>
    </w:pPr>
  </w:style>
  <w:style w:type="table" w:styleId="TableGrid">
    <w:name w:val="Table Grid"/>
    <w:basedOn w:val="TableNormal"/>
    <w:uiPriority w:val="39"/>
    <w:rsid w:val="002E27D5"/>
    <w:pPr>
      <w:spacing w:after="0" w:line="240" w:lineRule="auto"/>
    </w:pPr>
    <w:tblPr>
      <w:tblBorders>
        <w:top w:val="single" w:sz="4" w:space="0" w:color="002554" w:themeColor="accent1"/>
        <w:bottom w:val="single" w:sz="4" w:space="0" w:color="002554" w:themeColor="accent1"/>
        <w:insideH w:val="single" w:sz="4" w:space="0" w:color="002554" w:themeColor="accent1"/>
      </w:tblBorders>
      <w:tblCellMar>
        <w:left w:w="0" w:type="dxa"/>
        <w:right w:w="170" w:type="dxa"/>
      </w:tblCellMar>
    </w:tblPr>
    <w:tblStylePr w:type="firstRow">
      <w:tblPr/>
      <w:tcPr>
        <w:vAlign w:val="bottom"/>
      </w:tcPr>
    </w:tblStylePr>
  </w:style>
  <w:style w:type="paragraph" w:styleId="Caption">
    <w:name w:val="caption"/>
    <w:basedOn w:val="Normal"/>
    <w:next w:val="BodyText"/>
    <w:uiPriority w:val="8"/>
    <w:qFormat/>
    <w:rsid w:val="00202F87"/>
    <w:pPr>
      <w:keepNext/>
      <w:keepLines/>
      <w:spacing w:before="280" w:after="160" w:line="240" w:lineRule="auto"/>
    </w:pPr>
    <w:rPr>
      <w:b/>
      <w:iCs/>
      <w:spacing w:val="0"/>
      <w:szCs w:val="18"/>
    </w:rPr>
  </w:style>
  <w:style w:type="paragraph" w:styleId="List">
    <w:name w:val="List"/>
    <w:basedOn w:val="Normal"/>
    <w:uiPriority w:val="99"/>
    <w:semiHidden/>
    <w:rsid w:val="00E25474"/>
    <w:pPr>
      <w:numPr>
        <w:numId w:val="4"/>
      </w:numPr>
      <w:contextualSpacing/>
    </w:pPr>
  </w:style>
  <w:style w:type="paragraph" w:styleId="List2">
    <w:name w:val="List 2"/>
    <w:basedOn w:val="Normal"/>
    <w:uiPriority w:val="99"/>
    <w:semiHidden/>
    <w:rsid w:val="00E25474"/>
    <w:pPr>
      <w:numPr>
        <w:ilvl w:val="1"/>
        <w:numId w:val="4"/>
      </w:numPr>
      <w:contextualSpacing/>
    </w:pPr>
  </w:style>
  <w:style w:type="paragraph" w:styleId="Subtitle">
    <w:name w:val="Subtitle"/>
    <w:link w:val="SubtitleChar"/>
    <w:uiPriority w:val="11"/>
    <w:rsid w:val="009A06F2"/>
    <w:pPr>
      <w:keepLines/>
      <w:spacing w:after="480" w:line="216" w:lineRule="auto"/>
      <w:ind w:right="1418"/>
    </w:pPr>
    <w:rPr>
      <w:color w:val="002554" w:themeColor="text1"/>
      <w:spacing w:val="-8"/>
      <w:sz w:val="36"/>
      <w:szCs w:val="36"/>
    </w:rPr>
  </w:style>
  <w:style w:type="character" w:customStyle="1" w:styleId="SubtitleChar">
    <w:name w:val="Subtitle Char"/>
    <w:basedOn w:val="DefaultParagraphFont"/>
    <w:link w:val="Subtitle"/>
    <w:uiPriority w:val="11"/>
    <w:rsid w:val="009A06F2"/>
    <w:rPr>
      <w:color w:val="002554" w:themeColor="text1"/>
      <w:spacing w:val="-8"/>
      <w:sz w:val="36"/>
      <w:szCs w:val="36"/>
    </w:rPr>
  </w:style>
  <w:style w:type="paragraph" w:styleId="TOCHeading">
    <w:name w:val="TOC Heading"/>
    <w:basedOn w:val="Heading1"/>
    <w:next w:val="BodyText"/>
    <w:uiPriority w:val="39"/>
    <w:rsid w:val="00E415DB"/>
    <w:pPr>
      <w:spacing w:before="600"/>
      <w:outlineLvl w:val="9"/>
    </w:pPr>
  </w:style>
  <w:style w:type="paragraph" w:styleId="TOC1">
    <w:name w:val="toc 1"/>
    <w:uiPriority w:val="39"/>
    <w:rsid w:val="00CA396E"/>
    <w:pPr>
      <w:pBdr>
        <w:bottom w:val="single" w:sz="2" w:space="3" w:color="002554" w:themeColor="accent1"/>
        <w:between w:val="single" w:sz="2" w:space="1" w:color="002554" w:themeColor="accent1"/>
      </w:pBdr>
      <w:tabs>
        <w:tab w:val="right" w:pos="8222"/>
      </w:tabs>
      <w:spacing w:before="120" w:after="40" w:line="240" w:lineRule="auto"/>
    </w:pPr>
    <w:rPr>
      <w:rFonts w:eastAsiaTheme="minorEastAsia"/>
      <w:b/>
      <w:noProof/>
      <w:color w:val="002554" w:themeColor="text1"/>
      <w:sz w:val="24"/>
      <w:szCs w:val="20"/>
      <w:u w:color="D50032"/>
    </w:rPr>
  </w:style>
  <w:style w:type="paragraph" w:styleId="TOC2">
    <w:name w:val="toc 2"/>
    <w:basedOn w:val="TOC1"/>
    <w:uiPriority w:val="39"/>
    <w:rsid w:val="00D85FBA"/>
    <w:rPr>
      <w:b w:val="0"/>
      <w:szCs w:val="24"/>
    </w:rPr>
  </w:style>
  <w:style w:type="paragraph" w:styleId="TOC3">
    <w:name w:val="toc 3"/>
    <w:basedOn w:val="TOC2"/>
    <w:uiPriority w:val="39"/>
    <w:rsid w:val="00D85FBA"/>
    <w:pPr>
      <w:ind w:left="284"/>
    </w:pPr>
  </w:style>
  <w:style w:type="character" w:styleId="Hyperlink">
    <w:name w:val="Hyperlink"/>
    <w:basedOn w:val="DefaultParagraphFont"/>
    <w:uiPriority w:val="99"/>
    <w:unhideWhenUsed/>
    <w:rsid w:val="00D402E8"/>
    <w:rPr>
      <w:rFonts w:ascii="Roboto" w:hAnsi="Roboto"/>
      <w:color w:val="002554" w:themeColor="hyperlink"/>
      <w:u w:val="single"/>
    </w:rPr>
  </w:style>
  <w:style w:type="paragraph" w:styleId="EndnoteText">
    <w:name w:val="endnote text"/>
    <w:basedOn w:val="Normal"/>
    <w:link w:val="EndnoteTextChar"/>
    <w:uiPriority w:val="99"/>
    <w:rsid w:val="004B5074"/>
    <w:pPr>
      <w:spacing w:after="80" w:line="240" w:lineRule="auto"/>
    </w:pPr>
    <w:rPr>
      <w:spacing w:val="-3"/>
      <w:sz w:val="20"/>
      <w:szCs w:val="20"/>
    </w:rPr>
  </w:style>
  <w:style w:type="paragraph" w:customStyle="1" w:styleId="QuoteBold">
    <w:name w:val="Quote Bold"/>
    <w:basedOn w:val="Normal"/>
    <w:next w:val="QuoteAttribution"/>
    <w:link w:val="QuoteBoldChar"/>
    <w:uiPriority w:val="4"/>
    <w:rsid w:val="000C1E3F"/>
    <w:pPr>
      <w:keepLines/>
      <w:spacing w:line="288" w:lineRule="auto"/>
      <w:ind w:left="340"/>
    </w:pPr>
    <w:rPr>
      <w:b/>
      <w:sz w:val="26"/>
    </w:rPr>
  </w:style>
  <w:style w:type="paragraph" w:customStyle="1" w:styleId="QuoteAttribution">
    <w:name w:val="Quote Attribution"/>
    <w:next w:val="BodyText"/>
    <w:link w:val="QuoteAttributionChar"/>
    <w:uiPriority w:val="11"/>
    <w:rsid w:val="002E27D5"/>
    <w:pPr>
      <w:keepLines/>
      <w:spacing w:after="320" w:line="240" w:lineRule="auto"/>
      <w:ind w:left="340"/>
    </w:pPr>
    <w:rPr>
      <w:color w:val="002554" w:themeColor="text1"/>
      <w:spacing w:val="-5"/>
      <w:sz w:val="24"/>
    </w:rPr>
  </w:style>
  <w:style w:type="character" w:customStyle="1" w:styleId="QuoteBoldChar">
    <w:name w:val="Quote Bold Char"/>
    <w:basedOn w:val="DefaultParagraphFont"/>
    <w:link w:val="QuoteBold"/>
    <w:uiPriority w:val="4"/>
    <w:rsid w:val="000C1E3F"/>
    <w:rPr>
      <w:b/>
      <w:color w:val="002554" w:themeColor="text1"/>
      <w:spacing w:val="-5"/>
      <w:sz w:val="26"/>
    </w:rPr>
  </w:style>
  <w:style w:type="paragraph" w:styleId="FootnoteText">
    <w:name w:val="footnote text"/>
    <w:basedOn w:val="Normal"/>
    <w:link w:val="FootnoteTextChar"/>
    <w:uiPriority w:val="99"/>
    <w:rsid w:val="00A12289"/>
    <w:pPr>
      <w:spacing w:after="80" w:line="240" w:lineRule="auto"/>
      <w:ind w:left="284" w:hanging="284"/>
    </w:pPr>
    <w:rPr>
      <w:bCs/>
      <w:spacing w:val="-3"/>
      <w:sz w:val="20"/>
      <w:szCs w:val="20"/>
    </w:rPr>
  </w:style>
  <w:style w:type="character" w:customStyle="1" w:styleId="QuoteAttributionChar">
    <w:name w:val="Quote Attribution Char"/>
    <w:basedOn w:val="QuoteBoldChar"/>
    <w:link w:val="QuoteAttribution"/>
    <w:uiPriority w:val="11"/>
    <w:rsid w:val="002E27D5"/>
    <w:rPr>
      <w:b w:val="0"/>
      <w:color w:val="002554" w:themeColor="text1"/>
      <w:spacing w:val="-5"/>
      <w:sz w:val="24"/>
    </w:rPr>
  </w:style>
  <w:style w:type="character" w:customStyle="1" w:styleId="FootnoteTextChar">
    <w:name w:val="Footnote Text Char"/>
    <w:basedOn w:val="DefaultParagraphFont"/>
    <w:link w:val="FootnoteText"/>
    <w:uiPriority w:val="99"/>
    <w:rsid w:val="00A12289"/>
    <w:rPr>
      <w:bCs/>
      <w:color w:val="002554" w:themeColor="text1"/>
      <w:spacing w:val="-3"/>
      <w:sz w:val="20"/>
      <w:szCs w:val="20"/>
    </w:rPr>
  </w:style>
  <w:style w:type="character" w:styleId="FootnoteReference">
    <w:name w:val="footnote reference"/>
    <w:basedOn w:val="DefaultParagraphFont"/>
    <w:uiPriority w:val="99"/>
    <w:rsid w:val="00214529"/>
    <w:rPr>
      <w:vertAlign w:val="superscript"/>
    </w:rPr>
  </w:style>
  <w:style w:type="character" w:customStyle="1" w:styleId="NoSpacingChar">
    <w:name w:val="No Spacing Char"/>
    <w:basedOn w:val="DefaultParagraphFont"/>
    <w:link w:val="NoSpacing"/>
    <w:uiPriority w:val="1"/>
    <w:semiHidden/>
    <w:rsid w:val="000C278E"/>
    <w:rPr>
      <w:color w:val="002554" w:themeColor="text1"/>
      <w:spacing w:val="-5"/>
      <w:sz w:val="24"/>
    </w:rPr>
  </w:style>
  <w:style w:type="paragraph" w:customStyle="1" w:styleId="QuoteLarge">
    <w:name w:val="Quote Large"/>
    <w:basedOn w:val="Normal"/>
    <w:next w:val="QuoteLargeAttribution"/>
    <w:link w:val="QuoteLargeChar"/>
    <w:uiPriority w:val="4"/>
    <w:rsid w:val="002233DA"/>
    <w:pPr>
      <w:keepLines/>
      <w:spacing w:before="360" w:after="360" w:line="216" w:lineRule="auto"/>
      <w:ind w:left="340"/>
    </w:pPr>
    <w:rPr>
      <w:b/>
      <w:bCs/>
      <w:spacing w:val="-8"/>
      <w:sz w:val="36"/>
      <w:szCs w:val="36"/>
    </w:rPr>
  </w:style>
  <w:style w:type="paragraph" w:customStyle="1" w:styleId="QuoteLargeAttribution">
    <w:name w:val="Quote Large Attribution"/>
    <w:link w:val="QuoteLargeAttributionChar"/>
    <w:uiPriority w:val="4"/>
    <w:rsid w:val="002233DA"/>
    <w:pPr>
      <w:keepLines/>
      <w:spacing w:after="320" w:line="240" w:lineRule="auto"/>
      <w:ind w:left="340"/>
    </w:pPr>
    <w:rPr>
      <w:color w:val="002554" w:themeColor="text1"/>
      <w:spacing w:val="-6"/>
      <w:sz w:val="28"/>
      <w:szCs w:val="28"/>
    </w:rPr>
  </w:style>
  <w:style w:type="character" w:customStyle="1" w:styleId="QuoteLargeChar">
    <w:name w:val="Quote Large Char"/>
    <w:basedOn w:val="DefaultParagraphFont"/>
    <w:link w:val="QuoteLarge"/>
    <w:uiPriority w:val="4"/>
    <w:rsid w:val="002233DA"/>
    <w:rPr>
      <w:b/>
      <w:bCs/>
      <w:color w:val="002554" w:themeColor="text1"/>
      <w:spacing w:val="-8"/>
      <w:sz w:val="36"/>
      <w:szCs w:val="36"/>
    </w:rPr>
  </w:style>
  <w:style w:type="character" w:styleId="Strong">
    <w:name w:val="Strong"/>
    <w:basedOn w:val="DefaultParagraphFont"/>
    <w:uiPriority w:val="22"/>
    <w:rsid w:val="00D402E8"/>
    <w:rPr>
      <w:rFonts w:ascii="Roboto" w:hAnsi="Roboto"/>
      <w:b/>
      <w:bCs/>
    </w:rPr>
  </w:style>
  <w:style w:type="character" w:customStyle="1" w:styleId="QuoteLargeAttributionChar">
    <w:name w:val="Quote Large Attribution Char"/>
    <w:basedOn w:val="QuoteLargeChar"/>
    <w:link w:val="QuoteLargeAttribution"/>
    <w:uiPriority w:val="4"/>
    <w:rsid w:val="002233DA"/>
    <w:rPr>
      <w:b w:val="0"/>
      <w:bCs w:val="0"/>
      <w:color w:val="002554" w:themeColor="text1"/>
      <w:spacing w:val="-6"/>
      <w:sz w:val="28"/>
      <w:szCs w:val="28"/>
    </w:rPr>
  </w:style>
  <w:style w:type="character" w:customStyle="1" w:styleId="Heading6Char">
    <w:name w:val="Heading 6 Char"/>
    <w:basedOn w:val="DefaultParagraphFont"/>
    <w:link w:val="Heading6"/>
    <w:uiPriority w:val="9"/>
    <w:semiHidden/>
    <w:rsid w:val="004D1815"/>
    <w:rPr>
      <w:rFonts w:eastAsiaTheme="majorEastAsia" w:cstheme="majorBidi"/>
      <w:color w:val="002554" w:themeColor="text1"/>
      <w:spacing w:val="-5"/>
      <w:sz w:val="18"/>
    </w:rPr>
  </w:style>
  <w:style w:type="character" w:styleId="CommentReference">
    <w:name w:val="annotation reference"/>
    <w:basedOn w:val="DefaultParagraphFont"/>
    <w:uiPriority w:val="99"/>
    <w:semiHidden/>
    <w:unhideWhenUsed/>
    <w:rsid w:val="005105FF"/>
    <w:rPr>
      <w:sz w:val="16"/>
      <w:szCs w:val="16"/>
    </w:rPr>
  </w:style>
  <w:style w:type="paragraph" w:styleId="CommentText">
    <w:name w:val="annotation text"/>
    <w:basedOn w:val="Normal"/>
    <w:link w:val="CommentTextChar"/>
    <w:uiPriority w:val="99"/>
    <w:semiHidden/>
    <w:rsid w:val="005105FF"/>
    <w:pPr>
      <w:spacing w:line="240" w:lineRule="auto"/>
    </w:pPr>
    <w:rPr>
      <w:sz w:val="20"/>
      <w:szCs w:val="20"/>
    </w:rPr>
  </w:style>
  <w:style w:type="character" w:customStyle="1" w:styleId="CommentTextChar">
    <w:name w:val="Comment Text Char"/>
    <w:basedOn w:val="DefaultParagraphFont"/>
    <w:link w:val="CommentText"/>
    <w:uiPriority w:val="99"/>
    <w:semiHidden/>
    <w:rsid w:val="003C21C6"/>
    <w:rPr>
      <w:color w:val="002554" w:themeColor="text1"/>
      <w:spacing w:val="-5"/>
      <w:sz w:val="20"/>
      <w:szCs w:val="20"/>
    </w:rPr>
  </w:style>
  <w:style w:type="paragraph" w:styleId="CommentSubject">
    <w:name w:val="annotation subject"/>
    <w:basedOn w:val="CommentText"/>
    <w:next w:val="CommentText"/>
    <w:link w:val="CommentSubjectChar"/>
    <w:uiPriority w:val="99"/>
    <w:semiHidden/>
    <w:unhideWhenUsed/>
    <w:rsid w:val="005105FF"/>
    <w:rPr>
      <w:b/>
      <w:bCs/>
    </w:rPr>
  </w:style>
  <w:style w:type="character" w:customStyle="1" w:styleId="CommentSubjectChar">
    <w:name w:val="Comment Subject Char"/>
    <w:basedOn w:val="CommentTextChar"/>
    <w:link w:val="CommentSubject"/>
    <w:uiPriority w:val="99"/>
    <w:semiHidden/>
    <w:rsid w:val="005105FF"/>
    <w:rPr>
      <w:rFonts w:ascii="Roboto" w:hAnsi="Roboto"/>
      <w:b/>
      <w:bCs/>
      <w:color w:val="002554"/>
      <w:spacing w:val="-5"/>
      <w:sz w:val="20"/>
      <w:szCs w:val="20"/>
    </w:rPr>
  </w:style>
  <w:style w:type="paragraph" w:styleId="BodyText">
    <w:name w:val="Body Text"/>
    <w:basedOn w:val="Normal"/>
    <w:link w:val="BodyTextChar"/>
    <w:qFormat/>
    <w:rsid w:val="00A12DEA"/>
  </w:style>
  <w:style w:type="character" w:customStyle="1" w:styleId="BodyTextChar">
    <w:name w:val="Body Text Char"/>
    <w:basedOn w:val="DefaultParagraphFont"/>
    <w:link w:val="BodyText"/>
    <w:rsid w:val="000A3A9D"/>
    <w:rPr>
      <w:color w:val="002554" w:themeColor="text1"/>
      <w:spacing w:val="-5"/>
      <w:sz w:val="24"/>
    </w:rPr>
  </w:style>
  <w:style w:type="paragraph" w:customStyle="1" w:styleId="BodyTextAfterBullets">
    <w:name w:val="Body Text After Bullets"/>
    <w:basedOn w:val="BodyText"/>
    <w:uiPriority w:val="1"/>
    <w:qFormat/>
    <w:rsid w:val="00F57F42"/>
    <w:pPr>
      <w:spacing w:before="180"/>
    </w:pPr>
  </w:style>
  <w:style w:type="paragraph" w:customStyle="1" w:styleId="TableBody">
    <w:name w:val="Table Body"/>
    <w:uiPriority w:val="9"/>
    <w:qFormat/>
    <w:rsid w:val="00ED43DE"/>
    <w:pPr>
      <w:spacing w:before="80" w:after="80" w:line="240" w:lineRule="auto"/>
    </w:pPr>
    <w:rPr>
      <w:color w:val="002554" w:themeColor="text1"/>
      <w:spacing w:val="-5"/>
      <w:sz w:val="24"/>
    </w:rPr>
  </w:style>
  <w:style w:type="paragraph" w:customStyle="1" w:styleId="TableHeaderRow">
    <w:name w:val="Table Header Row"/>
    <w:basedOn w:val="TableBody"/>
    <w:uiPriority w:val="9"/>
    <w:qFormat/>
    <w:rsid w:val="00ED43DE"/>
    <w:rPr>
      <w:b/>
      <w:bCs/>
    </w:rPr>
  </w:style>
  <w:style w:type="paragraph" w:customStyle="1" w:styleId="TableFirstColumn">
    <w:name w:val="Table First Column"/>
    <w:basedOn w:val="TableBody"/>
    <w:uiPriority w:val="9"/>
    <w:qFormat/>
    <w:rsid w:val="00054ABD"/>
    <w:rPr>
      <w:b/>
    </w:rPr>
  </w:style>
  <w:style w:type="paragraph" w:styleId="Quote">
    <w:name w:val="Quote"/>
    <w:basedOn w:val="BodyText"/>
    <w:next w:val="Normal"/>
    <w:link w:val="QuoteChar"/>
    <w:uiPriority w:val="11"/>
    <w:rsid w:val="000C1E3F"/>
    <w:pPr>
      <w:keepLines/>
      <w:spacing w:line="288" w:lineRule="auto"/>
      <w:ind w:left="340"/>
    </w:pPr>
    <w:rPr>
      <w:iCs/>
    </w:rPr>
  </w:style>
  <w:style w:type="character" w:customStyle="1" w:styleId="QuoteChar">
    <w:name w:val="Quote Char"/>
    <w:basedOn w:val="DefaultParagraphFont"/>
    <w:link w:val="Quote"/>
    <w:uiPriority w:val="11"/>
    <w:rsid w:val="000C1E3F"/>
    <w:rPr>
      <w:iCs/>
      <w:color w:val="002554" w:themeColor="text1"/>
      <w:spacing w:val="-5"/>
      <w:sz w:val="24"/>
    </w:rPr>
  </w:style>
  <w:style w:type="paragraph" w:customStyle="1" w:styleId="TableBullet">
    <w:name w:val="Table Bullet"/>
    <w:basedOn w:val="TableBody"/>
    <w:uiPriority w:val="9"/>
    <w:qFormat/>
    <w:rsid w:val="002E27D5"/>
    <w:pPr>
      <w:numPr>
        <w:numId w:val="23"/>
      </w:numPr>
    </w:pPr>
  </w:style>
  <w:style w:type="character" w:customStyle="1" w:styleId="EndnoteTextChar">
    <w:name w:val="Endnote Text Char"/>
    <w:basedOn w:val="DefaultParagraphFont"/>
    <w:link w:val="EndnoteText"/>
    <w:uiPriority w:val="99"/>
    <w:rsid w:val="004B5074"/>
    <w:rPr>
      <w:color w:val="002554" w:themeColor="text1"/>
      <w:spacing w:val="-3"/>
      <w:sz w:val="20"/>
      <w:szCs w:val="20"/>
    </w:rPr>
  </w:style>
  <w:style w:type="numbering" w:customStyle="1" w:styleId="TableBullets">
    <w:name w:val="Table Bullets"/>
    <w:basedOn w:val="NoList"/>
    <w:uiPriority w:val="99"/>
    <w:rsid w:val="002E27D5"/>
    <w:pPr>
      <w:numPr>
        <w:numId w:val="17"/>
      </w:numPr>
    </w:pPr>
  </w:style>
  <w:style w:type="paragraph" w:customStyle="1" w:styleId="HeaderWithLine">
    <w:name w:val="Header With Line"/>
    <w:rsid w:val="002E27D5"/>
    <w:pPr>
      <w:pBdr>
        <w:bottom w:val="single" w:sz="2" w:space="4" w:color="002554" w:themeColor="accent1"/>
      </w:pBdr>
      <w:tabs>
        <w:tab w:val="right" w:pos="9923"/>
      </w:tabs>
      <w:spacing w:after="0" w:line="240" w:lineRule="auto"/>
      <w:ind w:right="-8505"/>
    </w:pPr>
    <w:rPr>
      <w:color w:val="002554" w:themeColor="text1"/>
      <w:sz w:val="20"/>
    </w:rPr>
  </w:style>
  <w:style w:type="paragraph" w:styleId="BodyTextIndent">
    <w:name w:val="Body Text Indent"/>
    <w:basedOn w:val="BodyText"/>
    <w:link w:val="BodyTextIndentChar"/>
    <w:uiPriority w:val="99"/>
    <w:rsid w:val="00F416F3"/>
    <w:pPr>
      <w:ind w:left="340"/>
    </w:pPr>
  </w:style>
  <w:style w:type="character" w:customStyle="1" w:styleId="BodyTextIndentChar">
    <w:name w:val="Body Text Indent Char"/>
    <w:basedOn w:val="DefaultParagraphFont"/>
    <w:link w:val="BodyTextIndent"/>
    <w:uiPriority w:val="99"/>
    <w:rsid w:val="00F416F3"/>
    <w:rPr>
      <w:color w:val="002554" w:themeColor="text1"/>
      <w:spacing w:val="-5"/>
      <w:sz w:val="24"/>
    </w:rPr>
  </w:style>
  <w:style w:type="character" w:styleId="UnresolvedMention">
    <w:name w:val="Unresolved Mention"/>
    <w:basedOn w:val="DefaultParagraphFont"/>
    <w:uiPriority w:val="99"/>
    <w:semiHidden/>
    <w:unhideWhenUsed/>
    <w:rsid w:val="00F416F3"/>
    <w:rPr>
      <w:color w:val="605E5C"/>
      <w:shd w:val="clear" w:color="auto" w:fill="E1DFDD"/>
    </w:rPr>
  </w:style>
  <w:style w:type="character" w:styleId="Emphasis">
    <w:name w:val="Emphasis"/>
    <w:basedOn w:val="DefaultParagraphFont"/>
    <w:uiPriority w:val="20"/>
    <w:rsid w:val="00E70791"/>
    <w:rPr>
      <w:i/>
      <w:iCs/>
    </w:rPr>
  </w:style>
  <w:style w:type="paragraph" w:styleId="Revision">
    <w:name w:val="Revision"/>
    <w:hidden/>
    <w:uiPriority w:val="99"/>
    <w:semiHidden/>
    <w:rsid w:val="006F54DA"/>
    <w:pPr>
      <w:spacing w:after="0" w:line="240" w:lineRule="auto"/>
    </w:pPr>
    <w:rPr>
      <w:color w:val="002554" w:themeColor="text1"/>
      <w:spacing w:val="-5"/>
      <w:sz w:val="24"/>
    </w:rPr>
  </w:style>
  <w:style w:type="paragraph" w:customStyle="1" w:styleId="QuoteItalic">
    <w:name w:val="Quote Italic"/>
    <w:basedOn w:val="QuoteBold"/>
    <w:rsid w:val="00A33840"/>
    <w:rPr>
      <w:b w:val="0"/>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174362">
      <w:bodyDiv w:val="1"/>
      <w:marLeft w:val="0"/>
      <w:marRight w:val="0"/>
      <w:marTop w:val="0"/>
      <w:marBottom w:val="0"/>
      <w:divBdr>
        <w:top w:val="none" w:sz="0" w:space="0" w:color="auto"/>
        <w:left w:val="none" w:sz="0" w:space="0" w:color="auto"/>
        <w:bottom w:val="none" w:sz="0" w:space="0" w:color="auto"/>
        <w:right w:val="none" w:sz="0" w:space="0" w:color="auto"/>
      </w:divBdr>
    </w:div>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qualityandrespect@ourwatch.org.au"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workplace.ourwatch.org.au/resource/practice-guidance-reducing-risk-in-workplace-initiatives-to-prevent-violence-against-wom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kplace.ourwatch.org.au"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data.wgea.gov.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gea.gov.au" TargetMode="External"/><Relationship Id="rId14" Type="http://schemas.openxmlformats.org/officeDocument/2006/relationships/image" Target="media/image2.jpeg"/><Relationship Id="rId22"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ur Watch 170523">
      <a:dk1>
        <a:srgbClr val="002554"/>
      </a:dk1>
      <a:lt1>
        <a:sysClr val="window" lastClr="FFFFFF"/>
      </a:lt1>
      <a:dk2>
        <a:srgbClr val="FFFFFF"/>
      </a:dk2>
      <a:lt2>
        <a:srgbClr val="F9F1E9"/>
      </a:lt2>
      <a:accent1>
        <a:srgbClr val="002554"/>
      </a:accent1>
      <a:accent2>
        <a:srgbClr val="E0E5EA"/>
      </a:accent2>
      <a:accent3>
        <a:srgbClr val="8FCAB9"/>
      </a:accent3>
      <a:accent4>
        <a:srgbClr val="D8ECE6"/>
      </a:accent4>
      <a:accent5>
        <a:srgbClr val="C4CDD8"/>
      </a:accent5>
      <a:accent6>
        <a:srgbClr val="B1DACE"/>
      </a:accent6>
      <a:hlink>
        <a:srgbClr val="002554"/>
      </a:hlink>
      <a:folHlink>
        <a:srgbClr val="002554"/>
      </a:folHlink>
    </a:clrScheme>
    <a:fontScheme name="Our Watch 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03D856CF1237418DF14C5037866882" ma:contentTypeVersion="18" ma:contentTypeDescription="Create a new document." ma:contentTypeScope="" ma:versionID="88a5a91db48de49da890a2337078991a">
  <xsd:schema xmlns:xsd="http://www.w3.org/2001/XMLSchema" xmlns:xs="http://www.w3.org/2001/XMLSchema" xmlns:p="http://schemas.microsoft.com/office/2006/metadata/properties" xmlns:ns2="24655829-77b5-4572-9306-0706e327d7ed" xmlns:ns3="ef89dfe1-2fd6-4ffd-966a-b6a657178080" targetNamespace="http://schemas.microsoft.com/office/2006/metadata/properties" ma:root="true" ma:fieldsID="e83577aeee1e8a0e764d951106682179" ns2:_="" ns3:_="">
    <xsd:import namespace="24655829-77b5-4572-9306-0706e327d7ed"/>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55829-77b5-4572-9306-0706e327d7e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4655829-77b5-4572-9306-0706e327d7e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813275DF-79BF-45A4-BB63-D95E0BAD22C4}"/>
</file>

<file path=customXml/itemProps3.xml><?xml version="1.0" encoding="utf-8"?>
<ds:datastoreItem xmlns:ds="http://schemas.openxmlformats.org/officeDocument/2006/customXml" ds:itemID="{14E86485-CE37-457A-95D7-DB5A1EE3B74B}"/>
</file>

<file path=customXml/itemProps4.xml><?xml version="1.0" encoding="utf-8"?>
<ds:datastoreItem xmlns:ds="http://schemas.openxmlformats.org/officeDocument/2006/customXml" ds:itemID="{60809731-D6ED-4016-846C-5E7620FB9BE9}"/>
</file>

<file path=docProps/app.xml><?xml version="1.0" encoding="utf-8"?>
<Properties xmlns="http://schemas.openxmlformats.org/officeDocument/2006/extended-properties" xmlns:vt="http://schemas.openxmlformats.org/officeDocument/2006/docPropsVTypes">
  <Template>Normal.dotm</Template>
  <TotalTime>454</TotalTime>
  <Pages>4</Pages>
  <Words>1121</Words>
  <Characters>6395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Tip sheet: Engaging leaders</vt:lpstr>
    </vt:vector>
  </TitlesOfParts>
  <Manager/>
  <Company>Our Watch</Company>
  <LinksUpToDate>false</LinksUpToDate>
  <CharactersWithSpaces>7501</CharactersWithSpaces>
  <SharedDoc>false</SharedDoc>
  <HyperlinkBase/>
  <HLinks>
    <vt:vector size="102" baseType="variant">
      <vt:variant>
        <vt:i4>1572916</vt:i4>
      </vt:variant>
      <vt:variant>
        <vt:i4>98</vt:i4>
      </vt:variant>
      <vt:variant>
        <vt:i4>0</vt:i4>
      </vt:variant>
      <vt:variant>
        <vt:i4>5</vt:i4>
      </vt:variant>
      <vt:variant>
        <vt:lpwstr/>
      </vt:variant>
      <vt:variant>
        <vt:lpwstr>_Toc131603499</vt:lpwstr>
      </vt:variant>
      <vt:variant>
        <vt:i4>1572916</vt:i4>
      </vt:variant>
      <vt:variant>
        <vt:i4>92</vt:i4>
      </vt:variant>
      <vt:variant>
        <vt:i4>0</vt:i4>
      </vt:variant>
      <vt:variant>
        <vt:i4>5</vt:i4>
      </vt:variant>
      <vt:variant>
        <vt:lpwstr/>
      </vt:variant>
      <vt:variant>
        <vt:lpwstr>_Toc131603498</vt:lpwstr>
      </vt:variant>
      <vt:variant>
        <vt:i4>1572916</vt:i4>
      </vt:variant>
      <vt:variant>
        <vt:i4>86</vt:i4>
      </vt:variant>
      <vt:variant>
        <vt:i4>0</vt:i4>
      </vt:variant>
      <vt:variant>
        <vt:i4>5</vt:i4>
      </vt:variant>
      <vt:variant>
        <vt:lpwstr/>
      </vt:variant>
      <vt:variant>
        <vt:lpwstr>_Toc131603497</vt:lpwstr>
      </vt:variant>
      <vt:variant>
        <vt:i4>1572916</vt:i4>
      </vt:variant>
      <vt:variant>
        <vt:i4>80</vt:i4>
      </vt:variant>
      <vt:variant>
        <vt:i4>0</vt:i4>
      </vt:variant>
      <vt:variant>
        <vt:i4>5</vt:i4>
      </vt:variant>
      <vt:variant>
        <vt:lpwstr/>
      </vt:variant>
      <vt:variant>
        <vt:lpwstr>_Toc131603496</vt:lpwstr>
      </vt:variant>
      <vt:variant>
        <vt:i4>1572916</vt:i4>
      </vt:variant>
      <vt:variant>
        <vt:i4>74</vt:i4>
      </vt:variant>
      <vt:variant>
        <vt:i4>0</vt:i4>
      </vt:variant>
      <vt:variant>
        <vt:i4>5</vt:i4>
      </vt:variant>
      <vt:variant>
        <vt:lpwstr/>
      </vt:variant>
      <vt:variant>
        <vt:lpwstr>_Toc131603495</vt:lpwstr>
      </vt:variant>
      <vt:variant>
        <vt:i4>1572916</vt:i4>
      </vt:variant>
      <vt:variant>
        <vt:i4>68</vt:i4>
      </vt:variant>
      <vt:variant>
        <vt:i4>0</vt:i4>
      </vt:variant>
      <vt:variant>
        <vt:i4>5</vt:i4>
      </vt:variant>
      <vt:variant>
        <vt:lpwstr/>
      </vt:variant>
      <vt:variant>
        <vt:lpwstr>_Toc131603494</vt:lpwstr>
      </vt:variant>
      <vt:variant>
        <vt:i4>1572916</vt:i4>
      </vt:variant>
      <vt:variant>
        <vt:i4>62</vt:i4>
      </vt:variant>
      <vt:variant>
        <vt:i4>0</vt:i4>
      </vt:variant>
      <vt:variant>
        <vt:i4>5</vt:i4>
      </vt:variant>
      <vt:variant>
        <vt:lpwstr/>
      </vt:variant>
      <vt:variant>
        <vt:lpwstr>_Toc131603493</vt:lpwstr>
      </vt:variant>
      <vt:variant>
        <vt:i4>1572916</vt:i4>
      </vt:variant>
      <vt:variant>
        <vt:i4>56</vt:i4>
      </vt:variant>
      <vt:variant>
        <vt:i4>0</vt:i4>
      </vt:variant>
      <vt:variant>
        <vt:i4>5</vt:i4>
      </vt:variant>
      <vt:variant>
        <vt:lpwstr/>
      </vt:variant>
      <vt:variant>
        <vt:lpwstr>_Toc131603492</vt:lpwstr>
      </vt:variant>
      <vt:variant>
        <vt:i4>1572916</vt:i4>
      </vt:variant>
      <vt:variant>
        <vt:i4>50</vt:i4>
      </vt:variant>
      <vt:variant>
        <vt:i4>0</vt:i4>
      </vt:variant>
      <vt:variant>
        <vt:i4>5</vt:i4>
      </vt:variant>
      <vt:variant>
        <vt:lpwstr/>
      </vt:variant>
      <vt:variant>
        <vt:lpwstr>_Toc131603491</vt:lpwstr>
      </vt:variant>
      <vt:variant>
        <vt:i4>1572916</vt:i4>
      </vt:variant>
      <vt:variant>
        <vt:i4>44</vt:i4>
      </vt:variant>
      <vt:variant>
        <vt:i4>0</vt:i4>
      </vt:variant>
      <vt:variant>
        <vt:i4>5</vt:i4>
      </vt:variant>
      <vt:variant>
        <vt:lpwstr/>
      </vt:variant>
      <vt:variant>
        <vt:lpwstr>_Toc131603490</vt:lpwstr>
      </vt:variant>
      <vt:variant>
        <vt:i4>1638452</vt:i4>
      </vt:variant>
      <vt:variant>
        <vt:i4>38</vt:i4>
      </vt:variant>
      <vt:variant>
        <vt:i4>0</vt:i4>
      </vt:variant>
      <vt:variant>
        <vt:i4>5</vt:i4>
      </vt:variant>
      <vt:variant>
        <vt:lpwstr/>
      </vt:variant>
      <vt:variant>
        <vt:lpwstr>_Toc131603489</vt:lpwstr>
      </vt:variant>
      <vt:variant>
        <vt:i4>1638452</vt:i4>
      </vt:variant>
      <vt:variant>
        <vt:i4>32</vt:i4>
      </vt:variant>
      <vt:variant>
        <vt:i4>0</vt:i4>
      </vt:variant>
      <vt:variant>
        <vt:i4>5</vt:i4>
      </vt:variant>
      <vt:variant>
        <vt:lpwstr/>
      </vt:variant>
      <vt:variant>
        <vt:lpwstr>_Toc131603488</vt:lpwstr>
      </vt:variant>
      <vt:variant>
        <vt:i4>1638452</vt:i4>
      </vt:variant>
      <vt:variant>
        <vt:i4>26</vt:i4>
      </vt:variant>
      <vt:variant>
        <vt:i4>0</vt:i4>
      </vt:variant>
      <vt:variant>
        <vt:i4>5</vt:i4>
      </vt:variant>
      <vt:variant>
        <vt:lpwstr/>
      </vt:variant>
      <vt:variant>
        <vt:lpwstr>_Toc131603487</vt:lpwstr>
      </vt:variant>
      <vt:variant>
        <vt:i4>1638452</vt:i4>
      </vt:variant>
      <vt:variant>
        <vt:i4>20</vt:i4>
      </vt:variant>
      <vt:variant>
        <vt:i4>0</vt:i4>
      </vt:variant>
      <vt:variant>
        <vt:i4>5</vt:i4>
      </vt:variant>
      <vt:variant>
        <vt:lpwstr/>
      </vt:variant>
      <vt:variant>
        <vt:lpwstr>_Toc131603486</vt:lpwstr>
      </vt:variant>
      <vt:variant>
        <vt:i4>1638452</vt:i4>
      </vt:variant>
      <vt:variant>
        <vt:i4>14</vt:i4>
      </vt:variant>
      <vt:variant>
        <vt:i4>0</vt:i4>
      </vt:variant>
      <vt:variant>
        <vt:i4>5</vt:i4>
      </vt:variant>
      <vt:variant>
        <vt:lpwstr/>
      </vt:variant>
      <vt:variant>
        <vt:lpwstr>_Toc131603485</vt:lpwstr>
      </vt:variant>
      <vt:variant>
        <vt:i4>1638452</vt:i4>
      </vt:variant>
      <vt:variant>
        <vt:i4>8</vt:i4>
      </vt:variant>
      <vt:variant>
        <vt:i4>0</vt:i4>
      </vt:variant>
      <vt:variant>
        <vt:i4>5</vt:i4>
      </vt:variant>
      <vt:variant>
        <vt:lpwstr/>
      </vt:variant>
      <vt:variant>
        <vt:lpwstr>_Toc131603484</vt:lpwstr>
      </vt:variant>
      <vt:variant>
        <vt:i4>1638452</vt:i4>
      </vt:variant>
      <vt:variant>
        <vt:i4>2</vt:i4>
      </vt:variant>
      <vt:variant>
        <vt:i4>0</vt:i4>
      </vt:variant>
      <vt:variant>
        <vt:i4>5</vt:i4>
      </vt:variant>
      <vt:variant>
        <vt:lpwstr/>
      </vt:variant>
      <vt:variant>
        <vt:lpwstr>_Toc131603483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 sheet: Engaging leaders</dc:title>
  <dc:subject>Gender equality and respect</dc:subject>
  <dc:creator>Our Watch</dc:creator>
  <cp:keywords/>
  <dc:description/>
  <cp:lastModifiedBy>Robert Di Renzo</cp:lastModifiedBy>
  <cp:revision>94</cp:revision>
  <cp:lastPrinted>2023-05-02T23:03:00Z</cp:lastPrinted>
  <dcterms:created xsi:type="dcterms:W3CDTF">2023-04-26T00:16:00Z</dcterms:created>
  <dcterms:modified xsi:type="dcterms:W3CDTF">2024-02-15T04:24:00Z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0x0101006B03D856CF1237418DF14C5037866882</vt:lpwstr>
  </property>
</Properties>
</file>